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0.1)</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لم يُنفَّذ على SQL Server</w:t>
            </w:r>
            <w:r>
              <w:rPr>
                <w:rFonts w:ascii="Arial" w:cs="Arial" w:eastAsia="Arial" w:hAnsi="Arial"/>
                <w:b w:val="false"/>
                <w:bCs w:val="false"/>
                <w:sz w:val="18"/>
                <w:szCs w:val="18"/>
                <w:rtl/>
              </w:rPr>
              <w:t xml:space="preserve"> بعد (انظر §14)</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 </w:t>
            </w:r>
            <w:r>
              <w:rPr>
                <w:rFonts w:ascii="Arial" w:cs="Arial" w:eastAsia="Arial" w:hAnsi="Arial"/>
                <w:b/>
                <w:bCs/>
                <w:sz w:val="18"/>
                <w:szCs w:val="18"/>
                <w:rtl/>
              </w:rPr>
              <w:t xml:space="preserve">الملفات المولَّدة لا تُعدَّل يدويًا</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(RLS والأدوار والجلسة)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p>
        </w:tc>
      </w:tr>
      <w:tr>
        <w:trPr>
          <w:cantSplit/>
        </w:trPr>
        <w:tc>
          <w:tcPr>
            <w:tcW w:type="dxa" w:w="25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2">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3">
        <w:r>
          <w:rPr>
            <w:rFonts w:ascii="Arial" w:cs="Arial" w:eastAsia="Arial" w:hAnsi="Arial"/>
            <w:b/>
            <w:bCs/>
            <w:color w:val="1F3A5F"/>
            <w:sz w:val="20"/>
            <w:szCs w:val="20"/>
            <w:rtl/>
          </w:rPr>
          <w:t xml:space="preserve">3. العزل بين المشتركين</w:t>
        </w:r>
      </w:hyperlink>
    </w:p>
    <w:p>
      <w:pPr>
        <w:bidi/>
        <w:spacing w:after="30" w:before="0"/>
        <w:ind w:left="560"/>
      </w:pPr>
      <w:hyperlink w:history="1" w:anchor="_sec4">
        <w:r>
          <w:rPr>
            <w:rFonts w:ascii="Arial" w:cs="Arial" w:eastAsia="Arial" w:hAnsi="Arial"/>
            <w:b w:val="false"/>
            <w:bCs w:val="false"/>
            <w:color w:val="5B6670"/>
            <w:sz w:val="18"/>
            <w:szCs w:val="18"/>
            <w:rtl/>
          </w:rPr>
          <w:t xml:space="preserve">3.1 الطبقات الثلاث</w:t>
        </w:r>
      </w:hyperlink>
    </w:p>
    <w:p>
      <w:pPr>
        <w:bidi/>
        <w:spacing w:after="30" w:before="0"/>
        <w:ind w:left="560"/>
      </w:pPr>
      <w:hyperlink w:history="1" w:anchor="_sec5">
        <w:r>
          <w:rPr>
            <w:rFonts w:ascii="Arial" w:cs="Arial" w:eastAsia="Arial" w:hAnsi="Arial"/>
            <w:b w:val="false"/>
            <w:bCs w:val="false"/>
            <w:color w:val="5B6670"/>
            <w:sz w:val="18"/>
            <w:szCs w:val="18"/>
            <w:rtl/>
          </w:rPr>
          <w:t xml:space="preserve">3.2 سياق الجلسة</w:t>
        </w:r>
      </w:hyperlink>
    </w:p>
    <w:p>
      <w:pPr>
        <w:bidi/>
        <w:spacing w:after="30" w:before="0"/>
        <w:ind w:left="560"/>
      </w:pPr>
      <w:hyperlink w:history="1" w:anchor="_sec6">
        <w:r>
          <w:rPr>
            <w:rFonts w:ascii="Arial" w:cs="Arial" w:eastAsia="Arial" w:hAnsi="Arial"/>
            <w:b w:val="false"/>
            <w:bCs w:val="false"/>
            <w:color w:val="5B6670"/>
            <w:sz w:val="18"/>
            <w:szCs w:val="18"/>
            <w:rtl/>
          </w:rPr>
          <w:t xml:space="preserve">3.3 أنواع النطاق</w:t>
        </w:r>
      </w:hyperlink>
    </w:p>
    <w:p>
      <w:pPr>
        <w:bidi/>
        <w:spacing w:after="30" w:before="0"/>
        <w:ind w:left="560"/>
      </w:pPr>
      <w:hyperlink w:history="1" w:anchor="_sec7">
        <w:r>
          <w:rPr>
            <w:rFonts w:ascii="Arial" w:cs="Arial" w:eastAsia="Arial" w:hAnsi="Arial"/>
            <w:b w:val="false"/>
            <w:bCs w:val="false"/>
            <w:color w:val="5B6670"/>
            <w:sz w:val="18"/>
            <w:szCs w:val="18"/>
            <w:rtl/>
          </w:rPr>
          <w:t xml:space="preserve">3.4 سياسة خاصة لـ aud.AuditLog</w:t>
        </w:r>
      </w:hyperlink>
    </w:p>
    <w:p>
      <w:pPr>
        <w:bidi/>
        <w:spacing w:after="30" w:before="0"/>
        <w:ind w:left="560"/>
      </w:pPr>
      <w:hyperlink w:history="1" w:anchor="_sec8">
        <w:r>
          <w:rPr>
            <w:rFonts w:ascii="Arial" w:cs="Arial" w:eastAsia="Arial" w:hAnsi="Arial"/>
            <w:b w:val="false"/>
            <w:bCs w:val="false"/>
            <w:color w:val="5B6670"/>
            <w:sz w:val="18"/>
            <w:szCs w:val="18"/>
            <w:rtl/>
          </w:rPr>
          <w:t xml:space="preserve">3.5 مشغّلو المنصة والدعم</w:t>
        </w:r>
      </w:hyperlink>
    </w:p>
    <w:p>
      <w:pPr>
        <w:bidi/>
        <w:spacing w:after="50" w:before="0"/>
        <w:ind w:left="0"/>
      </w:pPr>
      <w:hyperlink w:history="1" w:anchor="_sec9">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0">
        <w:r>
          <w:rPr>
            <w:rFonts w:ascii="Arial" w:cs="Arial" w:eastAsia="Arial" w:hAnsi="Arial"/>
            <w:b/>
            <w:bCs/>
            <w:color w:val="1F3A5F"/>
            <w:sz w:val="20"/>
            <w:szCs w:val="20"/>
            <w:rtl/>
          </w:rPr>
          <w:t xml:space="preserve">5. التاريخ والمراجعات ومصدر القيمة</w:t>
        </w:r>
      </w:hyperlink>
    </w:p>
    <w:p>
      <w:pPr>
        <w:bidi/>
        <w:spacing w:after="30" w:before="0"/>
        <w:ind w:left="560"/>
      </w:pPr>
      <w:hyperlink w:history="1" w:anchor="_sec11">
        <w:r>
          <w:rPr>
            <w:rFonts w:ascii="Arial" w:cs="Arial" w:eastAsia="Arial" w:hAnsi="Arial"/>
            <w:b w:val="false"/>
            <w:bCs w:val="false"/>
            <w:color w:val="5B6670"/>
            <w:sz w:val="18"/>
            <w:szCs w:val="18"/>
            <w:rtl/>
          </w:rPr>
          <w:t xml:space="preserve">5.1 الصفوف المراجَعة rev (13 جدولًا)</w:t>
        </w:r>
      </w:hyperlink>
    </w:p>
    <w:p>
      <w:pPr>
        <w:bidi/>
        <w:spacing w:after="30" w:before="0"/>
        <w:ind w:left="560"/>
      </w:pPr>
      <w:hyperlink w:history="1" w:anchor="_sec12">
        <w:r>
          <w:rPr>
            <w:rFonts w:ascii="Arial" w:cs="Arial" w:eastAsia="Arial" w:hAnsi="Arial"/>
            <w:b w:val="false"/>
            <w:bCs w:val="false"/>
            <w:color w:val="5B6670"/>
            <w:sz w:val="18"/>
            <w:szCs w:val="18"/>
            <w:rtl/>
          </w:rPr>
          <w:t xml:space="preserve">5.2 ختم المصدر src (11 جدولًا)</w:t>
        </w:r>
      </w:hyperlink>
    </w:p>
    <w:p>
      <w:pPr>
        <w:bidi/>
        <w:spacing w:after="30" w:before="0"/>
        <w:ind w:left="560"/>
      </w:pPr>
      <w:hyperlink w:history="1" w:anchor="_sec13">
        <w:r>
          <w:rPr>
            <w:rFonts w:ascii="Arial" w:cs="Arial" w:eastAsia="Arial" w:hAnsi="Arial"/>
            <w:b w:val="false"/>
            <w:bCs w:val="false"/>
            <w:color w:val="5B6670"/>
            <w:sz w:val="18"/>
            <w:szCs w:val="18"/>
            <w:rtl/>
          </w:rPr>
          <w:t xml:space="preserve">5.3 التدقيق</w:t>
        </w:r>
      </w:hyperlink>
    </w:p>
    <w:p>
      <w:pPr>
        <w:bidi/>
        <w:spacing w:after="50" w:before="0"/>
        <w:ind w:left="0"/>
      </w:pPr>
      <w:hyperlink w:history="1" w:anchor="_sec14">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15">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16">
        <w:r>
          <w:rPr>
            <w:rFonts w:ascii="Arial" w:cs="Arial" w:eastAsia="Arial" w:hAnsi="Arial"/>
            <w:b/>
            <w:bCs/>
            <w:color w:val="1F3A5F"/>
            <w:sz w:val="20"/>
            <w:szCs w:val="20"/>
            <w:rtl/>
          </w:rPr>
          <w:t xml:space="preserve">8. الفهرسة</w:t>
        </w:r>
      </w:hyperlink>
    </w:p>
    <w:p>
      <w:pPr>
        <w:bidi/>
        <w:spacing w:after="50" w:before="0"/>
        <w:ind w:left="0"/>
      </w:pPr>
      <w:hyperlink w:history="1" w:anchor="_sec17">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18">
        <w:r>
          <w:rPr>
            <w:rFonts w:ascii="Arial" w:cs="Arial" w:eastAsia="Arial" w:hAnsi="Arial"/>
            <w:b/>
            <w:bCs/>
            <w:color w:val="1F3A5F"/>
            <w:sz w:val="20"/>
            <w:szCs w:val="20"/>
            <w:rtl/>
          </w:rPr>
          <w:t xml:space="preserve">10. خريطة المخططات والجداول</w:t>
        </w:r>
      </w:hyperlink>
    </w:p>
    <w:p>
      <w:pPr>
        <w:bidi/>
        <w:spacing w:after="30" w:before="0"/>
        <w:ind w:left="560"/>
      </w:pPr>
      <w:hyperlink w:history="1" w:anchor="_sec19">
        <w:r>
          <w:rPr>
            <w:rFonts w:ascii="Arial" w:cs="Arial" w:eastAsia="Arial" w:hAnsi="Arial"/>
            <w:b w:val="false"/>
            <w:bCs w:val="false"/>
            <w:color w:val="5B6670"/>
            <w:sz w:val="18"/>
            <w:szCs w:val="18"/>
            <w:rtl/>
          </w:rPr>
          <w:t xml:space="preserve">10.1 تغطية المتطلبات</w:t>
        </w:r>
      </w:hyperlink>
    </w:p>
    <w:p>
      <w:pPr>
        <w:bidi/>
        <w:spacing w:after="50" w:before="0"/>
        <w:ind w:left="0"/>
      </w:pPr>
      <w:hyperlink w:history="1" w:anchor="_sec20">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21">
        <w:r>
          <w:rPr>
            <w:rFonts w:ascii="Arial" w:cs="Arial" w:eastAsia="Arial" w:hAnsi="Arial"/>
            <w:b/>
            <w:bCs/>
            <w:color w:val="1F3A5F"/>
            <w:sz w:val="20"/>
            <w:szCs w:val="20"/>
            <w:rtl/>
          </w:rPr>
          <w:t xml:space="preserve">12. النشر والتشغيل</w:t>
        </w:r>
      </w:hyperlink>
    </w:p>
    <w:p>
      <w:pPr>
        <w:bidi/>
        <w:spacing w:after="30" w:before="0"/>
        <w:ind w:left="560"/>
      </w:pPr>
      <w:hyperlink w:history="1" w:anchor="_sec22">
        <w:r>
          <w:rPr>
            <w:rFonts w:ascii="Arial" w:cs="Arial" w:eastAsia="Arial" w:hAnsi="Arial"/>
            <w:b w:val="false"/>
            <w:bCs w:val="false"/>
            <w:color w:val="5B6670"/>
            <w:sz w:val="18"/>
            <w:szCs w:val="18"/>
            <w:rtl/>
          </w:rPr>
          <w:t xml:space="preserve">12.1 ترتيب النشر (db/deploy.sql، وضع SQLCMD)</w:t>
        </w:r>
      </w:hyperlink>
    </w:p>
    <w:p>
      <w:pPr>
        <w:bidi/>
        <w:spacing w:after="30" w:before="0"/>
        <w:ind w:left="560"/>
      </w:pPr>
      <w:hyperlink w:history="1" w:anchor="_sec23">
        <w:r>
          <w:rPr>
            <w:rFonts w:ascii="Arial" w:cs="Arial" w:eastAsia="Arial" w:hAnsi="Arial"/>
            <w:b w:val="false"/>
            <w:bCs w:val="false"/>
            <w:color w:val="5B6670"/>
            <w:sz w:val="18"/>
            <w:szCs w:val="18"/>
            <w:rtl/>
          </w:rPr>
          <w:t xml:space="preserve">12.2 تغيير النموذج</w:t>
        </w:r>
      </w:hyperlink>
    </w:p>
    <w:p>
      <w:pPr>
        <w:bidi/>
        <w:spacing w:after="30" w:before="0"/>
        <w:ind w:left="560"/>
      </w:pPr>
      <w:hyperlink w:history="1" w:anchor="_sec24">
        <w:r>
          <w:rPr>
            <w:rFonts w:ascii="Arial" w:cs="Arial" w:eastAsia="Arial" w:hAnsi="Arial"/>
            <w:b w:val="false"/>
            <w:bCs w:val="false"/>
            <w:color w:val="5B6670"/>
            <w:sz w:val="18"/>
            <w:szCs w:val="18"/>
            <w:rtl/>
          </w:rPr>
          <w:t xml:space="preserve">12.3 النسخ الاحتياطي والاستعادة (توصيات للتشغيل 🟡)</w:t>
        </w:r>
      </w:hyperlink>
    </w:p>
    <w:p>
      <w:pPr>
        <w:bidi/>
        <w:spacing w:after="30" w:before="0"/>
        <w:ind w:left="560"/>
      </w:pPr>
      <w:hyperlink w:history="1" w:anchor="_sec25">
        <w:r>
          <w:rPr>
            <w:rFonts w:ascii="Arial" w:cs="Arial" w:eastAsia="Arial" w:hAnsi="Arial"/>
            <w:b w:val="false"/>
            <w:bCs w:val="false"/>
            <w:color w:val="5B6670"/>
            <w:sz w:val="18"/>
            <w:szCs w:val="18"/>
            <w:rtl/>
          </w:rPr>
          <w:t xml:space="preserve">12.4 الأداء والحمل</w:t>
        </w:r>
      </w:hyperlink>
    </w:p>
    <w:p>
      <w:pPr>
        <w:bidi/>
        <w:spacing w:after="50" w:before="0"/>
        <w:ind w:left="0"/>
      </w:pPr>
      <w:hyperlink w:history="1" w:anchor="_sec26">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2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28">
        <w:r>
          <w:rPr>
            <w:rFonts w:ascii="Arial" w:cs="Arial" w:eastAsia="Arial" w:hAnsi="Arial"/>
            <w:b/>
            <w:bCs/>
            <w:color w:val="1F3A5F"/>
            <w:sz w:val="20"/>
            <w:szCs w:val="20"/>
            <w:rtl/>
          </w:rPr>
          <w:t xml:space="preserve">15. القرارات المتخذة أثناء الصياغة (تُعتمد ما لم تعترض)</w:t>
        </w:r>
      </w:hyperlink>
    </w:p>
    <w:p>
      <w:pPr>
        <w:bidi/>
        <w:spacing w:after="50" w:before="0"/>
        <w:ind w:left="0"/>
      </w:pPr>
      <w:hyperlink w:history="1" w:anchor="_sec2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30">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1. النطاق والحالة</w:t>
      </w:r>
      <w:bookmarkEnd w:id="1"/>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63"/>
        <w:gridCol w:w="6201"/>
      </w:tblGrid>
      <w:tr>
        <w:trPr>
          <w:cantSplit/>
          <w:tblHeader/>
        </w:trPr>
        <w:tc>
          <w:tcPr>
            <w:tcW w:type="dxa" w:w="3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6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6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3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6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3,248 مُعرَّفة في النماذج + الأعمدة الآلية = </w:t>
            </w:r>
            <w:r>
              <w:rPr>
                <w:rFonts w:ascii="Arial" w:cs="Arial" w:eastAsia="Arial" w:hAnsi="Arial"/>
                <w:b/>
                <w:bCs/>
                <w:sz w:val="18"/>
                <w:szCs w:val="18"/>
                <w:rtl/>
              </w:rPr>
              <w:t xml:space="preserve">3,774</w:t>
            </w:r>
            <w:r>
              <w:rPr>
                <w:rFonts w:ascii="Arial" w:cs="Arial" w:eastAsia="Arial" w:hAnsi="Arial"/>
                <w:b w:val="false"/>
                <w:bCs w:val="false"/>
                <w:sz w:val="18"/>
                <w:szCs w:val="18"/>
                <w:rtl/>
              </w:rPr>
              <w:t xml:space="preserve"> في DDL</w:t>
            </w:r>
          </w:p>
        </w:tc>
      </w:tr>
      <w:tr>
        <w:trPr>
          <w:cantSplit/>
        </w:trPr>
        <w:tc>
          <w:tcPr>
            <w:tcW w:type="dxa" w:w="3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6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741</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476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3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6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مجمّعة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3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6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3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6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3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6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3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6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pStyle w:val="Heading1"/>
        <w:bidi/>
      </w:pPr>
      <w:bookmarkStart w:name="_sec2" w:id="2"/>
      <w:r>
        <w:rPr>
          <w:rFonts w:ascii="Arial" w:cs="Arial" w:eastAsia="Arial" w:hAnsi="Arial"/>
          <w:b/>
          <w:bCs/>
          <w:color w:val="1F3A5F"/>
          <w:sz w:val="32"/>
          <w:szCs w:val="32"/>
          <w:rtl/>
        </w:rPr>
        <w:t xml:space="preserve">2. القرارات التقنية الأساسية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8"/>
        <w:gridCol w:w="4979"/>
        <w:gridCol w:w="3837"/>
      </w:tblGrid>
      <w:tr>
        <w:trPr>
          <w:cantSplit/>
          <w:tblHeader/>
        </w:trPr>
        <w:tc>
          <w:tcPr>
            <w:tcW w:type="dxa" w:w="1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4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4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 تعدد اللغات داخل </w:t>
            </w:r>
            <w:r>
              <w:rPr>
                <w:rFonts w:ascii="Courier New" w:cs="Courier New" w:eastAsia="Courier New" w:hAnsi="Courier New"/>
                <w:b w:val="false"/>
                <w:bCs w:val="false"/>
                <w:color w:val="1F2937"/>
                <w:sz w:val="16"/>
                <w:szCs w:val="16"/>
                <w:shd w:fill="F1F3F5" w:color="auto" w:val="clear"/>
                <w:rtl/>
              </w:rPr>
              <w:t xml:space="preserve">‎NVARCHAR‎</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4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4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في SQL Server 2025 </w:t>
            </w:r>
            <w:r>
              <w:rPr>
                <w:rFonts w:ascii="Arial" w:cs="Arial" w:eastAsia="Arial" w:hAnsi="Arial"/>
                <w:b/>
                <w:bCs/>
                <w:sz w:val="18"/>
                <w:szCs w:val="18"/>
                <w:rtl/>
              </w:rPr>
              <w:t xml:space="preserve">مرشَّح للاعتماد لاحقًا</w:t>
            </w:r>
            <w:r>
              <w:rPr>
                <w:rFonts w:ascii="Arial" w:cs="Arial" w:eastAsia="Arial" w:hAnsi="Arial"/>
                <w:b w:val="false"/>
                <w:bCs w:val="false"/>
                <w:sz w:val="18"/>
                <w:szCs w:val="18"/>
                <w:rtl/>
              </w:rPr>
              <w:t xml:space="preserve"> عند حاجة فعلية (فهرسة داخل JSON) — لم يُعتمد الآن</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4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(من أي مستند ومتى سرى) لا تاريخ تقني فقط؛ لا تضخّم تخزين لكل جدول</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4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في كل جدول + مفاتيح أجنبية مركّبة + RLS</w:t>
            </w:r>
            <w:r>
              <w:rPr>
                <w:rFonts w:ascii="Arial" w:cs="Arial" w:eastAsia="Arial" w:hAnsi="Arial"/>
                <w:b w:val="false"/>
                <w:bCs w:val="false"/>
                <w:sz w:val="18"/>
                <w:szCs w:val="18"/>
                <w:rtl/>
              </w:rPr>
              <w:t xml:space="preserve"> (ثلاث طبقات)</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4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المفتاح ملفوف بمفتاح رئيسي </w:t>
            </w:r>
            <w:r>
              <w:rPr>
                <w:rFonts w:ascii="Arial" w:cs="Arial" w:eastAsia="Arial" w:hAnsi="Arial"/>
                <w:b/>
                <w:bCs/>
                <w:sz w:val="18"/>
                <w:szCs w:val="18"/>
                <w:rtl/>
              </w:rPr>
              <w:t xml:space="preserve">خارج القاعدة</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لا </w:t>
            </w:r>
            <w:r>
              <w:rPr>
                <w:rFonts w:ascii="Courier New" w:cs="Courier New" w:eastAsia="Courier New" w:hAnsi="Courier New"/>
                <w:b w:val="false"/>
                <w:bCs w:val="false"/>
                <w:color w:val="1F2937"/>
                <w:sz w:val="16"/>
                <w:szCs w:val="16"/>
                <w:shd w:fill="F1F3F5" w:color="auto" w:val="clear"/>
                <w:rtl/>
              </w:rPr>
              <w:t xml:space="preserve">‎Always Encrypted‎</w:t>
            </w:r>
            <w:r>
              <w:rPr>
                <w:rFonts w:ascii="Arial" w:cs="Arial" w:eastAsia="Arial" w:hAnsi="Arial"/>
                <w:b w:val="false"/>
                <w:bCs w:val="false"/>
                <w:sz w:val="18"/>
                <w:szCs w:val="18"/>
                <w:rtl/>
              </w:rPr>
              <w:t xml:space="preserve"> الآن لأن البحث بالتطابق يتم بفهرس أعمى HMAC خاص بنا</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4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وتتبّع التغيير في ملف مضغوط واحد لكل وحدة</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4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في بيئة العمل (§14) دون ادعاء أنه اختبار على SQL Server</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4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العزل بين المشتركين</w:t>
      </w:r>
      <w:bookmarkEnd w:id="3"/>
    </w:p>
    <w:p>
      <w:pPr>
        <w:pStyle w:val="Heading2"/>
        <w:bidi/>
      </w:pPr>
      <w:bookmarkStart w:name="_sec4" w:id="4"/>
      <w:r>
        <w:rPr>
          <w:rFonts w:ascii="Arial" w:cs="Arial" w:eastAsia="Arial" w:hAnsi="Arial"/>
          <w:b/>
          <w:bCs/>
          <w:color w:val="2B5C8A"/>
          <w:sz w:val="26"/>
          <w:szCs w:val="26"/>
          <w:rtl/>
        </w:rPr>
        <w:t xml:space="preserve">3.1 الطبقات الثلاث</w:t>
      </w:r>
      <w:bookmarkEnd w:id="4"/>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Arial" w:cs="Arial" w:eastAsia="Arial" w:hAnsi="Arial"/>
          <w:b w:val="false"/>
          <w:bCs w:val="false"/>
          <w:sz w:val="21"/>
          <w:szCs w:val="21"/>
          <w:rtl/>
        </w:rPr>
        <w:t xml:space="preserve">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الـ476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سياق الجلسة</w:t>
      </w:r>
      <w:bookmarkEnd w:id="5"/>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يضبط المفاتيح بـ </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يرفض مشتركًا غير موجود أو حالته خارج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يملك التطبيق مسارًا آخر لتحديد المشترك. الاتصال الذي لا يضبط السياق </w:t>
      </w:r>
      <w:r>
        <w:rPr>
          <w:rFonts w:ascii="Arial" w:cs="Arial" w:eastAsia="Arial" w:hAnsi="Arial"/>
          <w:b/>
          <w:bCs/>
          <w:sz w:val="21"/>
          <w:szCs w:val="21"/>
          <w:rtl/>
        </w:rPr>
        <w:t xml:space="preserve">لا يرى صفوف أي مشترك</w:t>
      </w:r>
      <w:r>
        <w:rPr>
          <w:rFonts w:ascii="Arial" w:cs="Arial" w:eastAsia="Arial" w:hAnsi="Arial"/>
          <w:b w:val="false"/>
          <w:bCs w:val="false"/>
          <w:sz w:val="21"/>
          <w:szCs w:val="21"/>
          <w:rtl/>
        </w:rPr>
        <w:t xml:space="preserve"> (الجداول العالمية وصفوف المنصة المختلطة تبقى للقراءة).</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المجمّع: إعادة الاستخدام تستلزم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(سلوك </w:t>
      </w:r>
      <w:r>
        <w:rPr>
          <w:rFonts w:ascii="Courier New" w:cs="Courier New" w:eastAsia="Courier New" w:hAnsi="Courier New"/>
          <w:b w:val="false"/>
          <w:bCs w:val="false"/>
          <w:color w:val="1F2937"/>
          <w:sz w:val="18"/>
          <w:szCs w:val="18"/>
          <w:shd w:fill="F1F3F5" w:color="auto" w:val="clear"/>
          <w:rtl/>
        </w:rPr>
        <w:t xml:space="preserve">‎SqlClient‎</w:t>
      </w:r>
      <w:r>
        <w:rPr>
          <w:rFonts w:ascii="Arial" w:cs="Arial" w:eastAsia="Arial" w:hAnsi="Arial"/>
          <w:b w:val="false"/>
          <w:bCs w:val="false"/>
          <w:sz w:val="21"/>
          <w:szCs w:val="21"/>
          <w:rtl/>
        </w:rPr>
        <w:t xml:space="preserve"> الافتراضي) حتى يُمسَح السياق قبل الضبط التالي.</w:t>
      </w:r>
    </w:p>
    <w:p>
      <w:pPr>
        <w:bidi/>
        <w:spacing w:after="60" w:before="0"/>
      </w:pPr>
    </w:p>
    <w:p>
      <w:pPr>
        <w:pStyle w:val="Heading2"/>
        <w:bidi/>
      </w:pPr>
      <w:bookmarkStart w:name="_sec6" w:id="6"/>
      <w:r>
        <w:rPr>
          <w:rFonts w:ascii="Arial" w:cs="Arial" w:eastAsia="Arial" w:hAnsi="Arial"/>
          <w:b/>
          <w:bCs/>
          <w:color w:val="2B5C8A"/>
          <w:sz w:val="26"/>
          <w:szCs w:val="26"/>
          <w:rtl/>
        </w:rPr>
        <w:t xml:space="preserve">3.3 أنواع النطاق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5734"/>
        <w:gridCol w:w="1000"/>
        <w:gridCol w:w="113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‎plat.Plan/PlanModule/Tenant/ReservedSubdomain/PlatformOperator‎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‎ref.Country/Currency/Incoterm‎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‎cat.LookupItem‎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(له سياسة خاصة §3.4)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 صفوف المنصة لـ </w:t>
            </w:r>
            <w:r>
              <w:rPr>
                <w:rFonts w:ascii="Courier New" w:cs="Courier New" w:eastAsia="Courier New" w:hAnsi="Courier New"/>
                <w:b w:val="false"/>
                <w:bCs w:val="false"/>
                <w:color w:val="1F2937"/>
                <w:sz w:val="16"/>
                <w:szCs w:val="16"/>
                <w:shd w:fill="F1F3F5" w:color="auto" w:val="clear"/>
                <w:rtl/>
              </w:rPr>
              <w:t xml:space="preserve">‎tp_platform‎</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7" w:id="7"/>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7"/>
    </w:p>
    <w:p>
      <w:pPr>
        <w:bidi/>
        <w:spacing w:after="110" w:before="0" w:line="312"/>
      </w:pPr>
      <w:r>
        <w:rPr>
          <w:rFonts w:ascii="Arial" w:cs="Arial" w:eastAsia="Arial" w:hAnsi="Arial"/>
          <w:b w:val="false"/>
          <w:bCs w:val="false"/>
          <w:sz w:val="21"/>
          <w:szCs w:val="21"/>
          <w:rtl/>
        </w:rPr>
        <w:t xml:space="preserve">جدول مختلط ولكن 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 (لا تُرى كصفوف عامة كما في الكتالوجات).</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3.5 مشغّلو المنصة والدعم</w:t>
      </w:r>
      <w:bookmarkEnd w:id="8"/>
    </w:p>
    <w:p>
      <w:pPr>
        <w:pStyle w:val="ListParagraph"/>
        <w:numPr>
          <w:ilvl w:val="0"/>
          <w:numId w:val="3"/>
        </w:numPr>
        <w:bidi/>
        <w:spacing w:after="70" w:before="0" w:line="300"/>
      </w:pPr>
      <w:r>
        <w:rPr>
          <w:rFonts w:ascii="Arial" w:cs="Arial" w:eastAsia="Arial" w:hAnsi="Arial"/>
          <w:b w:val="false"/>
          <w:bCs w:val="false"/>
          <w:sz w:val="21"/>
          <w:szCs w:val="21"/>
          <w:rtl/>
        </w:rPr>
        <w:t xml:space="preserve">أعضاء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يتجاوزون RLS (إدارة المشتركين والاشتراكات). هذا الدور </w:t>
      </w:r>
      <w:r>
        <w:rPr>
          <w:rFonts w:ascii="Arial" w:cs="Arial" w:eastAsia="Arial" w:hAnsi="Arial"/>
          <w:b/>
          <w:bCs/>
          <w:sz w:val="21"/>
          <w:szCs w:val="21"/>
          <w:rtl/>
        </w:rPr>
        <w:t xml:space="preserve">لا يُمنح لحساب التطبيق العادي</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وصول الدعم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w:t>
      </w:r>
      <w:r>
        <w:rPr>
          <w:rFonts w:ascii="Courier New" w:cs="Courier New" w:eastAsia="Courier New" w:hAnsi="Courier New"/>
          <w:b w:val="false"/>
          <w:bCs w:val="false"/>
          <w:color w:val="1F2937"/>
          <w:sz w:val="18"/>
          <w:szCs w:val="18"/>
          <w:shd w:fill="F1F3F5" w:color="auto" w:val="clear"/>
          <w:rtl/>
        </w:rPr>
        <w:t xml:space="preserve">‎GrantedBy‎</w:t>
      </w:r>
      <w:r>
        <w:rPr>
          <w:rFonts w:ascii="Arial" w:cs="Arial" w:eastAsia="Arial" w:hAnsi="Arial"/>
          <w:b w:val="false"/>
          <w:bCs w:val="false"/>
          <w:sz w:val="21"/>
          <w:szCs w:val="21"/>
          <w:rtl/>
        </w:rPr>
        <w:t xml:space="preserve">) لمشغّل محدد، بنافذة زمنية </w:t>
      </w:r>
      <w:r>
        <w:rPr>
          <w:rFonts w:ascii="Courier New" w:cs="Courier New" w:eastAsia="Courier New" w:hAnsi="Courier New"/>
          <w:b w:val="false"/>
          <w:bCs w:val="false"/>
          <w:color w:val="1F2937"/>
          <w:sz w:val="18"/>
          <w:szCs w:val="18"/>
          <w:shd w:fill="F1F3F5" w:color="auto" w:val="clear"/>
          <w:rtl/>
        </w:rPr>
        <w:t xml:space="preserve">‎StartsAt…EndsAt‎</w:t>
      </w:r>
      <w:r>
        <w:rPr>
          <w:rFonts w:ascii="Arial" w:cs="Arial" w:eastAsia="Arial" w:hAnsi="Arial"/>
          <w:b w:val="false"/>
          <w:bCs w:val="false"/>
          <w:sz w:val="21"/>
          <w:szCs w:val="21"/>
          <w:rtl/>
        </w:rPr>
        <w:t xml:space="preserve"> (من ساعة إلى 72 ساعة، الافتراضي 4 — تُتحقق في التطبيق) وسبب إلزامي، ويمكن إلغاؤه (</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الاتفاقيات (Conventions)</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بالصلاحيات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ثابتة)؛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 دون الاعتماد على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القابل للتعديل</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التاريخ والمراجعات ومصدر القيمة</w:t>
      </w:r>
      <w:bookmarkEnd w:id="10"/>
    </w:p>
    <w:p>
      <w:pPr>
        <w:pStyle w:val="Heading2"/>
        <w:bidi/>
      </w:pPr>
      <w:bookmarkStart w:name="_sec11" w:id="11"/>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1"/>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2" w:id="12"/>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2"/>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(أو مراجعتين)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3" w:id="13"/>
      <w:r>
        <w:rPr>
          <w:rFonts w:ascii="Arial" w:cs="Arial" w:eastAsia="Arial" w:hAnsi="Arial"/>
          <w:b/>
          <w:bCs/>
          <w:color w:val="2B5C8A"/>
          <w:sz w:val="26"/>
          <w:szCs w:val="26"/>
          <w:rtl/>
        </w:rPr>
        <w:t xml:space="preserve">5.3 التدقيق</w:t>
      </w:r>
      <w:bookmarkEnd w:id="13"/>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سلسلة 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لكشف العبث بعد التفعيل (FR-PLT-025).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(خطّ 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4" w:id="14"/>
      <w:r>
        <w:rPr>
          <w:rFonts w:ascii="Arial" w:cs="Arial" w:eastAsia="Arial" w:hAnsi="Arial"/>
          <w:b/>
          <w:bCs/>
          <w:color w:val="1F3A5F"/>
          <w:sz w:val="32"/>
          <w:szCs w:val="32"/>
          <w:rtl/>
        </w:rPr>
        <w:t xml:space="preserve">6. حماية البيانات الحساسة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63"/>
        <w:gridCol w:w="5201"/>
      </w:tblGrid>
      <w:tr>
        <w:trPr>
          <w:cantSplit/>
          <w:tblHeader/>
        </w:trPr>
        <w:tc>
          <w:tcPr>
            <w:tcW w:type="dxa" w:w="4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5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4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الهوية/الإقامة/الجواز/هوية الخليج</w:t>
            </w:r>
          </w:p>
        </w:tc>
        <w:tc>
          <w:tcPr>
            <w:tcW w:type="dxa" w:w="5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 VARBINARY(512)‎</w:t>
            </w:r>
            <w:r>
              <w:rPr>
                <w:rFonts w:ascii="Arial" w:cs="Arial" w:eastAsia="Arial" w:hAnsi="Arial"/>
                <w:b w:val="false"/>
                <w:bCs w:val="false"/>
                <w:sz w:val="18"/>
                <w:szCs w:val="18"/>
                <w:rtl/>
              </w:rPr>
              <w:t xml:space="preserve"> (AES-256-GCM) + </w:t>
            </w:r>
            <w:r>
              <w:rPr>
                <w:rFonts w:ascii="Courier New" w:cs="Courier New" w:eastAsia="Courier New" w:hAnsi="Courier New"/>
                <w:b w:val="false"/>
                <w:bCs w:val="false"/>
                <w:color w:val="1F2937"/>
                <w:sz w:val="16"/>
                <w:szCs w:val="16"/>
                <w:shd w:fill="F1F3F5" w:color="auto" w:val="clear"/>
                <w:rtl/>
              </w:rPr>
              <w:t xml:space="preserve">‎NumberMask NVARCHAR(32)‎</w:t>
            </w:r>
            <w:r>
              <w:rPr>
                <w:rFonts w:ascii="Arial" w:cs="Arial" w:eastAsia="Arial" w:hAnsi="Arial"/>
                <w:b w:val="false"/>
                <w:bCs w:val="false"/>
                <w:sz w:val="18"/>
                <w:szCs w:val="18"/>
                <w:rtl/>
              </w:rPr>
              <w:t xml:space="preserve"> (للعرض: آخر 4) + </w:t>
            </w:r>
            <w:r>
              <w:rPr>
                <w:rFonts w:ascii="Courier New" w:cs="Courier New" w:eastAsia="Courier New" w:hAnsi="Courier New"/>
                <w:b w:val="false"/>
                <w:bCs w:val="false"/>
                <w:color w:val="1F2937"/>
                <w:sz w:val="16"/>
                <w:szCs w:val="16"/>
                <w:shd w:fill="F1F3F5" w:color="auto" w:val="clear"/>
                <w:rtl/>
              </w:rPr>
              <w:t xml:space="preserve">‎NumberHash VARBINARY(32)‎</w:t>
            </w:r>
            <w:r>
              <w:rPr>
                <w:rFonts w:ascii="Arial" w:cs="Arial" w:eastAsia="Arial" w:hAnsi="Arial"/>
                <w:b w:val="false"/>
                <w:bCs w:val="false"/>
                <w:sz w:val="18"/>
                <w:szCs w:val="18"/>
                <w:rtl/>
              </w:rPr>
              <w:t xml:space="preserve"> (HMAC-SHA256 فهرسة عمياء للبحث بالتطابق وكشف التكرار) في </w:t>
            </w:r>
            <w:r>
              <w:rPr>
                <w:rFonts w:ascii="Courier New" w:cs="Courier New" w:eastAsia="Courier New" w:hAnsi="Courier New"/>
                <w:b w:val="false"/>
                <w:bCs w:val="false"/>
                <w:color w:val="1F2937"/>
                <w:sz w:val="16"/>
                <w:szCs w:val="16"/>
                <w:shd w:fill="F1F3F5" w:color="auto" w:val="clear"/>
                <w:rtl/>
              </w:rPr>
              <w:t xml:space="preserve">‎pty.IdentityDocument‎</w:t>
            </w:r>
          </w:p>
        </w:tc>
      </w:tr>
      <w:tr>
        <w:trPr>
          <w:cantSplit/>
        </w:trPr>
        <w:tc>
          <w:tcPr>
            <w:tcW w:type="dxa" w:w="4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الحسابات والآيبان</w:t>
            </w:r>
          </w:p>
        </w:tc>
        <w:tc>
          <w:tcPr>
            <w:tcW w:type="dxa" w:w="5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 / …Mask / …Hash‎</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(آيبان المستفيد)</w:t>
            </w:r>
          </w:p>
        </w:tc>
      </w:tr>
      <w:tr>
        <w:trPr>
          <w:cantSplit/>
        </w:trPr>
        <w:tc>
          <w:tcPr>
            <w:tcW w:type="dxa" w:w="4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 الحقول المخصصة الحساسة</w:t>
            </w:r>
          </w:p>
        </w:tc>
        <w:tc>
          <w:tcPr>
            <w:tcW w:type="dxa" w:w="5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p>
        </w:tc>
      </w:tr>
      <w:tr>
        <w:trPr>
          <w:cantSplit/>
        </w:trPr>
        <w:tc>
          <w:tcPr>
            <w:tcW w:type="dxa" w:w="4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علامات الامتثال (PEP/عقوبات/تحقيق/حصانة)</w:t>
            </w:r>
          </w:p>
        </w:tc>
        <w:tc>
          <w:tcPr>
            <w:tcW w:type="dxa" w:w="5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 محجوبة عن التقارير</w:t>
            </w:r>
          </w:p>
        </w:tc>
      </w:tr>
      <w:tr>
        <w:trPr>
          <w:cantSplit/>
        </w:trPr>
        <w:tc>
          <w:tcPr>
            <w:tcW w:type="dxa" w:w="4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5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يشير إليه)؛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(فرادة مصفّاة)؛ التدوير بحالة </w:t>
            </w:r>
            <w:r>
              <w:rPr>
                <w:rFonts w:ascii="Courier New" w:cs="Courier New" w:eastAsia="Courier New" w:hAnsi="Courier New"/>
                <w:b w:val="false"/>
                <w:bCs w:val="false"/>
                <w:color w:val="1F2937"/>
                <w:sz w:val="16"/>
                <w:szCs w:val="16"/>
                <w:shd w:fill="F1F3F5" w:color="auto" w:val="clear"/>
                <w:rtl/>
              </w:rPr>
              <w:t xml:space="preserve">‎RETIRING‎</w:t>
            </w:r>
            <w:r>
              <w:rPr>
                <w:rFonts w:ascii="Arial" w:cs="Arial" w:eastAsia="Arial" w:hAnsi="Arial"/>
                <w:b w:val="false"/>
                <w:bCs w:val="false"/>
                <w:sz w:val="18"/>
                <w:szCs w:val="18"/>
                <w:rtl/>
              </w:rPr>
              <w:t xml:space="preserve"> أثناء إعادة التشفير</w:t>
            </w:r>
          </w:p>
        </w:tc>
      </w:tr>
      <w:tr>
        <w:trPr>
          <w:cantSplit/>
        </w:trPr>
        <w:tc>
          <w:tcPr>
            <w:tcW w:type="dxa" w:w="4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5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4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5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‎006_sensitive_columns.sql‎</w:t>
            </w:r>
            <w:r>
              <w:rPr>
                <w:rFonts w:ascii="Arial" w:cs="Arial" w:eastAsia="Arial" w:hAnsi="Arial"/>
                <w:b w:val="false"/>
                <w:bCs w:val="false"/>
                <w:sz w:val="18"/>
                <w:szCs w:val="18"/>
                <w:rtl/>
              </w:rPr>
              <w:t xml:space="preserve">)</w:t>
            </w:r>
          </w:p>
        </w:tc>
      </w:tr>
      <w:tr>
        <w:trPr>
          <w:cantSplit/>
        </w:trPr>
        <w:tc>
          <w:tcPr>
            <w:tcW w:type="dxa" w:w="4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5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الملفات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4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5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(قرار §9.4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تطبيق ذلك في </w:t>
            </w:r>
            <w:r>
              <w:rPr>
                <w:rFonts w:ascii="Arial" w:cs="Arial" w:eastAsia="Arial" w:hAnsi="Arial"/>
                <w:b/>
                <w:bCs/>
                <w:sz w:val="18"/>
                <w:szCs w:val="18"/>
                <w:rtl/>
              </w:rPr>
              <w:t xml:space="preserve">طبقة التطبيق بالصلاحيات</w:t>
            </w:r>
            <w:r>
              <w:rPr>
                <w:rFonts w:ascii="Arial" w:cs="Arial" w:eastAsia="Arial" w:hAnsi="Arial"/>
                <w:b w:val="false"/>
                <w:bCs w:val="false"/>
                <w:sz w:val="18"/>
                <w:szCs w:val="18"/>
                <w:rtl/>
              </w:rPr>
              <w:t xml:space="preserve">،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15" w:id="15"/>
      <w:r>
        <w:rPr>
          <w:rFonts w:ascii="Arial" w:cs="Arial" w:eastAsia="Arial" w:hAnsi="Arial"/>
          <w:b/>
          <w:bCs/>
          <w:color w:val="1F3A5F"/>
          <w:sz w:val="32"/>
          <w:szCs w:val="32"/>
          <w:rtl/>
        </w:rPr>
        <w:t xml:space="preserve">7. استراتيجية سلامة البيانات</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2"/>
        <w:gridCol w:w="3648"/>
        <w:gridCol w:w="4354"/>
      </w:tblGrid>
      <w:tr>
        <w:trPr>
          <w:cantSplit/>
          <w:tblHeader/>
        </w:trPr>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3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(741)، والمركّب يمنع العبور بين المشتركين والتجميعات</w:t>
            </w:r>
          </w:p>
        </w:tc>
        <w:tc>
          <w:tcPr>
            <w:tcW w:type="dxa" w:w="4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r>
              <w:rPr>
                <w:rFonts w:ascii="Arial" w:cs="Arial" w:eastAsia="Arial" w:hAnsi="Arial"/>
                <w:b w:val="false"/>
                <w:bCs w:val="false"/>
                <w:sz w:val="18"/>
                <w:szCs w:val="18"/>
                <w:rtl/>
              </w:rPr>
              <w:t xml:space="preserve"> (385)</w:t>
            </w:r>
          </w:p>
        </w:tc>
        <w:tc>
          <w:tcPr>
            <w:tcW w:type="dxa" w:w="4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تجمع الحقول المتلازمة: مبلغ مطلق أو نسبة من الأب (XOR)،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اعتماد مبيعات بلا تسهيل/استخدام،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w:t>
            </w:r>
          </w:p>
        </w:tc>
        <w:tc>
          <w:tcPr>
            <w:tcW w:type="dxa" w:w="4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w:t>
            </w:r>
          </w:p>
        </w:tc>
        <w:tc>
          <w:tcPr>
            <w:tcW w:type="dxa" w:w="4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 (196 مصفّاة)</w:t>
            </w:r>
          </w:p>
        </w:tc>
      </w:tr>
      <w:tr>
        <w:trPr>
          <w:cantSplit/>
        </w:trPr>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التحقق من صلاحيات التفويض · فحص التعارض بين المفوّضين</w:t>
            </w:r>
          </w:p>
        </w:tc>
        <w:tc>
          <w:tcPr>
            <w:tcW w:type="dxa" w:w="4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bidi/>
        <w:spacing w:after="110" w:before="0" w:line="312"/>
      </w:pPr>
      <w:r>
        <w:rPr>
          <w:rFonts w:ascii="Arial" w:cs="Arial" w:eastAsia="Arial" w:hAnsi="Arial"/>
          <w:b/>
          <w:bCs/>
          <w:sz w:val="21"/>
          <w:szCs w:val="21"/>
          <w:rtl/>
        </w:rPr>
        <w:t xml:space="preserve">قاعدة الحدود (ملخص):</w:t>
      </w:r>
      <w:r>
        <w:rPr>
          <w:rFonts w:ascii="Arial" w:cs="Arial" w:eastAsia="Arial" w:hAnsi="Arial"/>
          <w:b w:val="false"/>
          <w:bCs w:val="false"/>
          <w:sz w:val="21"/>
          <w:szCs w:val="21"/>
          <w:rtl/>
        </w:rPr>
        <w:t xml:space="preserve"> المبلغ الوحيد الممرَّر لخدمات الحدود هو </w:t>
      </w:r>
      <w:r>
        <w:rPr>
          <w:rFonts w:ascii="Courier New" w:cs="Courier New" w:eastAsia="Courier New" w:hAnsi="Courier New"/>
          <w:b w:val="false"/>
          <w:bCs w:val="false"/>
          <w:color w:val="1F2937"/>
          <w:sz w:val="18"/>
          <w:szCs w:val="18"/>
          <w:shd w:fill="F1F3F5" w:color="auto" w:val="clear"/>
          <w:rtl/>
        </w:rPr>
        <w:t xml:space="preserve">‎ExposureAmount = Amount × (1 + PlusTol)‎</w:t>
      </w:r>
      <w:r>
        <w:rPr>
          <w:rFonts w:ascii="Arial" w:cs="Arial" w:eastAsia="Arial" w:hAnsi="Arial"/>
          <w:b w:val="false"/>
          <w:bCs w:val="false"/>
          <w:sz w:val="21"/>
          <w:szCs w:val="21"/>
          <w:rtl/>
        </w:rPr>
        <w:t xml:space="preserve">. أوضاع التوزيع </w:t>
      </w:r>
      <w:r>
        <w:rPr>
          <w:rFonts w:ascii="Courier New" w:cs="Courier New" w:eastAsia="Courier New" w:hAnsi="Courier New"/>
          <w:b w:val="false"/>
          <w:bCs w:val="false"/>
          <w:color w:val="1F2937"/>
          <w:sz w:val="18"/>
          <w:szCs w:val="18"/>
          <w:shd w:fill="F1F3F5" w:color="auto" w:val="clear"/>
          <w:rtl/>
        </w:rPr>
        <w:t xml:space="preserve">‎SHARED_CAP / PARTITION / OUTSIDE_TOTAL‎</w:t>
      </w:r>
      <w:r>
        <w:rPr>
          <w:rFonts w:ascii="Arial" w:cs="Arial" w:eastAsia="Arial" w:hAnsi="Arial"/>
          <w:b w:val="false"/>
          <w:bCs w:val="false"/>
          <w:sz w:val="21"/>
          <w:szCs w:val="21"/>
          <w:rtl/>
        </w:rPr>
        <w:t xml:space="preserve">. شدة الفحص </w:t>
      </w:r>
      <w:r>
        <w:rPr>
          <w:rFonts w:ascii="Courier New" w:cs="Courier New" w:eastAsia="Courier New" w:hAnsi="Courier New"/>
          <w:b w:val="false"/>
          <w:bCs w:val="false"/>
          <w:color w:val="1F2937"/>
          <w:sz w:val="18"/>
          <w:szCs w:val="18"/>
          <w:shd w:fill="F1F3F5" w:color="auto" w:val="clear"/>
          <w:rtl/>
        </w:rPr>
        <w:t xml:space="preserve">‎CheckMode‎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‎WARN‎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‎BLOCK‎</w:t>
      </w:r>
      <w:r>
        <w:rPr>
          <w:rFonts w:ascii="Arial" w:cs="Arial" w:eastAsia="Arial" w:hAnsi="Arial"/>
          <w:b w:val="false"/>
          <w:bCs w:val="false"/>
          <w:sz w:val="21"/>
          <w:szCs w:val="21"/>
          <w:rtl/>
        </w:rPr>
        <w:t xml:space="preserve">} بافتراضي </w:t>
      </w:r>
      <w:r>
        <w:rPr>
          <w:rFonts w:ascii="Courier New" w:cs="Courier New" w:eastAsia="Courier New" w:hAnsi="Courier New"/>
          <w:b/>
          <w:bCs/>
          <w:color w:val="1F2937"/>
          <w:sz w:val="18"/>
          <w:szCs w:val="18"/>
          <w:shd w:fill="F1F3F5" w:color="auto" w:val="clear"/>
          <w:rtl/>
        </w:rPr>
        <w:t xml:space="preserve">‎WARN‎</w:t>
      </w:r>
      <w:r>
        <w:rPr>
          <w:rFonts w:ascii="Arial" w:cs="Arial" w:eastAsia="Arial" w:hAnsi="Arial"/>
          <w:b w:val="false"/>
          <w:bCs w:val="false"/>
          <w:sz w:val="21"/>
          <w:szCs w:val="21"/>
          <w:rtl/>
        </w:rPr>
        <w:t xml:space="preserve"> — إقرار مسجَّل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لا منع. الحجز يمر بحالات </w:t>
      </w:r>
      <w:r>
        <w:rPr>
          <w:rFonts w:ascii="Courier New" w:cs="Courier New" w:eastAsia="Courier New" w:hAnsi="Courier New"/>
          <w:b w:val="false"/>
          <w:bCs w:val="false"/>
          <w:color w:val="1F2937"/>
          <w:sz w:val="18"/>
          <w:szCs w:val="18"/>
          <w:shd w:fill="F1F3F5" w:color="auto" w:val="clear"/>
          <w:rtl/>
        </w:rPr>
        <w:t xml:space="preserve">‎ACTIVE → CONVERTED | RELEASED‎</w:t>
      </w:r>
      <w:r>
        <w:rPr>
          <w:rFonts w:ascii="Arial" w:cs="Arial" w:eastAsia="Arial" w:hAnsi="Arial"/>
          <w:b w:val="false"/>
          <w:bCs w:val="false"/>
          <w:sz w:val="21"/>
          <w:szCs w:val="21"/>
          <w:rtl/>
        </w:rPr>
        <w:t xml:space="preserve">، ولكل تحرك أثر في </w:t>
      </w:r>
      <w:r>
        <w:rPr>
          <w:rFonts w:ascii="Courier New" w:cs="Courier New" w:eastAsia="Courier New" w:hAnsi="Courier New"/>
          <w:b w:val="false"/>
          <w:bCs w:val="false"/>
          <w:color w:val="1F2937"/>
          <w:sz w:val="18"/>
          <w:szCs w:val="18"/>
          <w:shd w:fill="F1F3F5" w:color="auto" w:val="clear"/>
          <w:rtl/>
        </w:rPr>
        <w:t xml:space="preserve">‎fac.LimitMovement‎</w:t>
      </w:r>
      <w:r>
        <w:rPr>
          <w:rFonts w:ascii="Arial" w:cs="Arial" w:eastAsia="Arial" w:hAnsi="Arial"/>
          <w:b w:val="false"/>
          <w:bCs w:val="false"/>
          <w:sz w:val="21"/>
          <w:szCs w:val="21"/>
          <w:rtl/>
        </w:rPr>
        <w:t xml:space="preserve"> (للإضافة فقط).</w:t>
      </w:r>
    </w:p>
    <w:p>
      <w:pPr>
        <w:pStyle w:val="Heading1"/>
        <w:bidi/>
      </w:pPr>
      <w:bookmarkStart w:name="_sec16" w:id="16"/>
      <w:r>
        <w:rPr>
          <w:rFonts w:ascii="Arial" w:cs="Arial" w:eastAsia="Arial" w:hAnsi="Arial"/>
          <w:b/>
          <w:bCs/>
          <w:color w:val="1F3A5F"/>
          <w:sz w:val="32"/>
          <w:szCs w:val="32"/>
          <w:rtl/>
        </w:rPr>
        <w:t xml:space="preserve">8. الفهرسة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 (</w:t>
            </w:r>
            <w:r>
              <w:rPr>
                <w:rFonts w:ascii="Courier New" w:cs="Courier New" w:eastAsia="Courier New" w:hAnsi="Courier New"/>
                <w:b w:val="false"/>
                <w:bCs w:val="false"/>
                <w:color w:val="1F2937"/>
                <w:sz w:val="16"/>
                <w:szCs w:val="16"/>
                <w:shd w:fill="F1F3F5" w:color="auto" w:val="clear"/>
                <w:rtl/>
              </w:rPr>
              <w:t xml:space="preserve">‎Status = 'ACTIVE'‎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IS NOT NULL‎</w:t>
            </w:r>
            <w:r>
              <w:rPr>
                <w:rFonts w:ascii="Arial" w:cs="Arial" w:eastAsia="Arial" w:hAnsi="Arial"/>
                <w:b w:val="false"/>
                <w:bCs w:val="false"/>
                <w:sz w:val="18"/>
                <w:szCs w:val="18"/>
                <w:rtl/>
              </w:rPr>
              <w:t xml:space="preserve">…) فتبقى صغيرة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في المخرجات: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وهو غير مدعوم في الفهارس المصفّاة)؛ مفتاحان فقط بـ </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‎org.CompanyWealthSource‎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‎pty.KycProfileItemLegalForm‎</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17" w:id="17"/>
      <w:r>
        <w:rPr>
          <w:rFonts w:ascii="Arial" w:cs="Arial" w:eastAsia="Arial" w:hAnsi="Arial"/>
          <w:b/>
          <w:bCs/>
          <w:color w:val="1F3A5F"/>
          <w:sz w:val="32"/>
          <w:szCs w:val="32"/>
          <w:rtl/>
        </w:rPr>
        <w:t xml:space="preserve">9. الأدوار والصلاحيات (على مستوى القاعدة)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1"/>
        <w:gridCol w:w="2914"/>
        <w:gridCol w:w="4279"/>
      </w:tblGrid>
      <w:tr>
        <w:trPr>
          <w:cantSplit/>
          <w:tblHeader/>
        </w:trPr>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w:t>
            </w:r>
          </w:p>
        </w:tc>
      </w:tr>
      <w:tr>
        <w:trPr>
          <w:cantSplit/>
        </w:trPr>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التطبيق</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INSERT, UPDATE, REFERENCES‎</w:t>
            </w:r>
            <w:r>
              <w:rPr>
                <w:rFonts w:ascii="Arial" w:cs="Arial" w:eastAsia="Arial" w:hAnsi="Arial"/>
                <w:b w:val="false"/>
                <w:bCs w:val="false"/>
                <w:sz w:val="18"/>
                <w:szCs w:val="18"/>
                <w:rtl/>
              </w:rPr>
              <w:t xml:space="preserve"> على مخططات الأعمال؛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قراءة فقط؛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(7 جداول)؛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p>
        </w:tc>
      </w:tr>
      <w:tr>
        <w:trPr>
          <w:cantSplit/>
        </w:trPr>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يتجاوز RLS؛ كتابة على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إدراج في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لا حذف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p>
        </w:tc>
      </w:tr>
      <w:tr>
        <w:trPr>
          <w:cantSplit/>
        </w:trPr>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w:t>
            </w:r>
            <w:r>
              <w:rPr>
                <w:rFonts w:ascii="Arial" w:cs="Arial" w:eastAsia="Arial" w:hAnsi="Arial"/>
                <w:b/>
                <w:bCs/>
                <w:sz w:val="18"/>
                <w:szCs w:val="18"/>
                <w:rtl/>
              </w:rPr>
              <w:t xml:space="preserve">دون الأعمدة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في </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لم تُمنح له صلاحيات بعد</w:t>
            </w:r>
            <w:r>
              <w:rPr>
                <w:rFonts w:ascii="Arial" w:cs="Arial" w:eastAsia="Arial" w:hAnsi="Arial"/>
                <w:b w:val="false"/>
                <w:bCs w:val="false"/>
                <w:sz w:val="18"/>
                <w:szCs w:val="18"/>
                <w:rtl/>
              </w:rPr>
              <w:t xml:space="preserve"> (تُحدَّد مع أداة الترحيل O-2)، ويُستعمل حساب بصلاحيات مالك القاعدة أثناء النشر</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 (لا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مستوى المخطط لأنه يُبطل منح الجداول).</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ويجب حصرهم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يُشارك بيانات الاعتماد.</w:t>
      </w:r>
    </w:p>
    <w:p>
      <w:pPr>
        <w:bidi/>
        <w:spacing w:after="60" w:before="0"/>
      </w:pPr>
    </w:p>
    <w:p>
      <w:pPr>
        <w:pStyle w:val="Heading1"/>
        <w:bidi/>
      </w:pPr>
      <w:bookmarkStart w:name="_sec18" w:id="18"/>
      <w:r>
        <w:rPr>
          <w:rFonts w:ascii="Arial" w:cs="Arial" w:eastAsia="Arial" w:hAnsi="Arial"/>
          <w:b/>
          <w:bCs/>
          <w:color w:val="1F3A5F"/>
          <w:sz w:val="32"/>
          <w:szCs w:val="32"/>
          <w:rtl/>
        </w:rPr>
        <w:t xml:space="preserve">10. خريطة المخططات والجداول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4"/>
        <w:gridCol w:w="6976"/>
        <w:gridCol w:w="1444"/>
      </w:tblGrid>
      <w:tr>
        <w:trPr>
          <w:cantSplit/>
          <w:tblHeader/>
        </w:trPr>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(Mermaid) وجدول العلاقات العابرة للمخططات: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19" w:id="19"/>
      <w:r>
        <w:rPr>
          <w:rFonts w:ascii="Arial" w:cs="Arial" w:eastAsia="Arial" w:hAnsi="Arial"/>
          <w:b/>
          <w:bCs/>
          <w:color w:val="2B5C8A"/>
          <w:sz w:val="26"/>
          <w:szCs w:val="26"/>
          <w:rtl/>
        </w:rPr>
        <w:t xml:space="preserve">10.1 تغطية المتطلبات</w:t>
      </w:r>
      <w:bookmarkEnd w:id="19"/>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(التطابقات الثلاثة المعروضة </w:t>
      </w:r>
      <w:r>
        <w:rPr>
          <w:rFonts w:ascii="Courier New" w:cs="Courier New" w:eastAsia="Courier New" w:hAnsi="Courier New"/>
          <w:b w:val="false"/>
          <w:bCs w:val="false"/>
          <w:color w:val="1F2937"/>
          <w:sz w:val="18"/>
          <w:szCs w:val="18"/>
          <w:shd w:fill="F1F3F5" w:color="auto" w:val="clear"/>
          <w:rtl/>
        </w:rPr>
        <w:t xml:space="preserve">‎A10/A11/SortOrder‎</w:t>
      </w:r>
      <w:r>
        <w:rPr>
          <w:rFonts w:ascii="Arial" w:cs="Arial" w:eastAsia="Arial" w:hAnsi="Arial"/>
          <w:b w:val="false"/>
          <w:bCs w:val="false"/>
          <w:sz w:val="21"/>
          <w:szCs w:val="21"/>
          <w:rtl/>
        </w:rPr>
        <w:t xml:space="preserve"> ليست كيانات).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1"/>
        <w:bidi/>
      </w:pPr>
      <w:bookmarkStart w:name="_sec20" w:id="20"/>
      <w:r>
        <w:rPr>
          <w:rFonts w:ascii="Arial" w:cs="Arial" w:eastAsia="Arial" w:hAnsi="Arial"/>
          <w:b/>
          <w:bCs/>
          <w:color w:val="1F3A5F"/>
          <w:sz w:val="32"/>
          <w:szCs w:val="32"/>
          <w:rtl/>
        </w:rPr>
        <w:t xml:space="preserve">11. أنماط التصميم للمجالات الرئيسية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 (ملف، فروع، تدفقات متوقعة، مصادر ثروة، إفصاحات، علاقات رئيسية)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وأسس التفويض ونوع التوقيع وسقف السحب النقدي،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رصيد إدخالي من البنك؛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(هامش فوق مرجع، عمولات)؛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(SIBOR/TARIF…)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‎LineCatalogItem‎</w:t>
            </w:r>
            <w:r>
              <w:rPr>
                <w:rFonts w:ascii="Arial" w:cs="Arial" w:eastAsia="Arial" w:hAnsi="Arial"/>
                <w:b w:val="false"/>
                <w:bCs w:val="false"/>
                <w:sz w:val="18"/>
                <w:szCs w:val="18"/>
                <w:rtl/>
              </w:rPr>
              <w:t xml:space="preserve"> + مرادفات)،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لحساب المؤشرات</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المستقبلية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(قالب افتراضي قابل للتعديل)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 المراجع الخارجية؛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للتفويض؛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r>
              <w:rPr>
                <w:rFonts w:ascii="Arial" w:cs="Arial" w:eastAsia="Arial" w:hAnsi="Arial"/>
                <w:b w:val="false"/>
                <w:bCs w:val="false"/>
                <w:sz w:val="18"/>
                <w:szCs w:val="18"/>
                <w:rtl/>
              </w:rPr>
              <w:t xml:space="preserve">؛ إلزامية بعض الأحداث تُفرض في التطبيق</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(شروط مشتركة بين الطلب والاعتماد والبروفورما)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حجز طلبات المبيعات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النشر والتشغيل</w:t>
      </w:r>
      <w:bookmarkEnd w:id="21"/>
    </w:p>
    <w:p>
      <w:pPr>
        <w:pStyle w:val="Heading2"/>
        <w:bidi/>
      </w:pPr>
      <w:bookmarkStart w:name="_sec22" w:id="2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22"/>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p>
    <w:p>
      <w:pPr>
        <w:pStyle w:val="ListParagraph"/>
        <w:numPr>
          <w:ilvl w:val="0"/>
          <w:numId w:val="4"/>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val="false"/>
          <w:bCs w:val="false"/>
          <w:sz w:val="21"/>
          <w:szCs w:val="21"/>
          <w:rtl/>
        </w:rPr>
        <w:t xml:space="preserve">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(§16).</w:t>
      </w:r>
    </w:p>
    <w:p>
      <w:pPr>
        <w:pStyle w:val="Heading2"/>
        <w:bidi/>
      </w:pPr>
      <w:bookmarkStart w:name="_sec23" w:id="23"/>
      <w:r>
        <w:rPr>
          <w:rFonts w:ascii="Arial" w:cs="Arial" w:eastAsia="Arial" w:hAnsi="Arial"/>
          <w:b/>
          <w:bCs/>
          <w:color w:val="2B5C8A"/>
          <w:sz w:val="26"/>
          <w:szCs w:val="26"/>
          <w:rtl/>
        </w:rPr>
        <w:t xml:space="preserve">12.2 تغيير النموذج</w:t>
      </w:r>
      <w:bookmarkEnd w:id="2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لا تُعدَّل الملفات المولَّدة يدويًا. صيغة النموذج مشروحة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24" w:id="24"/>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2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اختبار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(حذف بالخطأ) يتم بتصدير/استيراد صفوفه بترتيب التبعيات من استعادة بنسخة مؤقتة، لأن القاعدة واحدة لكل المشتركين.</w:t>
      </w:r>
    </w:p>
    <w:p>
      <w:pPr>
        <w:pStyle w:val="ListParagraph"/>
        <w:numPr>
          <w:ilvl w:val="0"/>
          <w:numId w:val="3"/>
        </w:numPr>
        <w:bidi/>
        <w:spacing w:after="70" w:before="0" w:line="300"/>
      </w:pPr>
      <w:r>
        <w:rPr>
          <w:rFonts w:ascii="Arial" w:cs="Arial" w:eastAsia="Arial" w:hAnsi="Arial"/>
          <w:b w:val="false"/>
          <w:bCs w:val="false"/>
          <w:sz w:val="21"/>
          <w:szCs w:val="21"/>
          <w:rtl/>
        </w:rPr>
        <w:t xml:space="preserve">ضبط </w:t>
      </w: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للقاعدة لتقليل الحجب بين القراءة والكتابة (توصية تشغيل؛ لم يُضمَّن في السكربتات).</w:t>
      </w:r>
    </w:p>
    <w:p>
      <w:pPr>
        <w:bidi/>
        <w:spacing w:after="60" w:before="0"/>
      </w:pPr>
    </w:p>
    <w:p>
      <w:pPr>
        <w:pStyle w:val="Heading2"/>
        <w:bidi/>
      </w:pPr>
      <w:bookmarkStart w:name="_sec25" w:id="25"/>
      <w:r>
        <w:rPr>
          <w:rFonts w:ascii="Arial" w:cs="Arial" w:eastAsia="Arial" w:hAnsi="Arial"/>
          <w:b/>
          <w:bCs/>
          <w:color w:val="2B5C8A"/>
          <w:sz w:val="26"/>
          <w:szCs w:val="26"/>
          <w:rtl/>
        </w:rPr>
        <w:t xml:space="preserve">12.4 الأداء والحمل</w:t>
      </w:r>
      <w:bookmarkEnd w:id="25"/>
    </w:p>
    <w:p>
      <w:pPr>
        <w:bidi/>
        <w:spacing w:after="110" w:before="0" w:line="312"/>
      </w:pPr>
      <w:r>
        <w:rPr>
          <w:rFonts w:ascii="Arial" w:cs="Arial" w:eastAsia="Arial" w:hAnsi="Arial"/>
          <w:b w:val="false"/>
          <w:bCs w:val="false"/>
          <w:sz w:val="21"/>
          <w:szCs w:val="21"/>
          <w:rtl/>
        </w:rPr>
        <w:t xml:space="preserve">الحمل المتوقع منخفض (مشتركون قليلون، VPS خاص)؛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26" w:id="26"/>
      <w:r>
        <w:rPr>
          <w:rFonts w:ascii="Arial" w:cs="Arial" w:eastAsia="Arial" w:hAnsi="Arial"/>
          <w:b/>
          <w:bCs/>
          <w:color w:val="1F3A5F"/>
          <w:sz w:val="32"/>
          <w:szCs w:val="32"/>
          <w:rtl/>
        </w:rPr>
        <w:t xml:space="preserve">13. البذور وتهيئة المشترك (خطة — لم تُنفَّذ بعد)</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1"/>
        <w:gridCol w:w="6036"/>
        <w:gridCol w:w="2797"/>
      </w:tblGrid>
      <w:tr>
        <w:trPr>
          <w:cantSplit/>
          <w:tblHeader/>
        </w:trPr>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‎LcFieldUcpRef‎</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كل بذرة بـ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ثابت و</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إنشاء مشترك</w:t>
            </w:r>
          </w:p>
        </w:tc>
        <w:tc>
          <w:tcPr>
            <w:tcW w:type="dxa" w:w="6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المشترك الافتراضية (أنواع قانونية، مناصب، صلاحيات حوكمة، أنواع منتجات، أنواع حدود، أنواع ضمانات…)، الأدوار القياسية وربطها بالصلاحيات، قوالب دورات العمل الافتراضية القابلة للتعديل (شراء/مبيعات/عامة)، ملفات KYC المسبقة (KYC-CORP-BASE وبنوك التصدير والاستيراد/ساب/الرياض، KYC-PERSON-SIGNATORY…)، قواعد الإشعارات وقوالبها</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تهيئة المشترك في التطبيق (idempotent) يبذر بـ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لا يلمس ما عدّله المشترك (</w:t>
            </w:r>
            <w:r>
              <w:rPr>
                <w:rFonts w:ascii="Courier New" w:cs="Courier New" w:eastAsia="Courier New" w:hAnsi="Courier New"/>
                <w:b w:val="false"/>
                <w:bCs w:val="false"/>
                <w:color w:val="1F2937"/>
                <w:sz w:val="16"/>
                <w:szCs w:val="16"/>
                <w:shd w:fill="F1F3F5" w:color="auto" w:val="clear"/>
                <w:rtl/>
              </w:rPr>
              <w:t xml:space="preserve">‎IsSystem‎</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‎IsLocked‎</w:t>
            </w:r>
            <w:r>
              <w:rPr>
                <w:rFonts w:ascii="Arial" w:cs="Arial" w:eastAsia="Arial" w:hAnsi="Arial"/>
                <w:b w:val="false"/>
                <w:bCs w:val="false"/>
                <w:sz w:val="18"/>
                <w:szCs w:val="18"/>
                <w:rtl/>
              </w:rPr>
              <w:t xml:space="preserve">)</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27" w:id="27"/>
      <w:r>
        <w:rPr>
          <w:rFonts w:ascii="Arial" w:cs="Arial" w:eastAsia="Arial" w:hAnsi="Arial"/>
          <w:b/>
          <w:bCs/>
          <w:color w:val="1F3A5F"/>
          <w:sz w:val="32"/>
          <w:szCs w:val="32"/>
          <w:rtl/>
        </w:rPr>
        <w:t xml:space="preserve">14. أدلة التحقق وحدودها (بصراحة)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5"/>
        <w:gridCol w:w="3255"/>
        <w:gridCol w:w="3354"/>
      </w:tblGrid>
      <w:tr>
        <w:trPr>
          <w:cantSplit/>
          <w:tblHeader/>
        </w:trPr>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3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3,248 عمودًا؛ لا مراجع معلّقة؛ لا مخالفة لقواعد النطاق</w:t>
            </w:r>
          </w:p>
        </w:tc>
        <w:tc>
          <w:tcPr>
            <w:tcW w:type="dxa" w:w="3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التسمية والمراجع والمفاتيح المركّبة والأعمدة المطلوبة</w:t>
            </w:r>
          </w:p>
        </w:tc>
      </w:tr>
      <w:tr>
        <w:trPr>
          <w:cantSplit/>
        </w:trPr>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741 مفتاحًا أجنبيًا / 691 قيد فريد أو أساسي، تنفيذ كامل بلا أخطاء</w:t>
            </w:r>
          </w:p>
        </w:tc>
        <w:tc>
          <w:tcPr>
            <w:tcW w:type="dxa" w:w="3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سلامة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(الأسماء، المراجع، القيود، الفرادة المصفّاة).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‎000…005‎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‎010/020/030/040‎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28 تحذير لأن المحلّل لا يدعم صيغة </w:t>
            </w:r>
            <w:r>
              <w:rPr>
                <w:rFonts w:ascii="Courier New" w:cs="Courier New" w:eastAsia="Courier New" w:hAnsi="Courier New"/>
                <w:b w:val="false"/>
                <w:bCs w:val="false"/>
                <w:color w:val="1F2937"/>
                <w:sz w:val="16"/>
                <w:szCs w:val="16"/>
                <w:shd w:fill="F1F3F5" w:color="auto" w:val="clear"/>
                <w:rtl/>
              </w:rPr>
              <w:t xml:space="preserve">‎DENY SELECT ON [s].[T]([Col])‎</w:t>
            </w:r>
            <w:r>
              <w:rPr>
                <w:rFonts w:ascii="Arial" w:cs="Arial" w:eastAsia="Arial" w:hAnsi="Arial"/>
                <w:b w:val="false"/>
                <w:bCs w:val="false"/>
                <w:sz w:val="18"/>
                <w:szCs w:val="18"/>
                <w:rtl/>
              </w:rPr>
              <w:t xml:space="preserve"> على مستوى العمود — وهي صيغة صحيحة في T-SQL</w:t>
            </w:r>
          </w:p>
        </w:tc>
        <w:tc>
          <w:tcPr>
            <w:tcW w:type="dxa" w:w="3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 نحوي جزئي (المؤشرات </w:t>
            </w:r>
            <w:r>
              <w:rPr>
                <w:rFonts w:ascii="Courier New" w:cs="Courier New" w:eastAsia="Courier New" w:hAnsi="Courier New"/>
                <w:b w:val="false"/>
                <w:bCs w:val="false"/>
                <w:color w:val="1F2937"/>
                <w:sz w:val="16"/>
                <w:szCs w:val="16"/>
                <w:shd w:fill="F1F3F5" w:color="auto" w:val="clear"/>
                <w:rtl/>
              </w:rPr>
              <w:t xml:space="preserve">‎CURSOR‎</w:t>
            </w:r>
            <w:r>
              <w:rPr>
                <w:rFonts w:ascii="Arial" w:cs="Arial" w:eastAsia="Arial" w:hAnsi="Arial"/>
                <w:b w:val="false"/>
                <w:bCs w:val="false"/>
                <w:sz w:val="18"/>
                <w:szCs w:val="18"/>
                <w:rtl/>
              </w:rPr>
              <w:t xml:space="preserve"> وسياسات الأمان تُعامَل كأوامر عامة)</w:t>
            </w:r>
          </w:p>
        </w:tc>
      </w:tr>
      <w:tr>
        <w:trPr>
          <w:cantSplit/>
        </w:trPr>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 للفهارس المصفّاة</w:t>
            </w:r>
          </w:p>
        </w:tc>
        <w:tc>
          <w:tcPr>
            <w:tcW w:type="dxa" w:w="3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على نسخة SQL Server 2025 نظيفة وتصحيح ما يظهر (متوقع: تفاصيل صيغة قليلة، خصوصًا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الديناميكي وترتيب النشر)</w:t>
            </w:r>
          </w:p>
        </w:tc>
      </w:tr>
      <w:tr>
        <w:trPr>
          <w:cantSplit/>
        </w:trPr>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سلوكية (RLS/تعدد المشتركين/القيود)</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حزمة tSQLt أو اختبارات تكامل تنشئ مشتركَين وتحاول القراءة/الكتابة العابرة وتتحقق من الرفض</w:t>
            </w:r>
          </w:p>
        </w:tc>
      </w:tr>
    </w:tbl>
    <w:p>
      <w:pPr>
        <w:bidi/>
        <w:spacing w:after="120" w:before="0"/>
      </w:pPr>
    </w:p>
    <w:p>
      <w:pPr>
        <w:pStyle w:val="Heading1"/>
        <w:bidi/>
      </w:pPr>
      <w:bookmarkStart w:name="_sec28" w:id="28"/>
      <w:r>
        <w:rPr>
          <w:rFonts w:ascii="Arial" w:cs="Arial" w:eastAsia="Arial" w:hAnsi="Arial"/>
          <w:b/>
          <w:bCs/>
          <w:color w:val="1F3A5F"/>
          <w:sz w:val="32"/>
          <w:szCs w:val="32"/>
          <w:rtl/>
        </w:rPr>
        <w:t xml:space="preserve">15. القرارات المتخذة أثناء الصياغة (تُعتمد ما لم تعترض)</w:t>
      </w:r>
      <w:bookmarkEnd w:id="28"/>
    </w:p>
    <w:p>
      <w:pPr>
        <w:bidi/>
        <w:spacing w:after="110" w:before="0" w:line="312"/>
      </w:pPr>
      <w:r>
        <w:rPr>
          <w:rFonts w:ascii="Arial" w:cs="Arial" w:eastAsia="Arial" w:hAnsi="Arial"/>
          <w:b w:val="false"/>
          <w:bCs w:val="false"/>
          <w:sz w:val="21"/>
          <w:szCs w:val="21"/>
          <w:rtl/>
        </w:rPr>
        <w:t xml:space="preserve">مؤلفو النماذج رصدوا ثغرات أو تعارضات بين المواصفات؛ هذه ما اتُّخذ فيها: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 (لا مشاركة قالب بين نوعين)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بـ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(الجداول: LoginAttempt, UserPasswordHistory, KeyEvent, ExpiryAlertLog, SeedRun, LimitMovement, RequestAction)</w:t>
            </w:r>
          </w:p>
        </w:tc>
      </w:tr>
    </w:tbl>
    <w:p>
      <w:pPr>
        <w:bidi/>
        <w:spacing w:after="120" w:before="0"/>
      </w:pPr>
    </w:p>
    <w:p>
      <w:pPr>
        <w:pStyle w:val="Heading1"/>
        <w:bidi/>
      </w:pPr>
      <w:bookmarkStart w:name="_sec29" w:id="29"/>
      <w:r>
        <w:rPr>
          <w:rFonts w:ascii="Arial" w:cs="Arial" w:eastAsia="Arial" w:hAnsi="Arial"/>
          <w:b/>
          <w:bCs/>
          <w:color w:val="1F3A5F"/>
          <w:sz w:val="32"/>
          <w:szCs w:val="32"/>
          <w:rtl/>
        </w:rPr>
        <w:t xml:space="preserve">16. حدود معروفة ونقاط مفتوحة</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687"/>
        <w:gridCol w:w="2212"/>
        <w:gridCol w:w="196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w:t>
            </w:r>
          </w:p>
        </w:tc>
        <w:tc>
          <w:tcPr>
            <w:tcW w:type="dxa" w:w="1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RLS</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1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أداة ترحيل (مثل DbUp/Flyway) عند أول نشر فعلي على بيانات حقيقية؛ المولِّد يولّد «الحالة المستهدفة» فقط</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1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1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1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1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1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طلب مشترك كبير قاعدة مستقلة، يمكن لاحقًا نقل صفوفه إلى قاعدة خاصة لأن البنية تحمل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والمفاتيح المركّبة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1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17. الخطوة التالية</w:t>
      </w:r>
      <w:bookmarkEnd w:id="30"/>
    </w:p>
    <w:p>
      <w:pPr>
        <w:pStyle w:val="ListParagraph"/>
        <w:numPr>
          <w:ilvl w:val="0"/>
          <w:numId w:val="5"/>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الوثيقة، خاصة القرارات §2 و§15 والحدود §16.</w:t>
      </w:r>
    </w:p>
    <w:p>
      <w:pPr>
        <w:pStyle w:val="ListParagraph"/>
        <w:numPr>
          <w:ilvl w:val="0"/>
          <w:numId w:val="5"/>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 اختبارات RLS والمفاتيح المركّبة (O-1).</w:t>
      </w:r>
    </w:p>
    <w:p>
      <w:pPr>
        <w:pStyle w:val="ListParagraph"/>
        <w:numPr>
          <w:ilvl w:val="0"/>
          <w:numId w:val="5"/>
        </w:numPr>
        <w:bidi/>
        <w:spacing w:after="70" w:before="0" w:line="300"/>
      </w:pPr>
      <w:r>
        <w:rPr>
          <w:rFonts w:ascii="Arial" w:cs="Arial" w:eastAsia="Arial" w:hAnsi="Arial"/>
          <w:b w:val="false"/>
          <w:bCs w:val="false"/>
          <w:sz w:val="21"/>
          <w:szCs w:val="21"/>
          <w:rtl/>
        </w:rPr>
        <w:t xml:space="preserve">ثم تصميم الواجهات (RTL لاحقًا؛ الإنجليزية أولًا) والشريحة الرأسية الرقيقة S0، أو التوجّه الذي تحدده.</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2026-10-10T22:32:07.639Z</dcterms:created>
  <dcterms:modified xsi:type="dcterms:W3CDTF">2026-10-10T22:32:07.639Z</dcterms:modified>
</cp:coreProperties>
</file>

<file path=docProps/custom.xml><?xml version="1.0" encoding="utf-8"?>
<Properties xmlns="http://schemas.openxmlformats.org/officeDocument/2006/custom-properties" xmlns:vt="http://schemas.openxmlformats.org/officeDocument/2006/docPropsVTypes"/>
</file>