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1.0</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الالتزام b983b22: ملفات قاعدة البيانات حتى 1099، و590 فحصاً للقاعدة و652 اختباراً للخادم ناجحة</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ملحق نماذج النظام (حالات الاستخدام، تدفق البيانات، الحالات، التسلسل)؛ خطة الاختبار والقبول</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في ملحق نماذج النظام أو في خطة الاختبار والقبول.</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12</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40 وثيقة، 12 مكتملة و4 أُعدّت مع هذه الحزمة. أهم ما يلزم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متطلبات مرقّمة (SRS) ومصفوفة تتبع واحدة تربطها بحالات الاستخدام والاختبارات (أ2، أ3).</w:t>
      </w:r>
    </w:p>
    <w:p>
      <w:pPr>
        <w:pStyle w:val="ListParagraph"/>
        <w:numPr>
          <w:ilvl w:val="0"/>
          <w:numId w:val="3"/>
        </w:numPr>
        <w:bidi/>
        <w:spacing w:after="80" w:line="290"/>
        <w:jc w:val="right"/>
      </w:pPr>
      <w:r>
        <w:rPr>
          <w:rFonts w:ascii="Arial" w:cs="Arial" w:eastAsia="Arial" w:hAnsi="Arial"/>
          <w:color w:val="0F1B2D"/>
          <w:sz w:val="21"/>
          <w:szCs w:val="21"/>
          <w:rtl/>
        </w:rPr>
        <w:t xml:space="preserve">تحديث الدراسة إلى 3.5 ووثيقة القاعدة إلى 3.13 لتشملا صورة الصعود ومحطات الصعود وبوابة المحطة (أ1، ج2).</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التشغيلية اليومية وشاشات الميزات الجديدة (ب5، ج6).</w:t>
      </w:r>
    </w:p>
    <w:p>
      <w:pPr>
        <w:pStyle w:val="ListParagraph"/>
        <w:numPr>
          <w:ilvl w:val="0"/>
          <w:numId w:val="3"/>
        </w:numPr>
        <w:bidi/>
        <w:spacing w:after="80" w:line="290"/>
        <w:jc w:val="right"/>
      </w:pPr>
      <w:r>
        <w:rPr>
          <w:rFonts w:ascii="Arial" w:cs="Arial" w:eastAsia="Arial" w:hAnsi="Arial"/>
          <w:color w:val="0F1B2D"/>
          <w:sz w:val="21"/>
          <w:szCs w:val="21"/>
          <w:rtl/>
        </w:rPr>
        <w:t xml:space="preserve">اختبار اختراق مستقل، وتقييم أثر حماية البيانات لصورة الصعود (د4، ج7).</w:t>
      </w:r>
    </w:p>
    <w:p>
      <w:pPr>
        <w:pStyle w:val="ListParagraph"/>
        <w:numPr>
          <w:ilvl w:val="0"/>
          <w:numId w:val="3"/>
        </w:numPr>
        <w:bidi/>
        <w:spacing w:after="80" w:line="290"/>
        <w:jc w:val="right"/>
      </w:pPr>
      <w:r>
        <w:rPr>
          <w:rFonts w:ascii="Arial" w:cs="Arial" w:eastAsia="Arial" w:hAnsi="Arial"/>
          <w:color w:val="0F1B2D"/>
          <w:sz w:val="21"/>
          <w:szCs w:val="21"/>
          <w:rtl/>
        </w:rPr>
        <w:t xml:space="preserve">خطة ترحيل البيانات والتحميل الأولي، ومصفوفة المسؤوليات (و5، و2).</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docs/Masslak_Analysis_and_Design_EN_v3.4.docx والنسخة العربية 3.4 المسلّمة؛ تغطي الإصدار 1.48.0 حتى ملف القاعدة 1079</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3.5 يضيف صورة الصعود وسياستها (1086 إلى 1096) ومحطات الصعود وشركات التشغيل وبوابة المحطة (1097 إلى 1099)</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 بأرقام ثابتة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وظيفية وغير وظيفية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تصف المتطلبات بأقسامها، دون أرقام متطلبات مستقلة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تعدّها الجهة المختصة من الدراسة وهذه الحزمة، وفق المعيار ISO/IEC/IEEE 29148</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ووحدة وواجهة واختبار</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أجزاء متفرقة: تتبع حالات الاستخدام 1.0 إلى الدراسة 2.5، وتتبع الكيانات إلى الجداول في وثيقة القاعدة 3.12، وملفات الاختبار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توحيدها في مصفوفة واحدة بعد إعداد أ2</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التي تحكم السعر والاسترداد والدفع والصعود والصورة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في الدراسة، وفي قيود القاعدة (العرض sys.v_check_inventory)، وفي وثائق التشغيل</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جمعها في كتالوج مرقّم يذكر مصدر كل قاعدة ومكان تطبيقها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مع إعداد أ2</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docs/Masslak_Use_Case_and_Data_Flow_Diagrams_v1.0.docx: المخططات UC-0 إلى UC-10، من الدراسة 2.5</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ملحق النماذج يضيف UC-11 إلى UC-13؛ تبقى مراجعة UC-0 إلى UC-10 مع الدراسة 3.5</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ومخازن البيانات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DFD-0 وDFD-1A وDFD-1B وثمانية مخططات من المستوى الثاني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الملحق يضيف العمليتين P15 وP16 والمخازن D18 إلى D22 والمخططين DFD-15 وDFD-16؛ ويلزم إدراجها في DFD-0 وDFD-1</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الأساسية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ملحق النماذج: ST-1 إلى ST-6، مأخوذة من قواعد قاعدة البيانات</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الحاجة: الشحنة، البيان، السحب</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ملحق النماذج: SQ-1 إلى SQ-4</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الإلغاء والاسترداد، إصدار البيان، التسويات والسحب</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 الكاونتر، الصعود، توريد النقد، الحوادث</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موصوفة نصاً في دليل التشغيل وفي الدراسة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تعدّها الجهة المختصة مع فرق التشغيل والناقل التجريبي</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docs/database/Masslak_Database_Design_and_ERD_v3.12.docx، حتى ملف القاعدة 1079</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إصدار 3.13 يغطي الملفات 1080 إلى 1099؛ مولّد الوثيقة قائم في docs/database/generator</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514 جدولاً و5279 عموداً و1471 مفتاحاً أجنبياً</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للشركاء</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الخط الأساسي مع كل إصدار</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نظام التصميم، ونموذج أولي لمسار المسافر والسائق والبوابات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شاشات الميزات الجديدة: سياسة الصورة، محطات الصعود، بوابة المحطة، المراجع، الصلاحيات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وdocs/architecture/AI_ASSISTANT_THREAT_MODEL_DPIA.md، وdocs/security/PENETRATION_TEST_SCOPE.md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تقييم أثر حماية البيانات (DPIA) لصورة الصعود والبيانات الحيوية، قبل تفعيلها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Masslak_Test_and_Acceptance_Plan_AR_v1.0.docx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590 فحصاً؛ backend/tests: 652 اختباراً ناجحاً و10 متخطاة؛ فحوص الويب والجوال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staging عند الذروة المتوقعة، كما يشترط SLO.md</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هدف فقد البيانات (RPO) 60 ثانية؛ تدريبات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الإطلاق وتوقيعاته: المالك، مسؤول الأمن، مسؤول التشغيل</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الاختبار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 المسلّمة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تحتاج تحديثاً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بما أُنجز وما بقي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تعدّها الجهة المختصة مع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الموظفين والناقلين والوكلاء وشركات التشغيل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المستخدم العربي المسلّم، ويسبق الميزات الأخيرة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الدليل، وخطة تدريب لكل دور</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ترحيل البيانات والتحميل الأولي</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الناقلين والمحطات والمسارات والأسعار والأسطول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أدوات الاستيراد والبيانات التجريبية قائمة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تذكر المصادر والصيغ والتحقق والمسؤول لكل نوع بيانات</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الميزة مغلقة حتى يُعتمد تغيير يذكر أساسه القانوني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ومتى 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3.4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1.0 (ب1، ب2)، ثم ملحق نماذج النظام لما أُضيف بعدها (ب1 إلى ب4).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3.12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مواصفات متطلبات مرقّمة ومصفوفة تتبع، مبنية على الدراسة وهذه الحزمة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نماذج BPMN للعمل اليومي في الكاونتر والصعود وتوريد النقد ومعالجة الحوادث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وتصميم شاشات الميزات الجديدة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وتقييم أثر حماية البيانات لصورة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غير مبنية؛ تُبنى مع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الأولى مبنية: الحجز،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1.0</dc:title>
  <dc:creator>Masslak</dc:creator>
  <cp:lastModifiedBy>Un-named</cp:lastModifiedBy>
  <cp:revision>1</cp:revision>
  <dcterms:created xsi:type="dcterms:W3CDTF">2026-10-12T13:53:45.363Z</dcterms:created>
  <dcterms:modified xsi:type="dcterms:W3CDTF">2026-10-12T13:53:45.370Z</dcterms:modified>
</cp:coreProperties>
</file>

<file path=docProps/custom.xml><?xml version="1.0" encoding="utf-8"?>
<Properties xmlns="http://schemas.openxmlformats.org/officeDocument/2006/custom-properties" xmlns:vt="http://schemas.openxmlformats.org/officeDocument/2006/docPropsVTypes"/>
</file>