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bidi/>
        <w:spacing w:after="100" w:line="300"/>
        <w:jc w:val="right"/>
      </w:pPr>
      <w:r>
        <w:rPr>
          <w:rFonts w:ascii="Arial" w:cs="Arial" w:eastAsia="Arial" w:hAnsi="Arial"/>
          <w:b/>
          <w:bCs/>
          <w:color w:val="0A5BD3"/>
          <w:sz w:val="44"/>
          <w:szCs w:val="44"/>
          <w:rtl/>
        </w:rPr>
        <w:t xml:space="preserve">مســلك</w:t>
      </w:r>
    </w:p>
    <w:p>
      <w:pPr>
        <w:bidi/>
        <w:spacing w:after="120" w:line="300"/>
        <w:jc w:val="right"/>
      </w:pPr>
      <w:r>
        <w:rPr>
          <w:rFonts w:ascii="Arial" w:cs="Arial" w:eastAsia="Arial" w:hAnsi="Arial"/>
          <w:b/>
          <w:bCs/>
          <w:color w:val="0B1F3F"/>
          <w:sz w:val="36"/>
          <w:szCs w:val="36"/>
          <w:rtl/>
        </w:rPr>
        <w:t xml:space="preserve">خطة الاختبار والقبول</w:t>
      </w:r>
    </w:p>
    <w:p>
      <w:pPr>
        <w:bidi/>
        <w:spacing w:after="300" w:line="300"/>
        <w:jc w:val="right"/>
      </w:pPr>
      <w:r>
        <w:rPr>
          <w:rFonts w:ascii="Arial" w:cs="Arial" w:eastAsia="Arial" w:hAnsi="Arial"/>
          <w:color w:val="4B5565"/>
          <w:sz w:val="22"/>
          <w:szCs w:val="22"/>
          <w:rtl/>
        </w:rPr>
        <w:t xml:space="preserve">ما يختبره النظام اليوم، وما يضيفه القبول، وسيناريوهات القبول ومعاييرها، وطريقة تسجيل النتائج واعتمادها</w:t>
      </w:r>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99"/>
        <w:gridCol w:w="6939"/>
      </w:tblGrid>
      <w:tr>
        <w:trPr>
          <w:tblHeader/>
        </w:trPr>
        <w:tc>
          <w:tcPr>
            <w:tcW w:type="dxa" w:w="2699"/>
            <w:tcBorders>
              <w:top w:val="single" w:color="D5DBE3" w:sz="4"/>
              <w:left w:val="none" w:color="FFFFFF" w:sz="0"/>
              <w:bottom w:val="single" w:color="D5DBE3" w:sz="4"/>
              <w:right w:val="none" w:color="FFFFFF" w:sz="0"/>
            </w:tcBorders>
            <w:shd w:fill="0B1F3F" w:color="auto" w:val="clear"/>
            <w:tcMar>
              <w:top w:type="dxa" w:w="60"/>
              <w:left w:type="dxa" w:w="90"/>
              <w:bottom w:type="dxa" w:w="60"/>
              <w:right w:type="dxa" w:w="90"/>
            </w:tcMar>
          </w:tcPr>
          <w:p>
            <w:pPr>
              <w:bidi/>
              <w:spacing w:after="0" w:line="255"/>
              <w:jc w:val="right"/>
            </w:pPr>
            <w:r>
              <w:rPr>
                <w:rFonts w:ascii="Arial" w:cs="Arial" w:eastAsia="Arial" w:hAnsi="Arial"/>
                <w:b/>
                <w:bCs/>
                <w:color w:val="FFFFFF"/>
                <w:sz w:val="18"/>
                <w:szCs w:val="18"/>
                <w:rtl/>
              </w:rPr>
              <w:t xml:space="preserve">البند</w:t>
            </w:r>
          </w:p>
        </w:tc>
        <w:tc>
          <w:tcPr>
            <w:tcW w:type="dxa" w:w="6939"/>
            <w:tcBorders>
              <w:top w:val="single" w:color="D5DBE3" w:sz="4"/>
              <w:left w:val="none" w:color="FFFFFF" w:sz="0"/>
              <w:bottom w:val="single" w:color="D5DBE3" w:sz="4"/>
              <w:right w:val="none" w:color="FFFFFF" w:sz="0"/>
            </w:tcBorders>
            <w:shd w:fill="0B1F3F" w:color="auto" w:val="clear"/>
            <w:tcMar>
              <w:top w:type="dxa" w:w="60"/>
              <w:left w:type="dxa" w:w="90"/>
              <w:bottom w:type="dxa" w:w="60"/>
              <w:right w:type="dxa" w:w="90"/>
            </w:tcMar>
          </w:tcPr>
          <w:p>
            <w:pPr>
              <w:bidi/>
              <w:spacing w:after="0" w:line="255"/>
              <w:jc w:val="right"/>
            </w:pPr>
            <w:r>
              <w:rPr>
                <w:rFonts w:ascii="Arial" w:cs="Arial" w:eastAsia="Arial" w:hAnsi="Arial"/>
                <w:b/>
                <w:bCs/>
                <w:color w:val="FFFFFF"/>
                <w:sz w:val="18"/>
                <w:szCs w:val="18"/>
                <w:rtl/>
              </w:rPr>
              <w:t xml:space="preserve">القيمة</w:t>
            </w:r>
          </w:p>
        </w:tc>
      </w:tr>
      <w:tr>
        <w:trPr>
          <w:cantSplit/>
        </w:trPr>
        <w:tc>
          <w:tcPr>
            <w:tcW w:type="dxa" w:w="2699"/>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7"/>
                <w:szCs w:val="17"/>
                <w:rtl/>
              </w:rPr>
              <w:t xml:space="preserve">الإصدار</w:t>
            </w:r>
          </w:p>
        </w:tc>
        <w:tc>
          <w:tcPr>
            <w:tcW w:type="dxa" w:w="6939"/>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7"/>
                <w:szCs w:val="17"/>
                <w:rtl/>
              </w:rPr>
              <w:t xml:space="preserve">1.0 (مسودة للمراجعة)</w:t>
            </w:r>
          </w:p>
        </w:tc>
      </w:tr>
      <w:tr>
        <w:trPr>
          <w:cantSplit/>
        </w:trPr>
        <w:tc>
          <w:tcPr>
            <w:tcW w:type="dxa" w:w="2699"/>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7"/>
                <w:szCs w:val="17"/>
                <w:rtl/>
              </w:rPr>
              <w:t xml:space="preserve">التاريخ</w:t>
            </w:r>
          </w:p>
        </w:tc>
        <w:tc>
          <w:tcPr>
            <w:tcW w:type="dxa" w:w="6939"/>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7"/>
                <w:szCs w:val="17"/>
                <w:rtl/>
              </w:rPr>
              <w:t xml:space="preserve">12 تشرين الأول 2026</w:t>
            </w:r>
          </w:p>
        </w:tc>
      </w:tr>
      <w:tr>
        <w:trPr>
          <w:cantSplit/>
        </w:trPr>
        <w:tc>
          <w:tcPr>
            <w:tcW w:type="dxa" w:w="2699"/>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7"/>
                <w:szCs w:val="17"/>
                <w:rtl/>
              </w:rPr>
              <w:t xml:space="preserve">النسخة المختبرة</w:t>
            </w:r>
          </w:p>
        </w:tc>
        <w:tc>
          <w:tcPr>
            <w:tcW w:type="dxa" w:w="6939"/>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7"/>
                <w:szCs w:val="17"/>
                <w:rtl/>
              </w:rPr>
              <w:t xml:space="preserve">المستودع بعد الالتزام b983b22 (ملفات القاعدة حتى 1099)</w:t>
            </w:r>
          </w:p>
        </w:tc>
      </w:tr>
      <w:tr>
        <w:trPr>
          <w:cantSplit/>
        </w:trPr>
        <w:tc>
          <w:tcPr>
            <w:tcW w:type="dxa" w:w="2699"/>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7"/>
                <w:szCs w:val="17"/>
                <w:rtl/>
              </w:rPr>
              <w:t xml:space="preserve">المراجع</w:t>
            </w:r>
          </w:p>
        </w:tc>
        <w:tc>
          <w:tcPr>
            <w:tcW w:type="dxa" w:w="6939"/>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7"/>
                <w:szCs w:val="17"/>
                <w:rtl/>
              </w:rPr>
              <w:t xml:space="preserve">LAUNCH_GATES.md (بوابات الإطلاق)، SLO.md (أهداف الخدمة المعتمدة)، PENETRATION_TEST_SCOPE.md، MOBILE_DEVICE_MATRIX.md، ملحق نماذج النظام 1.0</w:t>
            </w:r>
          </w:p>
        </w:tc>
      </w:tr>
      <w:tr>
        <w:trPr>
          <w:cantSplit/>
        </w:trPr>
        <w:tc>
          <w:tcPr>
            <w:tcW w:type="dxa" w:w="2699"/>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7"/>
                <w:szCs w:val="17"/>
                <w:rtl/>
              </w:rPr>
              <w:t xml:space="preserve">الجمهور</w:t>
            </w:r>
          </w:p>
        </w:tc>
        <w:tc>
          <w:tcPr>
            <w:tcW w:type="dxa" w:w="6939"/>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7"/>
                <w:szCs w:val="17"/>
                <w:rtl/>
              </w:rPr>
              <w:t xml:space="preserve">الجهة المختصة بالأنظمة، وفريق الاختبار، ومالك المنصة</w:t>
            </w:r>
          </w:p>
        </w:tc>
      </w:tr>
    </w:tbl>
    <w:p>
      <w:pPr>
        <w:pStyle w:val="Heading1"/>
        <w:keepNext/>
        <w:pBdr>
          <w:bottom w:val="single" w:color="0A5BD3" w:sz="10" w:space="4"/>
        </w:pBdr>
        <w:bidi/>
        <w:spacing w:after="160" w:before="360"/>
        <w:jc w:val="right"/>
      </w:pPr>
      <w:r>
        <w:rPr>
          <w:rFonts w:ascii="Arial" w:cs="Arial" w:eastAsia="Arial" w:hAnsi="Arial"/>
          <w:b/>
          <w:bCs/>
          <w:color w:val="0B1F3F"/>
          <w:sz w:val="30"/>
          <w:szCs w:val="30"/>
          <w:rtl/>
        </w:rPr>
        <w:t xml:space="preserve">1. الغرض والنطاق</w:t>
      </w:r>
    </w:p>
    <w:p>
      <w:pPr>
        <w:bidi/>
        <w:spacing w:after="120" w:line="300"/>
        <w:jc w:val="right"/>
      </w:pPr>
      <w:r>
        <w:rPr>
          <w:rFonts w:ascii="Arial" w:cs="Arial" w:eastAsia="Arial" w:hAnsi="Arial"/>
          <w:color w:val="0F1B2D"/>
          <w:sz w:val="21"/>
          <w:szCs w:val="21"/>
          <w:rtl/>
        </w:rPr>
        <w:t xml:space="preserve">تحدد هذه الخطة كيف يُثبت أن المنصة جاهزة للتشغيل الفعلي: ما يُختبر آلياً في كل تغيير، وما يُختبر في بيئة ما قبل الإنتاج، وما يقبله ممثلو المستخدمين، ومن يوقّع على النتيجة. وهي لا تكرر الاختبارات القائمة، بل تربط سيناريوهات القبول بها، وتذكر ما يحتاج اختباراً يدوياً أو بيئة حقيقية.</w:t>
      </w:r>
    </w:p>
    <w:p>
      <w:pPr>
        <w:pStyle w:val="Heading2"/>
        <w:keepNext/>
        <w:bidi/>
        <w:spacing w:after="100" w:before="240"/>
        <w:jc w:val="right"/>
      </w:pPr>
      <w:r>
        <w:rPr>
          <w:rFonts w:ascii="Arial" w:cs="Arial" w:eastAsia="Arial" w:hAnsi="Arial"/>
          <w:b/>
          <w:bCs/>
          <w:color w:val="0A5BD3"/>
          <w:sz w:val="24"/>
          <w:szCs w:val="24"/>
          <w:rtl/>
        </w:rPr>
        <w:t xml:space="preserve">1.1 داخل النطاق</w:t>
      </w:r>
    </w:p>
    <w:p>
      <w:pPr>
        <w:pStyle w:val="ListParagraph"/>
        <w:numPr>
          <w:ilvl w:val="0"/>
          <w:numId w:val="2"/>
        </w:numPr>
        <w:bidi/>
        <w:spacing w:after="80" w:line="290"/>
        <w:jc w:val="right"/>
      </w:pPr>
      <w:r>
        <w:rPr>
          <w:rFonts w:ascii="Arial" w:cs="Arial" w:eastAsia="Arial" w:hAnsi="Arial"/>
          <w:color w:val="0F1B2D"/>
          <w:sz w:val="21"/>
          <w:szCs w:val="21"/>
          <w:rtl/>
        </w:rPr>
        <w:t xml:space="preserve">البوابات: المسافر، الناقل (OPERATOR)، السائق، الوكالة، إدارة المنصة، المفتش (الجهة الرقابية)، المحطة (STATION)، وتطبيقا الهاتف.</w:t>
      </w:r>
    </w:p>
    <w:p>
      <w:pPr>
        <w:pStyle w:val="ListParagraph"/>
        <w:numPr>
          <w:ilvl w:val="0"/>
          <w:numId w:val="2"/>
        </w:numPr>
        <w:bidi/>
        <w:spacing w:after="80" w:line="290"/>
        <w:jc w:val="right"/>
      </w:pPr>
      <w:r>
        <w:rPr>
          <w:rFonts w:ascii="Arial" w:cs="Arial" w:eastAsia="Arial" w:hAnsi="Arial"/>
          <w:color w:val="0F1B2D"/>
          <w:sz w:val="21"/>
          <w:szCs w:val="21"/>
          <w:rtl/>
        </w:rPr>
        <w:t xml:space="preserve">البحث والحجز وخيارات الدفع والمحفظة والاسترداد، والصعود بالمسح ودونه اتصال، والبيانات والتقارير.</w:t>
      </w:r>
    </w:p>
    <w:p>
      <w:pPr>
        <w:pStyle w:val="ListParagraph"/>
        <w:numPr>
          <w:ilvl w:val="0"/>
          <w:numId w:val="2"/>
        </w:numPr>
        <w:bidi/>
        <w:spacing w:after="80" w:line="290"/>
        <w:jc w:val="right"/>
      </w:pPr>
      <w:r>
        <w:rPr>
          <w:rFonts w:ascii="Arial" w:cs="Arial" w:eastAsia="Arial" w:hAnsi="Arial"/>
          <w:color w:val="0F1B2D"/>
          <w:sz w:val="21"/>
          <w:szCs w:val="21"/>
          <w:rtl/>
        </w:rPr>
        <w:t xml:space="preserve">الوثائق والصور وسياستها، والعائلات وفئات المسافرين، والشحن، وبيانات الرحلات الدولية، وواجهة التكامل للشركاء.</w:t>
      </w:r>
    </w:p>
    <w:p>
      <w:pPr>
        <w:pStyle w:val="ListParagraph"/>
        <w:numPr>
          <w:ilvl w:val="0"/>
          <w:numId w:val="2"/>
        </w:numPr>
        <w:bidi/>
        <w:spacing w:after="80" w:line="290"/>
        <w:jc w:val="right"/>
      </w:pPr>
      <w:r>
        <w:rPr>
          <w:rFonts w:ascii="Arial" w:cs="Arial" w:eastAsia="Arial" w:hAnsi="Arial"/>
          <w:color w:val="0F1B2D"/>
          <w:sz w:val="21"/>
          <w:szCs w:val="21"/>
          <w:rtl/>
        </w:rPr>
        <w:t xml:space="preserve">محطات الصعود وشركات التشغيل بقدر ما بُني (الخطوتان 1 و2).</w:t>
      </w:r>
    </w:p>
    <w:p>
      <w:pPr>
        <w:pStyle w:val="ListParagraph"/>
        <w:numPr>
          <w:ilvl w:val="0"/>
          <w:numId w:val="2"/>
        </w:numPr>
        <w:bidi/>
        <w:spacing w:after="80" w:line="290"/>
        <w:jc w:val="right"/>
      </w:pPr>
      <w:r>
        <w:rPr>
          <w:rFonts w:ascii="Arial" w:cs="Arial" w:eastAsia="Arial" w:hAnsi="Arial"/>
          <w:color w:val="0F1B2D"/>
          <w:sz w:val="21"/>
          <w:szCs w:val="21"/>
          <w:rtl/>
        </w:rPr>
        <w:t xml:space="preserve">المتطلبات غير الوظيفية: الأداء، والتوفر، والاستعادة، والأمن، وإمكانية الوصول، والعربية من اليمين إلى اليسار.</w:t>
      </w:r>
    </w:p>
    <w:p>
      <w:pPr>
        <w:pStyle w:val="Heading2"/>
        <w:keepNext/>
        <w:bidi/>
        <w:spacing w:after="100" w:before="240"/>
        <w:jc w:val="right"/>
      </w:pPr>
      <w:r>
        <w:rPr>
          <w:rFonts w:ascii="Arial" w:cs="Arial" w:eastAsia="Arial" w:hAnsi="Arial"/>
          <w:b/>
          <w:bCs/>
          <w:color w:val="0A5BD3"/>
          <w:sz w:val="24"/>
          <w:szCs w:val="24"/>
          <w:rtl/>
        </w:rPr>
        <w:t xml:space="preserve">1.2 خارج النطاق</w:t>
      </w:r>
    </w:p>
    <w:p>
      <w:pPr>
        <w:pStyle w:val="ListParagraph"/>
        <w:numPr>
          <w:ilvl w:val="0"/>
          <w:numId w:val="2"/>
        </w:numPr>
        <w:bidi/>
        <w:spacing w:after="80" w:line="290"/>
        <w:jc w:val="right"/>
      </w:pPr>
      <w:r>
        <w:rPr>
          <w:rFonts w:ascii="Arial" w:cs="Arial" w:eastAsia="Arial" w:hAnsi="Arial"/>
          <w:color w:val="0F1B2D"/>
          <w:sz w:val="21"/>
          <w:szCs w:val="21"/>
          <w:rtl/>
        </w:rPr>
        <w:t xml:space="preserve">ما لم يُبنَ بعد: فحص الكاونتر وبطاقة الصعود ورقم البوابة عليها، وشاشات المحطات، وصورة الكاونتر.</w:t>
      </w:r>
    </w:p>
    <w:p>
      <w:pPr>
        <w:pStyle w:val="ListParagraph"/>
        <w:numPr>
          <w:ilvl w:val="0"/>
          <w:numId w:val="2"/>
        </w:numPr>
        <w:bidi/>
        <w:spacing w:after="80" w:line="290"/>
        <w:jc w:val="right"/>
      </w:pPr>
      <w:r>
        <w:rPr>
          <w:rFonts w:ascii="Arial" w:cs="Arial" w:eastAsia="Arial" w:hAnsi="Arial"/>
          <w:color w:val="0F1B2D"/>
          <w:sz w:val="21"/>
          <w:szCs w:val="21"/>
          <w:rtl/>
        </w:rPr>
        <w:t xml:space="preserve">المراحل المغلقة بقرار المنصة، مثل المساعد الذكي ومركز الاتصال: لا تُفتح دون مراجعة امتثال معتمدة.</w:t>
      </w:r>
    </w:p>
    <w:p>
      <w:pPr>
        <w:pStyle w:val="ListParagraph"/>
        <w:numPr>
          <w:ilvl w:val="0"/>
          <w:numId w:val="2"/>
        </w:numPr>
        <w:bidi/>
        <w:spacing w:after="80" w:line="290"/>
        <w:jc w:val="right"/>
      </w:pPr>
      <w:r>
        <w:rPr>
          <w:rFonts w:ascii="Arial" w:cs="Arial" w:eastAsia="Arial" w:hAnsi="Arial"/>
          <w:color w:val="0F1B2D"/>
          <w:sz w:val="21"/>
          <w:szCs w:val="21"/>
          <w:rtl/>
        </w:rPr>
        <w:t xml:space="preserve">مزودو الدفع والرسائل والتحقق من الهوية الذين لم يُتعاقد معهم بعد: يُختبر ربطهم عند التعاقد، في بيئة المزود التجريبية.</w:t>
      </w:r>
    </w:p>
    <w:p>
      <w:pPr>
        <w:pStyle w:val="Heading1"/>
        <w:keepNext/>
        <w:pBdr>
          <w:bottom w:val="single" w:color="0A5BD3" w:sz="10" w:space="4"/>
        </w:pBdr>
        <w:bidi/>
        <w:spacing w:after="160" w:before="360"/>
        <w:jc w:val="right"/>
      </w:pPr>
      <w:r>
        <w:rPr>
          <w:rFonts w:ascii="Arial" w:cs="Arial" w:eastAsia="Arial" w:hAnsi="Arial"/>
          <w:b/>
          <w:bCs/>
          <w:color w:val="0B1F3F"/>
          <w:sz w:val="30"/>
          <w:szCs w:val="30"/>
          <w:rtl/>
        </w:rPr>
        <w:t xml:space="preserve">2. مستويات الاختبار القائمة</w:t>
      </w:r>
    </w:p>
    <w:p>
      <w:pPr>
        <w:bidi/>
        <w:spacing w:after="120" w:line="300"/>
        <w:jc w:val="right"/>
      </w:pPr>
      <w:r>
        <w:rPr>
          <w:rFonts w:ascii="Arial" w:cs="Arial" w:eastAsia="Arial" w:hAnsi="Arial"/>
          <w:color w:val="0F1B2D"/>
          <w:sz w:val="21"/>
          <w:szCs w:val="21"/>
          <w:rtl/>
        </w:rPr>
        <w:t xml:space="preserve">تعمل هذه الاختبارات اليوم. أغلبها يعمل في التكامل المستمر (CI) عند كل تغيير، وبعضها أدوات تُشغَّل في بيئة ما قبل الإنتاج قبل قرار الإطلاق. الأعداد من آخر تشغيل كامل على النسخة المختبرة.</w:t>
      </w:r>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53"/>
        <w:gridCol w:w="2217"/>
        <w:gridCol w:w="1446"/>
        <w:gridCol w:w="1349"/>
        <w:gridCol w:w="3373"/>
      </w:tblGrid>
      <w:tr>
        <w:trPr>
          <w:tblHeader/>
        </w:trPr>
        <w:tc>
          <w:tcPr>
            <w:tcW w:type="dxa" w:w="1253"/>
            <w:tcBorders>
              <w:top w:val="single" w:color="D5DBE3" w:sz="4"/>
              <w:left w:val="none" w:color="FFFFFF" w:sz="0"/>
              <w:bottom w:val="single" w:color="D5DBE3" w:sz="4"/>
              <w:right w:val="none" w:color="FFFFFF" w:sz="0"/>
            </w:tcBorders>
            <w:shd w:fill="0B1F3F" w:color="auto" w:val="clear"/>
            <w:tcMar>
              <w:top w:type="dxa" w:w="60"/>
              <w:left w:type="dxa" w:w="90"/>
              <w:bottom w:type="dxa" w:w="60"/>
              <w:right w:type="dxa" w:w="90"/>
            </w:tcMar>
          </w:tcPr>
          <w:p>
            <w:pPr>
              <w:bidi/>
              <w:spacing w:after="0" w:line="255"/>
              <w:jc w:val="right"/>
            </w:pPr>
            <w:r>
              <w:rPr>
                <w:rFonts w:ascii="Arial" w:cs="Arial" w:eastAsia="Arial" w:hAnsi="Arial"/>
                <w:b/>
                <w:bCs/>
                <w:color w:val="FFFFFF"/>
                <w:sz w:val="18"/>
                <w:szCs w:val="18"/>
                <w:rtl/>
              </w:rPr>
              <w:t xml:space="preserve">المستوى</w:t>
            </w:r>
          </w:p>
        </w:tc>
        <w:tc>
          <w:tcPr>
            <w:tcW w:type="dxa" w:w="2217"/>
            <w:tcBorders>
              <w:top w:val="single" w:color="D5DBE3" w:sz="4"/>
              <w:left w:val="none" w:color="FFFFFF" w:sz="0"/>
              <w:bottom w:val="single" w:color="D5DBE3" w:sz="4"/>
              <w:right w:val="none" w:color="FFFFFF" w:sz="0"/>
            </w:tcBorders>
            <w:shd w:fill="0B1F3F" w:color="auto" w:val="clear"/>
            <w:tcMar>
              <w:top w:type="dxa" w:w="60"/>
              <w:left w:type="dxa" w:w="90"/>
              <w:bottom w:type="dxa" w:w="60"/>
              <w:right w:type="dxa" w:w="90"/>
            </w:tcMar>
          </w:tcPr>
          <w:p>
            <w:pPr>
              <w:bidi/>
              <w:spacing w:after="0" w:line="255"/>
              <w:jc w:val="right"/>
            </w:pPr>
            <w:r>
              <w:rPr>
                <w:rFonts w:ascii="Arial" w:cs="Arial" w:eastAsia="Arial" w:hAnsi="Arial"/>
                <w:b/>
                <w:bCs/>
                <w:color w:val="FFFFFF"/>
                <w:sz w:val="18"/>
                <w:szCs w:val="18"/>
                <w:rtl/>
              </w:rPr>
              <w:t xml:space="preserve">الأداة أو المكان</w:t>
            </w:r>
          </w:p>
        </w:tc>
        <w:tc>
          <w:tcPr>
            <w:tcW w:type="dxa" w:w="1446"/>
            <w:tcBorders>
              <w:top w:val="single" w:color="D5DBE3" w:sz="4"/>
              <w:left w:val="none" w:color="FFFFFF" w:sz="0"/>
              <w:bottom w:val="single" w:color="D5DBE3" w:sz="4"/>
              <w:right w:val="none" w:color="FFFFFF" w:sz="0"/>
            </w:tcBorders>
            <w:shd w:fill="0B1F3F" w:color="auto" w:val="clear"/>
            <w:tcMar>
              <w:top w:type="dxa" w:w="60"/>
              <w:left w:type="dxa" w:w="90"/>
              <w:bottom w:type="dxa" w:w="60"/>
              <w:right w:type="dxa" w:w="90"/>
            </w:tcMar>
          </w:tcPr>
          <w:p>
            <w:pPr>
              <w:bidi/>
              <w:spacing w:after="0" w:line="255"/>
              <w:jc w:val="right"/>
            </w:pPr>
            <w:r>
              <w:rPr>
                <w:rFonts w:ascii="Arial" w:cs="Arial" w:eastAsia="Arial" w:hAnsi="Arial"/>
                <w:b/>
                <w:bCs/>
                <w:color w:val="FFFFFF"/>
                <w:sz w:val="18"/>
                <w:szCs w:val="18"/>
                <w:rtl/>
              </w:rPr>
              <w:t xml:space="preserve">الحجم</w:t>
            </w:r>
          </w:p>
        </w:tc>
        <w:tc>
          <w:tcPr>
            <w:tcW w:type="dxa" w:w="1349"/>
            <w:tcBorders>
              <w:top w:val="single" w:color="D5DBE3" w:sz="4"/>
              <w:left w:val="none" w:color="FFFFFF" w:sz="0"/>
              <w:bottom w:val="single" w:color="D5DBE3" w:sz="4"/>
              <w:right w:val="none" w:color="FFFFFF" w:sz="0"/>
            </w:tcBorders>
            <w:shd w:fill="0B1F3F" w:color="auto" w:val="clear"/>
            <w:tcMar>
              <w:top w:type="dxa" w:w="60"/>
              <w:left w:type="dxa" w:w="90"/>
              <w:bottom w:type="dxa" w:w="60"/>
              <w:right w:type="dxa" w:w="90"/>
            </w:tcMar>
          </w:tcPr>
          <w:p>
            <w:pPr>
              <w:bidi/>
              <w:spacing w:after="0" w:line="255"/>
              <w:jc w:val="right"/>
            </w:pPr>
            <w:r>
              <w:rPr>
                <w:rFonts w:ascii="Arial" w:cs="Arial" w:eastAsia="Arial" w:hAnsi="Arial"/>
                <w:b/>
                <w:bCs/>
                <w:color w:val="FFFFFF"/>
                <w:sz w:val="18"/>
                <w:szCs w:val="18"/>
                <w:rtl/>
              </w:rPr>
              <w:t xml:space="preserve">أين يعمل</w:t>
            </w:r>
          </w:p>
        </w:tc>
        <w:tc>
          <w:tcPr>
            <w:tcW w:type="dxa" w:w="3373"/>
            <w:tcBorders>
              <w:top w:val="single" w:color="D5DBE3" w:sz="4"/>
              <w:left w:val="none" w:color="FFFFFF" w:sz="0"/>
              <w:bottom w:val="single" w:color="D5DBE3" w:sz="4"/>
              <w:right w:val="none" w:color="FFFFFF" w:sz="0"/>
            </w:tcBorders>
            <w:shd w:fill="0B1F3F" w:color="auto" w:val="clear"/>
            <w:tcMar>
              <w:top w:type="dxa" w:w="60"/>
              <w:left w:type="dxa" w:w="90"/>
              <w:bottom w:type="dxa" w:w="60"/>
              <w:right w:type="dxa" w:w="90"/>
            </w:tcMar>
          </w:tcPr>
          <w:p>
            <w:pPr>
              <w:bidi/>
              <w:spacing w:after="0" w:line="255"/>
              <w:jc w:val="right"/>
            </w:pPr>
            <w:r>
              <w:rPr>
                <w:rFonts w:ascii="Arial" w:cs="Arial" w:eastAsia="Arial" w:hAnsi="Arial"/>
                <w:b/>
                <w:bCs/>
                <w:color w:val="FFFFFF"/>
                <w:sz w:val="18"/>
                <w:szCs w:val="18"/>
                <w:rtl/>
              </w:rPr>
              <w:t xml:space="preserve">ما يثبته</w:t>
            </w:r>
          </w:p>
        </w:tc>
      </w:tr>
      <w:tr>
        <w:trPr>
          <w:cantSplit/>
        </w:trPr>
        <w:tc>
          <w:tcPr>
            <w:tcW w:type="dxa" w:w="1253"/>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قاعدة البيانات</w:t>
            </w:r>
          </w:p>
        </w:tc>
        <w:tc>
          <w:tcPr>
            <w:tcW w:type="dxa" w:w="2217"/>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db/tests/run.sh</w:t>
            </w:r>
          </w:p>
        </w:tc>
        <w:tc>
          <w:tcPr>
            <w:tcW w:type="dxa" w:w="1446"/>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590 فحصاً</w:t>
            </w:r>
          </w:p>
        </w:tc>
        <w:tc>
          <w:tcPr>
            <w:tcW w:type="dxa" w:w="1349"/>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CI (database)</w:t>
            </w:r>
          </w:p>
        </w:tc>
        <w:tc>
          <w:tcPr>
            <w:tcW w:type="dxa" w:w="3373"/>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القواعد والقيود والعزل بين الشركات (RLS) والانتقالات المسموحة والصلاحيات، مباشرة على القاعدة</w:t>
            </w:r>
          </w:p>
        </w:tc>
      </w:tr>
      <w:tr>
        <w:trPr>
          <w:cantSplit/>
        </w:trPr>
        <w:tc>
          <w:tcPr>
            <w:tcW w:type="dxa" w:w="1253"/>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الخادم (API)</w:t>
            </w:r>
          </w:p>
        </w:tc>
        <w:tc>
          <w:tcPr>
            <w:tcW w:type="dxa" w:w="2217"/>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pytest في backend/tests (78 ملفاً)</w:t>
            </w:r>
          </w:p>
        </w:tc>
        <w:tc>
          <w:tcPr>
            <w:tcW w:type="dxa" w:w="1446"/>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652 ناجحاً و10 متخطاة</w:t>
            </w:r>
          </w:p>
        </w:tc>
        <w:tc>
          <w:tcPr>
            <w:tcW w:type="dxa" w:w="1349"/>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CI (api)</w:t>
            </w:r>
          </w:p>
        </w:tc>
        <w:tc>
          <w:tcPr>
            <w:tcW w:type="dxa" w:w="3373"/>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سلوك كل مسار من الطلب إلى القاعدة، والأخطاء ورموزها. المتخطاة تحتاج شروط بيئة غير متوفرة محلياً، مثل قاعدة جديدة</w:t>
            </w:r>
          </w:p>
        </w:tc>
      </w:tr>
      <w:tr>
        <w:trPr>
          <w:cantSplit/>
        </w:trPr>
        <w:tc>
          <w:tcPr>
            <w:tcW w:type="dxa" w:w="1253"/>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الواجهة</w:t>
            </w:r>
          </w:p>
        </w:tc>
        <w:tc>
          <w:tcPr>
            <w:tcW w:type="dxa" w:w="2217"/>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البناء، وفحص سياسة المحتوى (csp-check)، وفحوص الواجهة (ui-checks)</w:t>
            </w:r>
          </w:p>
        </w:tc>
        <w:tc>
          <w:tcPr>
            <w:tcW w:type="dxa" w:w="1446"/>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كل الصفحات</w:t>
            </w:r>
          </w:p>
        </w:tc>
        <w:tc>
          <w:tcPr>
            <w:tcW w:type="dxa" w:w="1349"/>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CI (web)</w:t>
            </w:r>
          </w:p>
        </w:tc>
        <w:tc>
          <w:tcPr>
            <w:tcW w:type="dxa" w:w="3373"/>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البناء دون أخطاء، ولا مخالفة لسياسة المحتوى، وإمكانية الوصول (axe) والاتجاه من اليمين إلى اليسار</w:t>
            </w:r>
          </w:p>
        </w:tc>
      </w:tr>
      <w:tr>
        <w:trPr>
          <w:cantSplit/>
        </w:trPr>
        <w:tc>
          <w:tcPr>
            <w:tcW w:type="dxa" w:w="1253"/>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تطبيقا الهاتف</w:t>
            </w:r>
          </w:p>
        </w:tc>
        <w:tc>
          <w:tcPr>
            <w:tcW w:type="dxa" w:w="2217"/>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فحص الأنواع واختبارات mobile/test، وتدقيق الحزم</w:t>
            </w:r>
          </w:p>
        </w:tc>
        <w:tc>
          <w:tcPr>
            <w:tcW w:type="dxa" w:w="1446"/>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آلي</w:t>
            </w:r>
          </w:p>
        </w:tc>
        <w:tc>
          <w:tcPr>
            <w:tcW w:type="dxa" w:w="1349"/>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CI (mobile)</w:t>
            </w:r>
          </w:p>
        </w:tc>
        <w:tc>
          <w:tcPr>
            <w:tcW w:type="dxa" w:w="3373"/>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منطق التطبيق والتوافق مع الخادم. التجربة على الأجهزة يدوية (القسم 6)</w:t>
            </w:r>
          </w:p>
        </w:tc>
      </w:tr>
      <w:tr>
        <w:trPr>
          <w:cantSplit/>
        </w:trPr>
        <w:tc>
          <w:tcPr>
            <w:tcW w:type="dxa" w:w="1253"/>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التثبيت</w:t>
            </w:r>
          </w:p>
        </w:tc>
        <w:tc>
          <w:tcPr>
            <w:tcW w:type="dxa" w:w="2217"/>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تثبيت بأمر واحد، HTTPS، نسخ احتياطي واستعادة</w:t>
            </w:r>
          </w:p>
        </w:tc>
        <w:tc>
          <w:tcPr>
            <w:tcW w:type="dxa" w:w="1446"/>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تثبيت كامل</w:t>
            </w:r>
          </w:p>
        </w:tc>
        <w:tc>
          <w:tcPr>
            <w:tcW w:type="dxa" w:w="1349"/>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CI (stack)</w:t>
            </w:r>
          </w:p>
        </w:tc>
        <w:tc>
          <w:tcPr>
            <w:tcW w:type="dxa" w:w="3373"/>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أن الحزمة تُثبَّت وتعمل، وأن أول مدير يدخل، وأن الاستعادة تعمل</w:t>
            </w:r>
          </w:p>
        </w:tc>
      </w:tr>
      <w:tr>
        <w:trPr>
          <w:cantSplit/>
        </w:trPr>
        <w:tc>
          <w:tcPr>
            <w:tcW w:type="dxa" w:w="1253"/>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ملف الإنتاج</w:t>
            </w:r>
          </w:p>
        </w:tc>
        <w:tc>
          <w:tcPr>
            <w:tcW w:type="dxa" w:w="2217"/>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تشغيل بإعدادات الإنتاج، وتخطيط التوفر العالي مع تجربة تحويل</w:t>
            </w:r>
          </w:p>
        </w:tc>
        <w:tc>
          <w:tcPr>
            <w:tcW w:type="dxa" w:w="1446"/>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تثبيت كامل</w:t>
            </w:r>
          </w:p>
        </w:tc>
        <w:tc>
          <w:tcPr>
            <w:tcW w:type="dxa" w:w="1349"/>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CI (production، production-ha)</w:t>
            </w:r>
          </w:p>
        </w:tc>
        <w:tc>
          <w:tcPr>
            <w:tcW w:type="dxa" w:w="3373"/>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رفض الإعدادات الضعيفة، وانتقال القيادة إلى الخادم الثاني دون فقد بيانات</w:t>
            </w:r>
          </w:p>
        </w:tc>
      </w:tr>
      <w:tr>
        <w:trPr>
          <w:cantSplit/>
        </w:trPr>
        <w:tc>
          <w:tcPr>
            <w:tcW w:type="dxa" w:w="1253"/>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المستودع التحليلي</w:t>
            </w:r>
          </w:p>
        </w:tc>
        <w:tc>
          <w:tcPr>
            <w:tcW w:type="dxa" w:w="2217"/>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التغذية بالتقاط التغييرات</w:t>
            </w:r>
          </w:p>
        </w:tc>
        <w:tc>
          <w:tcPr>
            <w:tcW w:type="dxa" w:w="1446"/>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آلي</w:t>
            </w:r>
          </w:p>
        </w:tc>
        <w:tc>
          <w:tcPr>
            <w:tcW w:type="dxa" w:w="1349"/>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CI (warehouse)</w:t>
            </w:r>
          </w:p>
        </w:tc>
        <w:tc>
          <w:tcPr>
            <w:tcW w:type="dxa" w:w="3373"/>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وصول التغييرات إلى المستودع التحليلي</w:t>
            </w:r>
          </w:p>
        </w:tc>
      </w:tr>
      <w:tr>
        <w:trPr>
          <w:cantSplit/>
        </w:trPr>
        <w:tc>
          <w:tcPr>
            <w:tcW w:type="dxa" w:w="1253"/>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الأمن الآلي</w:t>
            </w:r>
          </w:p>
        </w:tc>
        <w:tc>
          <w:tcPr>
            <w:tcW w:type="dxa" w:w="2217"/>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bandit، pip-audit، npm audit، ruff، promtool، تثبيت الصور بالبصمة</w:t>
            </w:r>
          </w:p>
        </w:tc>
        <w:tc>
          <w:tcPr>
            <w:tcW w:type="dxa" w:w="1446"/>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كل تغيير</w:t>
            </w:r>
          </w:p>
        </w:tc>
        <w:tc>
          <w:tcPr>
            <w:tcW w:type="dxa" w:w="1349"/>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CI (security، image)</w:t>
            </w:r>
          </w:p>
        </w:tc>
        <w:tc>
          <w:tcPr>
            <w:tcW w:type="dxa" w:w="3373"/>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لا ثغرات معروفة عالية، وقواعد التنبيه صالحة، والصورة موقّعة</w:t>
            </w:r>
          </w:p>
        </w:tc>
      </w:tr>
      <w:tr>
        <w:trPr>
          <w:cantSplit/>
        </w:trPr>
        <w:tc>
          <w:tcPr>
            <w:tcW w:type="dxa" w:w="1253"/>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الحمل</w:t>
            </w:r>
          </w:p>
        </w:tc>
        <w:tc>
          <w:tcPr>
            <w:tcW w:type="dxa" w:w="2217"/>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loadtest.burst، loadtest.soak، loadtest/run.py</w:t>
            </w:r>
          </w:p>
        </w:tc>
        <w:tc>
          <w:tcPr>
            <w:tcW w:type="dxa" w:w="1446"/>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240 و480 و1200 حجز في الثانية؛ 8 ساعات أو أكثر</w:t>
            </w:r>
          </w:p>
        </w:tc>
        <w:tc>
          <w:tcPr>
            <w:tcW w:type="dxa" w:w="1349"/>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ما قبل الإنتاج</w:t>
            </w:r>
          </w:p>
        </w:tc>
        <w:tc>
          <w:tcPr>
            <w:tcW w:type="dxa" w:w="3373"/>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صمود أهداف الخدمة عند الذروة وضعفيها، وحدّ النظام عند خمسة أضعافها</w:t>
            </w:r>
          </w:p>
        </w:tc>
      </w:tr>
      <w:tr>
        <w:trPr>
          <w:cantSplit/>
        </w:trPr>
        <w:tc>
          <w:tcPr>
            <w:tcW w:type="dxa" w:w="1253"/>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التمارين</w:t>
            </w:r>
          </w:p>
        </w:tc>
        <w:tc>
          <w:tcPr>
            <w:tcW w:type="dxa" w:w="2217"/>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restore_drill.py، failover_drill.py، migration_rehearsal.py، تمرين التنبيه</w:t>
            </w:r>
          </w:p>
        </w:tc>
        <w:tc>
          <w:tcPr>
            <w:tcW w:type="dxa" w:w="1446"/>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لكل إصدار</w:t>
            </w:r>
          </w:p>
        </w:tc>
        <w:tc>
          <w:tcPr>
            <w:tcW w:type="dxa" w:w="1349"/>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ما قبل الإنتاج</w:t>
            </w:r>
          </w:p>
        </w:tc>
        <w:tc>
          <w:tcPr>
            <w:tcW w:type="dxa" w:w="3373"/>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الاستعادة ضمن RPO وRTO، والتحويل، والترحيل ضمن حدوده، ووصول التنبيه</w:t>
            </w:r>
          </w:p>
        </w:tc>
      </w:tr>
      <w:tr>
        <w:trPr>
          <w:cantSplit/>
        </w:trPr>
        <w:tc>
          <w:tcPr>
            <w:tcW w:type="dxa" w:w="1253"/>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اختبار الاختراق</w:t>
            </w:r>
          </w:p>
        </w:tc>
        <w:tc>
          <w:tcPr>
            <w:tcW w:type="dxa" w:w="2217"/>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جهة خارجية مستقلة</w:t>
            </w:r>
          </w:p>
        </w:tc>
        <w:tc>
          <w:tcPr>
            <w:tcW w:type="dxa" w:w="1446"/>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مرة قبل الإطلاق مع إعادة الاختبار</w:t>
            </w:r>
          </w:p>
        </w:tc>
        <w:tc>
          <w:tcPr>
            <w:tcW w:type="dxa" w:w="1349"/>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ما قبل الإنتاج</w:t>
            </w:r>
          </w:p>
        </w:tc>
        <w:tc>
          <w:tcPr>
            <w:tcW w:type="dxa" w:w="3373"/>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لا ثغرة حرجة أو عالية مفتوحة</w:t>
            </w:r>
          </w:p>
        </w:tc>
      </w:tr>
    </w:tbl>
    <w:p>
      <w:pPr>
        <w:pStyle w:val="Heading1"/>
        <w:keepNext/>
        <w:pBdr>
          <w:bottom w:val="single" w:color="0A5BD3" w:sz="10" w:space="4"/>
        </w:pBdr>
        <w:bidi/>
        <w:spacing w:after="160" w:before="360"/>
        <w:jc w:val="right"/>
      </w:pPr>
      <w:r>
        <w:rPr>
          <w:rFonts w:ascii="Arial" w:cs="Arial" w:eastAsia="Arial" w:hAnsi="Arial"/>
          <w:b/>
          <w:bCs/>
          <w:color w:val="0B1F3F"/>
          <w:sz w:val="30"/>
          <w:szCs w:val="30"/>
          <w:rtl/>
        </w:rPr>
        <w:t xml:space="preserve">3. البيئات وبيانات الاختبار</w:t>
      </w:r>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28"/>
        <w:gridCol w:w="3855"/>
        <w:gridCol w:w="3855"/>
      </w:tblGrid>
      <w:tr>
        <w:trPr>
          <w:tblHeader/>
        </w:trPr>
        <w:tc>
          <w:tcPr>
            <w:tcW w:type="dxa" w:w="1928"/>
            <w:tcBorders>
              <w:top w:val="single" w:color="D5DBE3" w:sz="4"/>
              <w:left w:val="none" w:color="FFFFFF" w:sz="0"/>
              <w:bottom w:val="single" w:color="D5DBE3" w:sz="4"/>
              <w:right w:val="none" w:color="FFFFFF" w:sz="0"/>
            </w:tcBorders>
            <w:shd w:fill="0B1F3F" w:color="auto" w:val="clear"/>
            <w:tcMar>
              <w:top w:type="dxa" w:w="60"/>
              <w:left w:type="dxa" w:w="90"/>
              <w:bottom w:type="dxa" w:w="60"/>
              <w:right w:type="dxa" w:w="90"/>
            </w:tcMar>
          </w:tcPr>
          <w:p>
            <w:pPr>
              <w:bidi/>
              <w:spacing w:after="0" w:line="255"/>
              <w:jc w:val="right"/>
            </w:pPr>
            <w:r>
              <w:rPr>
                <w:rFonts w:ascii="Arial" w:cs="Arial" w:eastAsia="Arial" w:hAnsi="Arial"/>
                <w:b/>
                <w:bCs/>
                <w:color w:val="FFFFFF"/>
                <w:sz w:val="18"/>
                <w:szCs w:val="18"/>
                <w:rtl/>
              </w:rPr>
              <w:t xml:space="preserve">البيئة</w:t>
            </w:r>
          </w:p>
        </w:tc>
        <w:tc>
          <w:tcPr>
            <w:tcW w:type="dxa" w:w="3855"/>
            <w:tcBorders>
              <w:top w:val="single" w:color="D5DBE3" w:sz="4"/>
              <w:left w:val="none" w:color="FFFFFF" w:sz="0"/>
              <w:bottom w:val="single" w:color="D5DBE3" w:sz="4"/>
              <w:right w:val="none" w:color="FFFFFF" w:sz="0"/>
            </w:tcBorders>
            <w:shd w:fill="0B1F3F" w:color="auto" w:val="clear"/>
            <w:tcMar>
              <w:top w:type="dxa" w:w="60"/>
              <w:left w:type="dxa" w:w="90"/>
              <w:bottom w:type="dxa" w:w="60"/>
              <w:right w:type="dxa" w:w="90"/>
            </w:tcMar>
          </w:tcPr>
          <w:p>
            <w:pPr>
              <w:bidi/>
              <w:spacing w:after="0" w:line="255"/>
              <w:jc w:val="right"/>
            </w:pPr>
            <w:r>
              <w:rPr>
                <w:rFonts w:ascii="Arial" w:cs="Arial" w:eastAsia="Arial" w:hAnsi="Arial"/>
                <w:b/>
                <w:bCs/>
                <w:color w:val="FFFFFF"/>
                <w:sz w:val="18"/>
                <w:szCs w:val="18"/>
                <w:rtl/>
              </w:rPr>
              <w:t xml:space="preserve">الغرض</w:t>
            </w:r>
          </w:p>
        </w:tc>
        <w:tc>
          <w:tcPr>
            <w:tcW w:type="dxa" w:w="3855"/>
            <w:tcBorders>
              <w:top w:val="single" w:color="D5DBE3" w:sz="4"/>
              <w:left w:val="none" w:color="FFFFFF" w:sz="0"/>
              <w:bottom w:val="single" w:color="D5DBE3" w:sz="4"/>
              <w:right w:val="none" w:color="FFFFFF" w:sz="0"/>
            </w:tcBorders>
            <w:shd w:fill="0B1F3F" w:color="auto" w:val="clear"/>
            <w:tcMar>
              <w:top w:type="dxa" w:w="60"/>
              <w:left w:type="dxa" w:w="90"/>
              <w:bottom w:type="dxa" w:w="60"/>
              <w:right w:type="dxa" w:w="90"/>
            </w:tcMar>
          </w:tcPr>
          <w:p>
            <w:pPr>
              <w:bidi/>
              <w:spacing w:after="0" w:line="255"/>
              <w:jc w:val="right"/>
            </w:pPr>
            <w:r>
              <w:rPr>
                <w:rFonts w:ascii="Arial" w:cs="Arial" w:eastAsia="Arial" w:hAnsi="Arial"/>
                <w:b/>
                <w:bCs/>
                <w:color w:val="FFFFFF"/>
                <w:sz w:val="18"/>
                <w:szCs w:val="18"/>
                <w:rtl/>
              </w:rPr>
              <w:t xml:space="preserve">البيانات</w:t>
            </w:r>
          </w:p>
        </w:tc>
      </w:tr>
      <w:tr>
        <w:trPr>
          <w:cantSplit/>
        </w:trPr>
        <w:tc>
          <w:tcPr>
            <w:tcW w:type="dxa" w:w="1928"/>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7"/>
                <w:szCs w:val="17"/>
                <w:rtl/>
              </w:rPr>
              <w:t xml:space="preserve">التطوير (sandbox)</w:t>
            </w:r>
          </w:p>
        </w:tc>
        <w:tc>
          <w:tcPr>
            <w:tcW w:type="dxa" w:w="3855"/>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7"/>
                <w:szCs w:val="17"/>
                <w:rtl/>
              </w:rPr>
              <w:t xml:space="preserve">اختبارات المطورين والاختبارات الآلية</w:t>
            </w:r>
          </w:p>
        </w:tc>
        <w:tc>
          <w:tcPr>
            <w:tcW w:type="dxa" w:w="3855"/>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7"/>
                <w:szCs w:val="17"/>
                <w:rtl/>
              </w:rPr>
              <w:t xml:space="preserve">بيانات تجريبية تُنشأ في كل اختبار</w:t>
            </w:r>
          </w:p>
        </w:tc>
      </w:tr>
      <w:tr>
        <w:trPr>
          <w:cantSplit/>
        </w:trPr>
        <w:tc>
          <w:tcPr>
            <w:tcW w:type="dxa" w:w="1928"/>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7"/>
                <w:szCs w:val="17"/>
                <w:rtl/>
              </w:rPr>
              <w:t xml:space="preserve">التكامل المستمر (CI)</w:t>
            </w:r>
          </w:p>
        </w:tc>
        <w:tc>
          <w:tcPr>
            <w:tcW w:type="dxa" w:w="3855"/>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7"/>
                <w:szCs w:val="17"/>
                <w:rtl/>
              </w:rPr>
              <w:t xml:space="preserve">كل تغيير، وكل الاختبارات الآلية في القسم 2</w:t>
            </w:r>
          </w:p>
        </w:tc>
        <w:tc>
          <w:tcPr>
            <w:tcW w:type="dxa" w:w="3855"/>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7"/>
                <w:szCs w:val="17"/>
                <w:rtl/>
              </w:rPr>
              <w:t xml:space="preserve">قاعدة جديدة في كل تشغيل</w:t>
            </w:r>
          </w:p>
        </w:tc>
      </w:tr>
      <w:tr>
        <w:trPr>
          <w:cantSplit/>
        </w:trPr>
        <w:tc>
          <w:tcPr>
            <w:tcW w:type="dxa" w:w="1928"/>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7"/>
                <w:szCs w:val="17"/>
                <w:rtl/>
              </w:rPr>
              <w:t xml:space="preserve">ما قبل الإنتاج (staging)</w:t>
            </w:r>
          </w:p>
        </w:tc>
        <w:tc>
          <w:tcPr>
            <w:tcW w:type="dxa" w:w="3855"/>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7"/>
                <w:szCs w:val="17"/>
                <w:rtl/>
              </w:rPr>
              <w:t xml:space="preserve">القبول، والحمل، والتمارين، واختبار الاختراق</w:t>
            </w:r>
          </w:p>
        </w:tc>
        <w:tc>
          <w:tcPr>
            <w:tcW w:type="dxa" w:w="3855"/>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7"/>
                <w:szCs w:val="17"/>
                <w:rtl/>
              </w:rPr>
              <w:t xml:space="preserve">بيانات مولّدة بحجم 1x و2x و5x من الذروة المتوقعة (generate_volume.py)، دون بيانات أشخاص حقيقيين</w:t>
            </w:r>
          </w:p>
        </w:tc>
      </w:tr>
      <w:tr>
        <w:trPr>
          <w:cantSplit/>
        </w:trPr>
        <w:tc>
          <w:tcPr>
            <w:tcW w:type="dxa" w:w="1928"/>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7"/>
                <w:szCs w:val="17"/>
                <w:rtl/>
              </w:rPr>
              <w:t xml:space="preserve">التجربة المحدودة (pilot)</w:t>
            </w:r>
          </w:p>
        </w:tc>
        <w:tc>
          <w:tcPr>
            <w:tcW w:type="dxa" w:w="3855"/>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7"/>
                <w:szCs w:val="17"/>
                <w:rtl/>
              </w:rPr>
              <w:t xml:space="preserve">ناقل واحد ومسارات محددة بعد اجتياز البوابات</w:t>
            </w:r>
          </w:p>
        </w:tc>
        <w:tc>
          <w:tcPr>
            <w:tcW w:type="dxa" w:w="3855"/>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7"/>
                <w:szCs w:val="17"/>
                <w:rtl/>
              </w:rPr>
              <w:t xml:space="preserve">بيانات حقيقية تحت كل الضوابط</w:t>
            </w:r>
          </w:p>
        </w:tc>
      </w:tr>
    </w:tbl>
    <w:p>
      <w:pPr>
        <w:pStyle w:val="ListParagraph"/>
        <w:numPr>
          <w:ilvl w:val="0"/>
          <w:numId w:val="2"/>
        </w:numPr>
        <w:bidi/>
        <w:spacing w:after="80" w:line="290"/>
        <w:jc w:val="right"/>
      </w:pPr>
      <w:r>
        <w:rPr>
          <w:rFonts w:ascii="Arial" w:cs="Arial" w:eastAsia="Arial" w:hAnsi="Arial"/>
          <w:b/>
          <w:bCs/>
          <w:color w:val="0F1B2D"/>
          <w:sz w:val="21"/>
          <w:szCs w:val="21"/>
          <w:rtl/>
        </w:rPr>
        <w:t xml:space="preserve">قواعد البيانات: </w:t>
      </w:r>
      <w:r>
        <w:rPr>
          <w:rFonts w:ascii="Arial" w:cs="Arial" w:eastAsia="Arial" w:hAnsi="Arial"/>
          <w:color w:val="0F1B2D"/>
          <w:sz w:val="21"/>
          <w:szCs w:val="21"/>
          <w:rtl/>
        </w:rPr>
        <w:t xml:space="preserve">لا تُستعمل بيانات أشخاص حقيقيين خارج الإنتاج والتجربة المحدودة. حسابات الاختبار تُنشأ لكل جولة وتُعطَّل بعدها.</w:t>
      </w:r>
    </w:p>
    <w:p>
      <w:pPr>
        <w:pStyle w:val="ListParagraph"/>
        <w:numPr>
          <w:ilvl w:val="0"/>
          <w:numId w:val="2"/>
        </w:numPr>
        <w:bidi/>
        <w:spacing w:after="80" w:line="290"/>
        <w:jc w:val="right"/>
      </w:pPr>
      <w:r>
        <w:rPr>
          <w:rFonts w:ascii="Arial" w:cs="Arial" w:eastAsia="Arial" w:hAnsi="Arial"/>
          <w:b/>
          <w:bCs/>
          <w:color w:val="0F1B2D"/>
          <w:sz w:val="21"/>
          <w:szCs w:val="21"/>
          <w:rtl/>
        </w:rPr>
        <w:t xml:space="preserve">الأسرار: </w:t>
      </w:r>
      <w:r>
        <w:rPr>
          <w:rFonts w:ascii="Arial" w:cs="Arial" w:eastAsia="Arial" w:hAnsi="Arial"/>
          <w:color w:val="0F1B2D"/>
          <w:sz w:val="21"/>
          <w:szCs w:val="21"/>
          <w:rtl/>
        </w:rPr>
        <w:t xml:space="preserve">كلمات المرور والمفاتيح لا تُكتب في هذه الخطة ولا في سجلات النتائج، ويسلّمها مشغّل البيئة لكل مختبِر على حدة.</w:t>
      </w:r>
    </w:p>
    <w:p>
      <w:pPr>
        <w:pStyle w:val="ListParagraph"/>
        <w:numPr>
          <w:ilvl w:val="0"/>
          <w:numId w:val="2"/>
        </w:numPr>
        <w:bidi/>
        <w:spacing w:after="80" w:line="290"/>
        <w:jc w:val="right"/>
      </w:pPr>
      <w:r>
        <w:rPr>
          <w:rFonts w:ascii="Arial" w:cs="Arial" w:eastAsia="Arial" w:hAnsi="Arial"/>
          <w:b/>
          <w:bCs/>
          <w:color w:val="0F1B2D"/>
          <w:sz w:val="21"/>
          <w:szCs w:val="21"/>
          <w:rtl/>
        </w:rPr>
        <w:t xml:space="preserve">النسخة: </w:t>
      </w:r>
      <w:r>
        <w:rPr>
          <w:rFonts w:ascii="Arial" w:cs="Arial" w:eastAsia="Arial" w:hAnsi="Arial"/>
          <w:color w:val="0F1B2D"/>
          <w:sz w:val="21"/>
          <w:szCs w:val="21"/>
          <w:rtl/>
        </w:rPr>
        <w:t xml:space="preserve">تُثبَّت النسخة المختبرة من حزمة إصدار موقّعة واحدة، ويُسجَّل رقم الالتزام في كل نتيجة.</w:t>
      </w:r>
    </w:p>
    <w:p>
      <w:pPr>
        <w:pStyle w:val="Heading1"/>
        <w:keepNext/>
        <w:pBdr>
          <w:bottom w:val="single" w:color="0A5BD3" w:sz="10" w:space="4"/>
        </w:pBdr>
        <w:bidi/>
        <w:spacing w:after="160" w:before="360"/>
        <w:jc w:val="right"/>
      </w:pPr>
      <w:r>
        <w:rPr>
          <w:rFonts w:ascii="Arial" w:cs="Arial" w:eastAsia="Arial" w:hAnsi="Arial"/>
          <w:b/>
          <w:bCs/>
          <w:color w:val="0B1F3F"/>
          <w:sz w:val="30"/>
          <w:szCs w:val="30"/>
          <w:rtl/>
        </w:rPr>
        <w:t xml:space="preserve">4. معايير الدخول والخروج</w:t>
      </w:r>
    </w:p>
    <w:p>
      <w:pPr>
        <w:pStyle w:val="Heading2"/>
        <w:keepNext/>
        <w:bidi/>
        <w:spacing w:after="100" w:before="240"/>
        <w:jc w:val="right"/>
      </w:pPr>
      <w:r>
        <w:rPr>
          <w:rFonts w:ascii="Arial" w:cs="Arial" w:eastAsia="Arial" w:hAnsi="Arial"/>
          <w:b/>
          <w:bCs/>
          <w:color w:val="0A5BD3"/>
          <w:sz w:val="24"/>
          <w:szCs w:val="24"/>
          <w:rtl/>
        </w:rPr>
        <w:t xml:space="preserve">4.1 معايير الدخول إلى القبول</w:t>
      </w:r>
    </w:p>
    <w:p>
      <w:pPr>
        <w:pStyle w:val="ListParagraph"/>
        <w:numPr>
          <w:ilvl w:val="0"/>
          <w:numId w:val="2"/>
        </w:numPr>
        <w:bidi/>
        <w:spacing w:after="80" w:line="290"/>
        <w:jc w:val="right"/>
      </w:pPr>
      <w:r>
        <w:rPr>
          <w:rFonts w:ascii="Arial" w:cs="Arial" w:eastAsia="Arial" w:hAnsi="Arial"/>
          <w:color w:val="0F1B2D"/>
          <w:sz w:val="21"/>
          <w:szCs w:val="21"/>
          <w:rtl/>
        </w:rPr>
        <w:t xml:space="preserve">كل وظائف CI ناجحة على الالتزام المختبر.</w:t>
      </w:r>
    </w:p>
    <w:p>
      <w:pPr>
        <w:pStyle w:val="ListParagraph"/>
        <w:numPr>
          <w:ilvl w:val="0"/>
          <w:numId w:val="2"/>
        </w:numPr>
        <w:bidi/>
        <w:spacing w:after="80" w:line="290"/>
        <w:jc w:val="right"/>
      </w:pPr>
      <w:r>
        <w:rPr>
          <w:rFonts w:ascii="Arial" w:cs="Arial" w:eastAsia="Arial" w:hAnsi="Arial"/>
          <w:color w:val="0F1B2D"/>
          <w:sz w:val="21"/>
          <w:szCs w:val="21"/>
          <w:rtl/>
        </w:rPr>
        <w:t xml:space="preserve">الحزمة تجتاز deploy/verify-release.sh (التوقيع وقائمة المكونات).</w:t>
      </w:r>
    </w:p>
    <w:p>
      <w:pPr>
        <w:pStyle w:val="ListParagraph"/>
        <w:numPr>
          <w:ilvl w:val="0"/>
          <w:numId w:val="2"/>
        </w:numPr>
        <w:bidi/>
        <w:spacing w:after="80" w:line="290"/>
        <w:jc w:val="right"/>
      </w:pPr>
      <w:r>
        <w:rPr>
          <w:rFonts w:ascii="Arial" w:cs="Arial" w:eastAsia="Arial" w:hAnsi="Arial"/>
          <w:color w:val="0F1B2D"/>
          <w:sz w:val="21"/>
          <w:szCs w:val="21"/>
          <w:rtl/>
        </w:rPr>
        <w:t xml:space="preserve">بيئة ما قبل الإنتاج مثبتة من الحزمة نفسها، والترحيل جُرّب على نسخة بحجم الإنتاج.</w:t>
      </w:r>
    </w:p>
    <w:p>
      <w:pPr>
        <w:pStyle w:val="ListParagraph"/>
        <w:numPr>
          <w:ilvl w:val="0"/>
          <w:numId w:val="2"/>
        </w:numPr>
        <w:bidi/>
        <w:spacing w:after="80" w:line="290"/>
        <w:jc w:val="right"/>
      </w:pPr>
      <w:r>
        <w:rPr>
          <w:rFonts w:ascii="Arial" w:cs="Arial" w:eastAsia="Arial" w:hAnsi="Arial"/>
          <w:color w:val="0F1B2D"/>
          <w:sz w:val="21"/>
          <w:szCs w:val="21"/>
          <w:rtl/>
        </w:rPr>
        <w:t xml:space="preserve">حسابات الأدوار جاهزة، وبيانات الاختبار مولّدة، ومسجّل النتائج متفق عليه.</w:t>
      </w:r>
    </w:p>
    <w:p>
      <w:pPr>
        <w:pStyle w:val="Heading2"/>
        <w:keepNext/>
        <w:bidi/>
        <w:spacing w:after="100" w:before="240"/>
        <w:jc w:val="right"/>
      </w:pPr>
      <w:r>
        <w:rPr>
          <w:rFonts w:ascii="Arial" w:cs="Arial" w:eastAsia="Arial" w:hAnsi="Arial"/>
          <w:b/>
          <w:bCs/>
          <w:color w:val="0A5BD3"/>
          <w:sz w:val="24"/>
          <w:szCs w:val="24"/>
          <w:rtl/>
        </w:rPr>
        <w:t xml:space="preserve">4.2 معايير الخروج (القبول)</w:t>
      </w:r>
    </w:p>
    <w:p>
      <w:pPr>
        <w:pStyle w:val="ListParagraph"/>
        <w:numPr>
          <w:ilvl w:val="0"/>
          <w:numId w:val="2"/>
        </w:numPr>
        <w:bidi/>
        <w:spacing w:after="80" w:line="290"/>
        <w:jc w:val="right"/>
      </w:pPr>
      <w:r>
        <w:rPr>
          <w:rFonts w:ascii="Arial" w:cs="Arial" w:eastAsia="Arial" w:hAnsi="Arial"/>
          <w:color w:val="0F1B2D"/>
          <w:sz w:val="21"/>
          <w:szCs w:val="21"/>
          <w:rtl/>
        </w:rPr>
        <w:t xml:space="preserve">كل سيناريوهات القسم 5 ناجحة، أو مقبولة كتابياً من مالك المنصة مع السبب والتاريخ.</w:t>
      </w:r>
    </w:p>
    <w:p>
      <w:pPr>
        <w:pStyle w:val="ListParagraph"/>
        <w:numPr>
          <w:ilvl w:val="0"/>
          <w:numId w:val="2"/>
        </w:numPr>
        <w:bidi/>
        <w:spacing w:after="80" w:line="290"/>
        <w:jc w:val="right"/>
      </w:pPr>
      <w:r>
        <w:rPr>
          <w:rFonts w:ascii="Arial" w:cs="Arial" w:eastAsia="Arial" w:hAnsi="Arial"/>
          <w:color w:val="0F1B2D"/>
          <w:sz w:val="21"/>
          <w:szCs w:val="21"/>
          <w:rtl/>
        </w:rPr>
        <w:t xml:space="preserve">لا عيب حرجاً أو عالياً مفتوحاً (القسم 7).</w:t>
      </w:r>
    </w:p>
    <w:p>
      <w:pPr>
        <w:pStyle w:val="ListParagraph"/>
        <w:numPr>
          <w:ilvl w:val="0"/>
          <w:numId w:val="2"/>
        </w:numPr>
        <w:bidi/>
        <w:spacing w:after="80" w:line="290"/>
        <w:jc w:val="right"/>
      </w:pPr>
      <w:r>
        <w:rPr>
          <w:rFonts w:ascii="Arial" w:cs="Arial" w:eastAsia="Arial" w:hAnsi="Arial"/>
          <w:color w:val="0F1B2D"/>
          <w:sz w:val="21"/>
          <w:szCs w:val="21"/>
          <w:rtl/>
        </w:rPr>
        <w:t xml:space="preserve">المتطلبات غير الوظيفية في القسم 6 محققة بأدلة مؤرخة وموقّعة، وهي أدلة بوابات الإطلاق 1 إلى 8.</w:t>
      </w:r>
    </w:p>
    <w:p>
      <w:pPr>
        <w:pStyle w:val="ListParagraph"/>
        <w:numPr>
          <w:ilvl w:val="0"/>
          <w:numId w:val="2"/>
        </w:numPr>
        <w:bidi/>
        <w:spacing w:after="80" w:line="290"/>
        <w:jc w:val="right"/>
      </w:pPr>
      <w:r>
        <w:rPr>
          <w:rFonts w:ascii="Arial" w:cs="Arial" w:eastAsia="Arial" w:hAnsi="Arial"/>
          <w:color w:val="0F1B2D"/>
          <w:sz w:val="21"/>
          <w:szCs w:val="21"/>
          <w:rtl/>
        </w:rPr>
        <w:t xml:space="preserve">قرار الإطلاق موقّع من مالك المنصة ومسؤول الأمن ومسؤول العمليات (سجل القرار في LAUNCH_GATES.md).</w:t>
      </w:r>
    </w:p>
    <w:p>
      <w:r>
        <w:br w:type="page"/>
      </w:r>
    </w:p>
    <w:p>
      <w:pPr>
        <w:pStyle w:val="Heading1"/>
        <w:keepNext/>
        <w:pBdr>
          <w:bottom w:val="single" w:color="0A5BD3" w:sz="10" w:space="4"/>
        </w:pBdr>
        <w:bidi/>
        <w:spacing w:after="160" w:before="360"/>
        <w:jc w:val="right"/>
      </w:pPr>
      <w:r>
        <w:rPr>
          <w:rFonts w:ascii="Arial" w:cs="Arial" w:eastAsia="Arial" w:hAnsi="Arial"/>
          <w:b/>
          <w:bCs/>
          <w:color w:val="0B1F3F"/>
          <w:sz w:val="30"/>
          <w:szCs w:val="30"/>
          <w:rtl/>
        </w:rPr>
        <w:t xml:space="preserve">5. سيناريوهات القبول الوظيفية</w:t>
      </w:r>
    </w:p>
    <w:p>
      <w:pPr>
        <w:bidi/>
        <w:spacing w:after="120" w:line="300"/>
        <w:jc w:val="right"/>
      </w:pPr>
      <w:r>
        <w:rPr>
          <w:rFonts w:ascii="Arial" w:cs="Arial" w:eastAsia="Arial" w:hAnsi="Arial"/>
          <w:color w:val="0F1B2D"/>
          <w:sz w:val="21"/>
          <w:szCs w:val="21"/>
          <w:rtl/>
        </w:rPr>
        <w:t xml:space="preserve">لكل سيناريو معيار قبول قابل للقياس، واسم الاختبار الآلي القائم الذي يثبته اليوم. يُعاد السيناريو في القبول يدوياً من الواجهة، على بيئة ما قبل الإنتاج، ليتأكد ممثلو المستخدمين من السلوك والشاشات. الاختبار الآلي يثبت القاعدة، والقبول يثبت التجربة.</w:t>
      </w:r>
    </w:p>
    <w:p>
      <w:pPr>
        <w:pStyle w:val="Heading2"/>
        <w:keepNext/>
        <w:bidi/>
        <w:spacing w:after="100" w:before="240"/>
        <w:jc w:val="right"/>
      </w:pPr>
      <w:r>
        <w:rPr>
          <w:rFonts w:ascii="Arial" w:cs="Arial" w:eastAsia="Arial" w:hAnsi="Arial"/>
          <w:b/>
          <w:bCs/>
          <w:color w:val="0A5BD3"/>
          <w:sz w:val="24"/>
          <w:szCs w:val="24"/>
          <w:rtl/>
        </w:rPr>
        <w:t xml:space="preserve">5.1 الحسابات والدخول والأمن</w:t>
      </w:r>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71"/>
        <w:gridCol w:w="2313"/>
        <w:gridCol w:w="1253"/>
        <w:gridCol w:w="3181"/>
        <w:gridCol w:w="2120"/>
      </w:tblGrid>
      <w:tr>
        <w:trPr>
          <w:tblHeader/>
        </w:trPr>
        <w:tc>
          <w:tcPr>
            <w:tcW w:type="dxa" w:w="771"/>
            <w:tcBorders>
              <w:top w:val="single" w:color="D5DBE3" w:sz="4"/>
              <w:left w:val="none" w:color="FFFFFF" w:sz="0"/>
              <w:bottom w:val="single" w:color="D5DBE3" w:sz="4"/>
              <w:right w:val="none" w:color="FFFFFF" w:sz="0"/>
            </w:tcBorders>
            <w:shd w:fill="0B1F3F" w:color="auto" w:val="clear"/>
            <w:tcMar>
              <w:top w:type="dxa" w:w="60"/>
              <w:left w:type="dxa" w:w="90"/>
              <w:bottom w:type="dxa" w:w="60"/>
              <w:right w:type="dxa" w:w="90"/>
            </w:tcMar>
          </w:tcPr>
          <w:p>
            <w:pPr>
              <w:bidi/>
              <w:spacing w:after="0" w:line="255"/>
              <w:jc w:val="right"/>
            </w:pPr>
            <w:r>
              <w:rPr>
                <w:rFonts w:ascii="Arial" w:cs="Arial" w:eastAsia="Arial" w:hAnsi="Arial"/>
                <w:b/>
                <w:bCs/>
                <w:color w:val="FFFFFF"/>
                <w:sz w:val="18"/>
                <w:szCs w:val="18"/>
                <w:rtl/>
              </w:rPr>
              <w:t xml:space="preserve">الرقم</w:t>
            </w:r>
          </w:p>
        </w:tc>
        <w:tc>
          <w:tcPr>
            <w:tcW w:type="dxa" w:w="2313"/>
            <w:tcBorders>
              <w:top w:val="single" w:color="D5DBE3" w:sz="4"/>
              <w:left w:val="none" w:color="FFFFFF" w:sz="0"/>
              <w:bottom w:val="single" w:color="D5DBE3" w:sz="4"/>
              <w:right w:val="none" w:color="FFFFFF" w:sz="0"/>
            </w:tcBorders>
            <w:shd w:fill="0B1F3F" w:color="auto" w:val="clear"/>
            <w:tcMar>
              <w:top w:type="dxa" w:w="60"/>
              <w:left w:type="dxa" w:w="90"/>
              <w:bottom w:type="dxa" w:w="60"/>
              <w:right w:type="dxa" w:w="90"/>
            </w:tcMar>
          </w:tcPr>
          <w:p>
            <w:pPr>
              <w:bidi/>
              <w:spacing w:after="0" w:line="255"/>
              <w:jc w:val="right"/>
            </w:pPr>
            <w:r>
              <w:rPr>
                <w:rFonts w:ascii="Arial" w:cs="Arial" w:eastAsia="Arial" w:hAnsi="Arial"/>
                <w:b/>
                <w:bCs/>
                <w:color w:val="FFFFFF"/>
                <w:sz w:val="18"/>
                <w:szCs w:val="18"/>
                <w:rtl/>
              </w:rPr>
              <w:t xml:space="preserve">السيناريو</w:t>
            </w:r>
          </w:p>
        </w:tc>
        <w:tc>
          <w:tcPr>
            <w:tcW w:type="dxa" w:w="1253"/>
            <w:tcBorders>
              <w:top w:val="single" w:color="D5DBE3" w:sz="4"/>
              <w:left w:val="none" w:color="FFFFFF" w:sz="0"/>
              <w:bottom w:val="single" w:color="D5DBE3" w:sz="4"/>
              <w:right w:val="none" w:color="FFFFFF" w:sz="0"/>
            </w:tcBorders>
            <w:shd w:fill="0B1F3F" w:color="auto" w:val="clear"/>
            <w:tcMar>
              <w:top w:type="dxa" w:w="60"/>
              <w:left w:type="dxa" w:w="90"/>
              <w:bottom w:type="dxa" w:w="60"/>
              <w:right w:type="dxa" w:w="90"/>
            </w:tcMar>
          </w:tcPr>
          <w:p>
            <w:pPr>
              <w:bidi/>
              <w:spacing w:after="0" w:line="255"/>
              <w:jc w:val="right"/>
            </w:pPr>
            <w:r>
              <w:rPr>
                <w:rFonts w:ascii="Arial" w:cs="Arial" w:eastAsia="Arial" w:hAnsi="Arial"/>
                <w:b/>
                <w:bCs/>
                <w:color w:val="FFFFFF"/>
                <w:sz w:val="18"/>
                <w:szCs w:val="18"/>
                <w:rtl/>
              </w:rPr>
              <w:t xml:space="preserve">الفاعل</w:t>
            </w:r>
          </w:p>
        </w:tc>
        <w:tc>
          <w:tcPr>
            <w:tcW w:type="dxa" w:w="3181"/>
            <w:tcBorders>
              <w:top w:val="single" w:color="D5DBE3" w:sz="4"/>
              <w:left w:val="none" w:color="FFFFFF" w:sz="0"/>
              <w:bottom w:val="single" w:color="D5DBE3" w:sz="4"/>
              <w:right w:val="none" w:color="FFFFFF" w:sz="0"/>
            </w:tcBorders>
            <w:shd w:fill="0B1F3F" w:color="auto" w:val="clear"/>
            <w:tcMar>
              <w:top w:type="dxa" w:w="60"/>
              <w:left w:type="dxa" w:w="90"/>
              <w:bottom w:type="dxa" w:w="60"/>
              <w:right w:type="dxa" w:w="90"/>
            </w:tcMar>
          </w:tcPr>
          <w:p>
            <w:pPr>
              <w:bidi/>
              <w:spacing w:after="0" w:line="255"/>
              <w:jc w:val="right"/>
            </w:pPr>
            <w:r>
              <w:rPr>
                <w:rFonts w:ascii="Arial" w:cs="Arial" w:eastAsia="Arial" w:hAnsi="Arial"/>
                <w:b/>
                <w:bCs/>
                <w:color w:val="FFFFFF"/>
                <w:sz w:val="18"/>
                <w:szCs w:val="18"/>
                <w:rtl/>
              </w:rPr>
              <w:t xml:space="preserve">معيار القبول</w:t>
            </w:r>
          </w:p>
        </w:tc>
        <w:tc>
          <w:tcPr>
            <w:tcW w:type="dxa" w:w="2120"/>
            <w:tcBorders>
              <w:top w:val="single" w:color="D5DBE3" w:sz="4"/>
              <w:left w:val="none" w:color="FFFFFF" w:sz="0"/>
              <w:bottom w:val="single" w:color="D5DBE3" w:sz="4"/>
              <w:right w:val="none" w:color="FFFFFF" w:sz="0"/>
            </w:tcBorders>
            <w:shd w:fill="0B1F3F" w:color="auto" w:val="clear"/>
            <w:tcMar>
              <w:top w:type="dxa" w:w="60"/>
              <w:left w:type="dxa" w:w="90"/>
              <w:bottom w:type="dxa" w:w="60"/>
              <w:right w:type="dxa" w:w="90"/>
            </w:tcMar>
          </w:tcPr>
          <w:p>
            <w:pPr>
              <w:bidi/>
              <w:spacing w:after="0" w:line="255"/>
              <w:jc w:val="right"/>
            </w:pPr>
            <w:r>
              <w:rPr>
                <w:rFonts w:ascii="Arial" w:cs="Arial" w:eastAsia="Arial" w:hAnsi="Arial"/>
                <w:b/>
                <w:bCs/>
                <w:color w:val="FFFFFF"/>
                <w:sz w:val="18"/>
                <w:szCs w:val="18"/>
                <w:rtl/>
              </w:rPr>
              <w:t xml:space="preserve">الاختبار الآلي القائم</w:t>
            </w:r>
          </w:p>
        </w:tc>
      </w:tr>
      <w:tr>
        <w:trPr>
          <w:cantSplit/>
        </w:trPr>
        <w:tc>
          <w:tcPr>
            <w:tcW w:type="dxa" w:w="771"/>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UAT-01</w:t>
            </w:r>
          </w:p>
        </w:tc>
        <w:tc>
          <w:tcPr>
            <w:tcW w:type="dxa" w:w="2313"/>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كل حساب يدخل بوابته وحدها</w:t>
            </w:r>
          </w:p>
        </w:tc>
        <w:tc>
          <w:tcPr>
            <w:tcW w:type="dxa" w:w="1253"/>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مسافر، موظف ناقل</w:t>
            </w:r>
          </w:p>
        </w:tc>
        <w:tc>
          <w:tcPr>
            <w:tcW w:type="dxa" w:w="3181"/>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حساب المسافر لا يفتح مسارات الناقل (403)، والدخول إلى بوابة غير بوابة الحساب يُرفض</w:t>
            </w:r>
          </w:p>
        </w:tc>
        <w:tc>
          <w:tcPr>
            <w:tcW w:type="dxa" w:w="212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test_e2e: wrong_portal_rejected، passenger_cannot_open_carrier_api</w:t>
            </w:r>
          </w:p>
        </w:tc>
      </w:tr>
      <w:tr>
        <w:trPr>
          <w:cantSplit/>
        </w:trPr>
        <w:tc>
          <w:tcPr>
            <w:tcW w:type="dxa" w:w="771"/>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UAT-02</w:t>
            </w:r>
          </w:p>
        </w:tc>
        <w:tc>
          <w:tcPr>
            <w:tcW w:type="dxa" w:w="2313"/>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عامل التحقق الثاني للموظفين</w:t>
            </w:r>
          </w:p>
        </w:tc>
        <w:tc>
          <w:tcPr>
            <w:tcW w:type="dxa" w:w="1253"/>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موظف ناقل، وكالة</w:t>
            </w:r>
          </w:p>
        </w:tc>
        <w:tc>
          <w:tcPr>
            <w:tcW w:type="dxa" w:w="3181"/>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لا يدخل موظف دون الرمز؛ الرمز المستعمل مرة يُرفض ثانية</w:t>
            </w:r>
          </w:p>
        </w:tc>
        <w:tc>
          <w:tcPr>
            <w:tcW w:type="dxa" w:w="2120"/>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test_e2e: two_factor_sign_in_for_staff؛ test_mfa</w:t>
            </w:r>
          </w:p>
        </w:tc>
      </w:tr>
      <w:tr>
        <w:trPr>
          <w:cantSplit/>
        </w:trPr>
        <w:tc>
          <w:tcPr>
            <w:tcW w:type="dxa" w:w="771"/>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UAT-03</w:t>
            </w:r>
          </w:p>
        </w:tc>
        <w:tc>
          <w:tcPr>
            <w:tcW w:type="dxa" w:w="2313"/>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قفل الحساب بعد محاولات فاشلة</w:t>
            </w:r>
          </w:p>
        </w:tc>
        <w:tc>
          <w:tcPr>
            <w:tcW w:type="dxa" w:w="1253"/>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أي مستخدم</w:t>
            </w:r>
          </w:p>
        </w:tc>
        <w:tc>
          <w:tcPr>
            <w:tcW w:type="dxa" w:w="3181"/>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يُقفل الحساب بعد العدد المحدد ويُسجَّل ذلك</w:t>
            </w:r>
          </w:p>
        </w:tc>
        <w:tc>
          <w:tcPr>
            <w:tcW w:type="dxa" w:w="212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test_e2e: lockout_after_failed_logins</w:t>
            </w:r>
          </w:p>
        </w:tc>
      </w:tr>
      <w:tr>
        <w:trPr>
          <w:cantSplit/>
        </w:trPr>
        <w:tc>
          <w:tcPr>
            <w:tcW w:type="dxa" w:w="771"/>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UAT-04</w:t>
            </w:r>
          </w:p>
        </w:tc>
        <w:tc>
          <w:tcPr>
            <w:tcW w:type="dxa" w:w="2313"/>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العزل بين الشركات</w:t>
            </w:r>
          </w:p>
        </w:tc>
        <w:tc>
          <w:tcPr>
            <w:tcW w:type="dxa" w:w="1253"/>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ناقلان</w:t>
            </w:r>
          </w:p>
        </w:tc>
        <w:tc>
          <w:tcPr>
            <w:tcW w:type="dxa" w:w="3181"/>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لا ترى شركة صفوف أخرى، ولا تعدّلها، ولا تنقل صفوفها إليها</w:t>
            </w:r>
          </w:p>
        </w:tc>
        <w:tc>
          <w:tcPr>
            <w:tcW w:type="dxa" w:w="2120"/>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test_isolation (3 اختبارات)</w:t>
            </w:r>
          </w:p>
        </w:tc>
      </w:tr>
      <w:tr>
        <w:trPr>
          <w:cantSplit/>
        </w:trPr>
        <w:tc>
          <w:tcPr>
            <w:tcW w:type="dxa" w:w="771"/>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UAT-05</w:t>
            </w:r>
          </w:p>
        </w:tc>
        <w:tc>
          <w:tcPr>
            <w:tcW w:type="dxa" w:w="2313"/>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الخصوصية: الموافقات والتصدير والمحو</w:t>
            </w:r>
          </w:p>
        </w:tc>
        <w:tc>
          <w:tcPr>
            <w:tcW w:type="dxa" w:w="1253"/>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مسافر</w:t>
            </w:r>
          </w:p>
        </w:tc>
        <w:tc>
          <w:tcPr>
            <w:tcW w:type="dxa" w:w="3181"/>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يصدّر بياناته؛ المحو يجعل الحساب مجهول الهوية ويحذف صورته</w:t>
            </w:r>
          </w:p>
        </w:tc>
        <w:tc>
          <w:tcPr>
            <w:tcW w:type="dxa" w:w="212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test_account؛ test_boarding_photo: erasure_removes_the_photo</w:t>
            </w:r>
          </w:p>
        </w:tc>
      </w:tr>
    </w:tbl>
    <w:p>
      <w:pPr>
        <w:pStyle w:val="Heading2"/>
        <w:keepNext/>
        <w:bidi/>
        <w:spacing w:after="100" w:before="240"/>
        <w:jc w:val="right"/>
      </w:pPr>
      <w:r>
        <w:rPr>
          <w:rFonts w:ascii="Arial" w:cs="Arial" w:eastAsia="Arial" w:hAnsi="Arial"/>
          <w:b/>
          <w:bCs/>
          <w:color w:val="0A5BD3"/>
          <w:sz w:val="24"/>
          <w:szCs w:val="24"/>
          <w:rtl/>
        </w:rPr>
        <w:t xml:space="preserve">5.2 البحث والحجز والدفع</w:t>
      </w:r>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71"/>
        <w:gridCol w:w="2313"/>
        <w:gridCol w:w="1253"/>
        <w:gridCol w:w="3181"/>
        <w:gridCol w:w="2120"/>
      </w:tblGrid>
      <w:tr>
        <w:trPr>
          <w:tblHeader/>
        </w:trPr>
        <w:tc>
          <w:tcPr>
            <w:tcW w:type="dxa" w:w="771"/>
            <w:tcBorders>
              <w:top w:val="single" w:color="D5DBE3" w:sz="4"/>
              <w:left w:val="none" w:color="FFFFFF" w:sz="0"/>
              <w:bottom w:val="single" w:color="D5DBE3" w:sz="4"/>
              <w:right w:val="none" w:color="FFFFFF" w:sz="0"/>
            </w:tcBorders>
            <w:shd w:fill="0B1F3F" w:color="auto" w:val="clear"/>
            <w:tcMar>
              <w:top w:type="dxa" w:w="60"/>
              <w:left w:type="dxa" w:w="90"/>
              <w:bottom w:type="dxa" w:w="60"/>
              <w:right w:type="dxa" w:w="90"/>
            </w:tcMar>
          </w:tcPr>
          <w:p>
            <w:pPr>
              <w:bidi/>
              <w:spacing w:after="0" w:line="255"/>
              <w:jc w:val="right"/>
            </w:pPr>
            <w:r>
              <w:rPr>
                <w:rFonts w:ascii="Arial" w:cs="Arial" w:eastAsia="Arial" w:hAnsi="Arial"/>
                <w:b/>
                <w:bCs/>
                <w:color w:val="FFFFFF"/>
                <w:sz w:val="18"/>
                <w:szCs w:val="18"/>
                <w:rtl/>
              </w:rPr>
              <w:t xml:space="preserve">الرقم</w:t>
            </w:r>
          </w:p>
        </w:tc>
        <w:tc>
          <w:tcPr>
            <w:tcW w:type="dxa" w:w="2313"/>
            <w:tcBorders>
              <w:top w:val="single" w:color="D5DBE3" w:sz="4"/>
              <w:left w:val="none" w:color="FFFFFF" w:sz="0"/>
              <w:bottom w:val="single" w:color="D5DBE3" w:sz="4"/>
              <w:right w:val="none" w:color="FFFFFF" w:sz="0"/>
            </w:tcBorders>
            <w:shd w:fill="0B1F3F" w:color="auto" w:val="clear"/>
            <w:tcMar>
              <w:top w:type="dxa" w:w="60"/>
              <w:left w:type="dxa" w:w="90"/>
              <w:bottom w:type="dxa" w:w="60"/>
              <w:right w:type="dxa" w:w="90"/>
            </w:tcMar>
          </w:tcPr>
          <w:p>
            <w:pPr>
              <w:bidi/>
              <w:spacing w:after="0" w:line="255"/>
              <w:jc w:val="right"/>
            </w:pPr>
            <w:r>
              <w:rPr>
                <w:rFonts w:ascii="Arial" w:cs="Arial" w:eastAsia="Arial" w:hAnsi="Arial"/>
                <w:b/>
                <w:bCs/>
                <w:color w:val="FFFFFF"/>
                <w:sz w:val="18"/>
                <w:szCs w:val="18"/>
                <w:rtl/>
              </w:rPr>
              <w:t xml:space="preserve">السيناريو</w:t>
            </w:r>
          </w:p>
        </w:tc>
        <w:tc>
          <w:tcPr>
            <w:tcW w:type="dxa" w:w="1253"/>
            <w:tcBorders>
              <w:top w:val="single" w:color="D5DBE3" w:sz="4"/>
              <w:left w:val="none" w:color="FFFFFF" w:sz="0"/>
              <w:bottom w:val="single" w:color="D5DBE3" w:sz="4"/>
              <w:right w:val="none" w:color="FFFFFF" w:sz="0"/>
            </w:tcBorders>
            <w:shd w:fill="0B1F3F" w:color="auto" w:val="clear"/>
            <w:tcMar>
              <w:top w:type="dxa" w:w="60"/>
              <w:left w:type="dxa" w:w="90"/>
              <w:bottom w:type="dxa" w:w="60"/>
              <w:right w:type="dxa" w:w="90"/>
            </w:tcMar>
          </w:tcPr>
          <w:p>
            <w:pPr>
              <w:bidi/>
              <w:spacing w:after="0" w:line="255"/>
              <w:jc w:val="right"/>
            </w:pPr>
            <w:r>
              <w:rPr>
                <w:rFonts w:ascii="Arial" w:cs="Arial" w:eastAsia="Arial" w:hAnsi="Arial"/>
                <w:b/>
                <w:bCs/>
                <w:color w:val="FFFFFF"/>
                <w:sz w:val="18"/>
                <w:szCs w:val="18"/>
                <w:rtl/>
              </w:rPr>
              <w:t xml:space="preserve">الفاعل</w:t>
            </w:r>
          </w:p>
        </w:tc>
        <w:tc>
          <w:tcPr>
            <w:tcW w:type="dxa" w:w="3181"/>
            <w:tcBorders>
              <w:top w:val="single" w:color="D5DBE3" w:sz="4"/>
              <w:left w:val="none" w:color="FFFFFF" w:sz="0"/>
              <w:bottom w:val="single" w:color="D5DBE3" w:sz="4"/>
              <w:right w:val="none" w:color="FFFFFF" w:sz="0"/>
            </w:tcBorders>
            <w:shd w:fill="0B1F3F" w:color="auto" w:val="clear"/>
            <w:tcMar>
              <w:top w:type="dxa" w:w="60"/>
              <w:left w:type="dxa" w:w="90"/>
              <w:bottom w:type="dxa" w:w="60"/>
              <w:right w:type="dxa" w:w="90"/>
            </w:tcMar>
          </w:tcPr>
          <w:p>
            <w:pPr>
              <w:bidi/>
              <w:spacing w:after="0" w:line="255"/>
              <w:jc w:val="right"/>
            </w:pPr>
            <w:r>
              <w:rPr>
                <w:rFonts w:ascii="Arial" w:cs="Arial" w:eastAsia="Arial" w:hAnsi="Arial"/>
                <w:b/>
                <w:bCs/>
                <w:color w:val="FFFFFF"/>
                <w:sz w:val="18"/>
                <w:szCs w:val="18"/>
                <w:rtl/>
              </w:rPr>
              <w:t xml:space="preserve">معيار القبول</w:t>
            </w:r>
          </w:p>
        </w:tc>
        <w:tc>
          <w:tcPr>
            <w:tcW w:type="dxa" w:w="2120"/>
            <w:tcBorders>
              <w:top w:val="single" w:color="D5DBE3" w:sz="4"/>
              <w:left w:val="none" w:color="FFFFFF" w:sz="0"/>
              <w:bottom w:val="single" w:color="D5DBE3" w:sz="4"/>
              <w:right w:val="none" w:color="FFFFFF" w:sz="0"/>
            </w:tcBorders>
            <w:shd w:fill="0B1F3F" w:color="auto" w:val="clear"/>
            <w:tcMar>
              <w:top w:type="dxa" w:w="60"/>
              <w:left w:type="dxa" w:w="90"/>
              <w:bottom w:type="dxa" w:w="60"/>
              <w:right w:type="dxa" w:w="90"/>
            </w:tcMar>
          </w:tcPr>
          <w:p>
            <w:pPr>
              <w:bidi/>
              <w:spacing w:after="0" w:line="255"/>
              <w:jc w:val="right"/>
            </w:pPr>
            <w:r>
              <w:rPr>
                <w:rFonts w:ascii="Arial" w:cs="Arial" w:eastAsia="Arial" w:hAnsi="Arial"/>
                <w:b/>
                <w:bCs/>
                <w:color w:val="FFFFFF"/>
                <w:sz w:val="18"/>
                <w:szCs w:val="18"/>
                <w:rtl/>
              </w:rPr>
              <w:t xml:space="preserve">الاختبار الآلي القائم</w:t>
            </w:r>
          </w:p>
        </w:tc>
      </w:tr>
      <w:tr>
        <w:trPr>
          <w:cantSplit/>
        </w:trPr>
        <w:tc>
          <w:tcPr>
            <w:tcW w:type="dxa" w:w="771"/>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UAT-06</w:t>
            </w:r>
          </w:p>
        </w:tc>
        <w:tc>
          <w:tcPr>
            <w:tcW w:type="dxa" w:w="2313"/>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حجز مؤقت لمقعد عليه تنافس</w:t>
            </w:r>
          </w:p>
        </w:tc>
        <w:tc>
          <w:tcPr>
            <w:tcW w:type="dxa" w:w="1253"/>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مسافران</w:t>
            </w:r>
          </w:p>
        </w:tc>
        <w:tc>
          <w:tcPr>
            <w:tcW w:type="dxa" w:w="3181"/>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يحصل واحد فقط على المقعد، ويُرفض الآخر برسالة واضحة</w:t>
            </w:r>
          </w:p>
        </w:tc>
        <w:tc>
          <w:tcPr>
            <w:tcW w:type="dxa" w:w="212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test_e2e: seat_map_and_hold_conflict؛ test_sign_in_and_operations: holds_sent_together_cannot_pass_the_limit</w:t>
            </w:r>
          </w:p>
        </w:tc>
      </w:tr>
      <w:tr>
        <w:trPr>
          <w:cantSplit/>
        </w:trPr>
        <w:tc>
          <w:tcPr>
            <w:tcW w:type="dxa" w:w="771"/>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UAT-07</w:t>
            </w:r>
          </w:p>
        </w:tc>
        <w:tc>
          <w:tcPr>
            <w:tcW w:type="dxa" w:w="2313"/>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الدفع من المحفظة</w:t>
            </w:r>
          </w:p>
        </w:tc>
        <w:tc>
          <w:tcPr>
            <w:tcW w:type="dxa" w:w="1253"/>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مسافر</w:t>
            </w:r>
          </w:p>
        </w:tc>
        <w:tc>
          <w:tcPr>
            <w:tcW w:type="dxa" w:w="3181"/>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حجز واحد مهما تكرر الطلب، وقيود الدفتر متوازنة</w:t>
            </w:r>
          </w:p>
        </w:tc>
        <w:tc>
          <w:tcPr>
            <w:tcW w:type="dxa" w:w="2120"/>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test_e2e: booking_paid_from_wallet_is_idempotent_and_balanced</w:t>
            </w:r>
          </w:p>
        </w:tc>
      </w:tr>
      <w:tr>
        <w:trPr>
          <w:cantSplit/>
        </w:trPr>
        <w:tc>
          <w:tcPr>
            <w:tcW w:type="dxa" w:w="771"/>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UAT-08</w:t>
            </w:r>
          </w:p>
        </w:tc>
        <w:tc>
          <w:tcPr>
            <w:tcW w:type="dxa" w:w="2313"/>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شحن المحفظة بالبطاقة</w:t>
            </w:r>
          </w:p>
        </w:tc>
        <w:tc>
          <w:tcPr>
            <w:tcW w:type="dxa" w:w="1253"/>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مسافر، بوابة الدفع</w:t>
            </w:r>
          </w:p>
        </w:tc>
        <w:tc>
          <w:tcPr>
            <w:tcW w:type="dxa" w:w="3181"/>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يُضاف المبلغ مرة واحدة من إشعار موقّع؛ الإشعار المزوّر يُرفض</w:t>
            </w:r>
          </w:p>
        </w:tc>
        <w:tc>
          <w:tcPr>
            <w:tcW w:type="dxa" w:w="212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test_payments: card_topup_credited_once…، forged_and_tampered_notifications_are_refused</w:t>
            </w:r>
          </w:p>
        </w:tc>
      </w:tr>
      <w:tr>
        <w:trPr>
          <w:cantSplit/>
        </w:trPr>
        <w:tc>
          <w:tcPr>
            <w:tcW w:type="dxa" w:w="771"/>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UAT-09</w:t>
            </w:r>
          </w:p>
        </w:tc>
        <w:tc>
          <w:tcPr>
            <w:tcW w:type="dxa" w:w="2313"/>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الحجز الآن والدفع لاحقاً</w:t>
            </w:r>
          </w:p>
        </w:tc>
        <w:tc>
          <w:tcPr>
            <w:tcW w:type="dxa" w:w="1253"/>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مسافر، كاونتر الناقل</w:t>
            </w:r>
          </w:p>
        </w:tc>
        <w:tc>
          <w:tcPr>
            <w:tcW w:type="dxa" w:w="3181"/>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يبقى الحجز بانتظار الدفع حتى موعده؛ الدفع في الكاونتر يؤكده؛ انقضاء الموعد يحرر المقاعد</w:t>
            </w:r>
          </w:p>
        </w:tc>
        <w:tc>
          <w:tcPr>
            <w:tcW w:type="dxa" w:w="2120"/>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test_payment_options: pay_later_reserves_then_counter_collects، unpaid_reservation_expires_and_frees_its_seats</w:t>
            </w:r>
          </w:p>
        </w:tc>
      </w:tr>
      <w:tr>
        <w:trPr>
          <w:cantSplit/>
        </w:trPr>
        <w:tc>
          <w:tcPr>
            <w:tcW w:type="dxa" w:w="771"/>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UAT-10</w:t>
            </w:r>
          </w:p>
        </w:tc>
        <w:tc>
          <w:tcPr>
            <w:tcW w:type="dxa" w:w="2313"/>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خيار دفع مغلق</w:t>
            </w:r>
          </w:p>
        </w:tc>
        <w:tc>
          <w:tcPr>
            <w:tcW w:type="dxa" w:w="1253"/>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مسافر</w:t>
            </w:r>
          </w:p>
        </w:tc>
        <w:tc>
          <w:tcPr>
            <w:tcW w:type="dxa" w:w="3181"/>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الخيار المغلق يرفض الحجز (PAYMENT_METHOD_DISABLED)</w:t>
            </w:r>
          </w:p>
        </w:tc>
        <w:tc>
          <w:tcPr>
            <w:tcW w:type="dxa" w:w="212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test_payment_options: closed_option_refuses_bookings</w:t>
            </w:r>
          </w:p>
        </w:tc>
      </w:tr>
      <w:tr>
        <w:trPr>
          <w:cantSplit/>
        </w:trPr>
        <w:tc>
          <w:tcPr>
            <w:tcW w:type="dxa" w:w="771"/>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UAT-11</w:t>
            </w:r>
          </w:p>
        </w:tc>
        <w:tc>
          <w:tcPr>
            <w:tcW w:type="dxa" w:w="2313"/>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البيع النقدي في الكاونتر</w:t>
            </w:r>
          </w:p>
        </w:tc>
        <w:tc>
          <w:tcPr>
            <w:tcW w:type="dxa" w:w="1253"/>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كاونتر الناقل</w:t>
            </w:r>
          </w:p>
        </w:tc>
        <w:tc>
          <w:tcPr>
            <w:tcW w:type="dxa" w:w="3181"/>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البيع ضمن حد الائتمان فقط؛ الإلغاء يعيد النقد</w:t>
            </w:r>
          </w:p>
        </w:tc>
        <w:tc>
          <w:tcPr>
            <w:tcW w:type="dxa" w:w="2120"/>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test_payment_options: counter_sells_for_cash، credit_limit_stops_cash_sales، counter_cancel_gives_cash_back</w:t>
            </w:r>
          </w:p>
        </w:tc>
      </w:tr>
      <w:tr>
        <w:trPr>
          <w:cantSplit/>
        </w:trPr>
        <w:tc>
          <w:tcPr>
            <w:tcW w:type="dxa" w:w="771"/>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UAT-12</w:t>
            </w:r>
          </w:p>
        </w:tc>
        <w:tc>
          <w:tcPr>
            <w:tcW w:type="dxa" w:w="2313"/>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الإلغاء والاسترداد</w:t>
            </w:r>
          </w:p>
        </w:tc>
        <w:tc>
          <w:tcPr>
            <w:tcW w:type="dxa" w:w="1253"/>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مسافر</w:t>
            </w:r>
          </w:p>
        </w:tc>
        <w:tc>
          <w:tcPr>
            <w:tcW w:type="dxa" w:w="3181"/>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يتبع سياسة الناقل؛ يُحجز المبلغ ويُرسل مرة واحدة ويُقيد عند القبول</w:t>
            </w:r>
          </w:p>
        </w:tc>
        <w:tc>
          <w:tcPr>
            <w:tcW w:type="dxa" w:w="212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test_e2e: cancel_refund_follows_brand؛ test_money_boundaries</w:t>
            </w:r>
          </w:p>
        </w:tc>
      </w:tr>
      <w:tr>
        <w:trPr>
          <w:cantSplit/>
        </w:trPr>
        <w:tc>
          <w:tcPr>
            <w:tcW w:type="dxa" w:w="771"/>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UAT-13</w:t>
            </w:r>
          </w:p>
        </w:tc>
        <w:tc>
          <w:tcPr>
            <w:tcW w:type="dxa" w:w="2313"/>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أسماء المسافرين ورقم الوثيقة</w:t>
            </w:r>
          </w:p>
        </w:tc>
        <w:tc>
          <w:tcPr>
            <w:tcW w:type="dxa" w:w="1253"/>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مسافر</w:t>
            </w:r>
          </w:p>
        </w:tc>
        <w:tc>
          <w:tcPr>
            <w:tcW w:type="dxa" w:w="3181"/>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الاسم كما في الوثيقة؛ رقم الوثيقة لا يصل إلى القاعدة نصاً صريحاً</w:t>
            </w:r>
          </w:p>
        </w:tc>
        <w:tc>
          <w:tcPr>
            <w:tcW w:type="dxa" w:w="2120"/>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test_e2e: passenger_names_follow_the_identity_document، document_number_never_reaches_the_database_in_plaintext</w:t>
            </w:r>
          </w:p>
        </w:tc>
      </w:tr>
      <w:tr>
        <w:trPr>
          <w:cantSplit/>
        </w:trPr>
        <w:tc>
          <w:tcPr>
            <w:tcW w:type="dxa" w:w="771"/>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UAT-14</w:t>
            </w:r>
          </w:p>
        </w:tc>
        <w:tc>
          <w:tcPr>
            <w:tcW w:type="dxa" w:w="2313"/>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وثائق السفر الدولي</w:t>
            </w:r>
          </w:p>
        </w:tc>
        <w:tc>
          <w:tcPr>
            <w:tcW w:type="dxa" w:w="1253"/>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مسافر، موظفو المنصة</w:t>
            </w:r>
          </w:p>
        </w:tc>
        <w:tc>
          <w:tcPr>
            <w:tcW w:type="dxa" w:w="3181"/>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الرحلة الدولية تطلب جوازاً صالحاً؛ الاستثناء يحتاج أساساً قانونياً وموظفَين</w:t>
            </w:r>
          </w:p>
        </w:tc>
        <w:tc>
          <w:tcPr>
            <w:tcW w:type="dxa" w:w="212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test_travel_documents</w:t>
            </w:r>
          </w:p>
        </w:tc>
      </w:tr>
    </w:tbl>
    <w:p>
      <w:pPr>
        <w:pStyle w:val="Heading2"/>
        <w:keepNext/>
        <w:bidi/>
        <w:spacing w:after="100" w:before="240"/>
        <w:jc w:val="right"/>
      </w:pPr>
      <w:r>
        <w:rPr>
          <w:rFonts w:ascii="Arial" w:cs="Arial" w:eastAsia="Arial" w:hAnsi="Arial"/>
          <w:b/>
          <w:bCs/>
          <w:color w:val="0A5BD3"/>
          <w:sz w:val="24"/>
          <w:szCs w:val="24"/>
          <w:rtl/>
        </w:rPr>
        <w:t xml:space="preserve">5.3 الصعود والرحلة</w:t>
      </w:r>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71"/>
        <w:gridCol w:w="2313"/>
        <w:gridCol w:w="1253"/>
        <w:gridCol w:w="3181"/>
        <w:gridCol w:w="2120"/>
      </w:tblGrid>
      <w:tr>
        <w:trPr>
          <w:tblHeader/>
        </w:trPr>
        <w:tc>
          <w:tcPr>
            <w:tcW w:type="dxa" w:w="771"/>
            <w:tcBorders>
              <w:top w:val="single" w:color="D5DBE3" w:sz="4"/>
              <w:left w:val="none" w:color="FFFFFF" w:sz="0"/>
              <w:bottom w:val="single" w:color="D5DBE3" w:sz="4"/>
              <w:right w:val="none" w:color="FFFFFF" w:sz="0"/>
            </w:tcBorders>
            <w:shd w:fill="0B1F3F" w:color="auto" w:val="clear"/>
            <w:tcMar>
              <w:top w:type="dxa" w:w="60"/>
              <w:left w:type="dxa" w:w="90"/>
              <w:bottom w:type="dxa" w:w="60"/>
              <w:right w:type="dxa" w:w="90"/>
            </w:tcMar>
          </w:tcPr>
          <w:p>
            <w:pPr>
              <w:bidi/>
              <w:spacing w:after="0" w:line="255"/>
              <w:jc w:val="right"/>
            </w:pPr>
            <w:r>
              <w:rPr>
                <w:rFonts w:ascii="Arial" w:cs="Arial" w:eastAsia="Arial" w:hAnsi="Arial"/>
                <w:b/>
                <w:bCs/>
                <w:color w:val="FFFFFF"/>
                <w:sz w:val="18"/>
                <w:szCs w:val="18"/>
                <w:rtl/>
              </w:rPr>
              <w:t xml:space="preserve">الرقم</w:t>
            </w:r>
          </w:p>
        </w:tc>
        <w:tc>
          <w:tcPr>
            <w:tcW w:type="dxa" w:w="2313"/>
            <w:tcBorders>
              <w:top w:val="single" w:color="D5DBE3" w:sz="4"/>
              <w:left w:val="none" w:color="FFFFFF" w:sz="0"/>
              <w:bottom w:val="single" w:color="D5DBE3" w:sz="4"/>
              <w:right w:val="none" w:color="FFFFFF" w:sz="0"/>
            </w:tcBorders>
            <w:shd w:fill="0B1F3F" w:color="auto" w:val="clear"/>
            <w:tcMar>
              <w:top w:type="dxa" w:w="60"/>
              <w:left w:type="dxa" w:w="90"/>
              <w:bottom w:type="dxa" w:w="60"/>
              <w:right w:type="dxa" w:w="90"/>
            </w:tcMar>
          </w:tcPr>
          <w:p>
            <w:pPr>
              <w:bidi/>
              <w:spacing w:after="0" w:line="255"/>
              <w:jc w:val="right"/>
            </w:pPr>
            <w:r>
              <w:rPr>
                <w:rFonts w:ascii="Arial" w:cs="Arial" w:eastAsia="Arial" w:hAnsi="Arial"/>
                <w:b/>
                <w:bCs/>
                <w:color w:val="FFFFFF"/>
                <w:sz w:val="18"/>
                <w:szCs w:val="18"/>
                <w:rtl/>
              </w:rPr>
              <w:t xml:space="preserve">السيناريو</w:t>
            </w:r>
          </w:p>
        </w:tc>
        <w:tc>
          <w:tcPr>
            <w:tcW w:type="dxa" w:w="1253"/>
            <w:tcBorders>
              <w:top w:val="single" w:color="D5DBE3" w:sz="4"/>
              <w:left w:val="none" w:color="FFFFFF" w:sz="0"/>
              <w:bottom w:val="single" w:color="D5DBE3" w:sz="4"/>
              <w:right w:val="none" w:color="FFFFFF" w:sz="0"/>
            </w:tcBorders>
            <w:shd w:fill="0B1F3F" w:color="auto" w:val="clear"/>
            <w:tcMar>
              <w:top w:type="dxa" w:w="60"/>
              <w:left w:type="dxa" w:w="90"/>
              <w:bottom w:type="dxa" w:w="60"/>
              <w:right w:type="dxa" w:w="90"/>
            </w:tcMar>
          </w:tcPr>
          <w:p>
            <w:pPr>
              <w:bidi/>
              <w:spacing w:after="0" w:line="255"/>
              <w:jc w:val="right"/>
            </w:pPr>
            <w:r>
              <w:rPr>
                <w:rFonts w:ascii="Arial" w:cs="Arial" w:eastAsia="Arial" w:hAnsi="Arial"/>
                <w:b/>
                <w:bCs/>
                <w:color w:val="FFFFFF"/>
                <w:sz w:val="18"/>
                <w:szCs w:val="18"/>
                <w:rtl/>
              </w:rPr>
              <w:t xml:space="preserve">الفاعل</w:t>
            </w:r>
          </w:p>
        </w:tc>
        <w:tc>
          <w:tcPr>
            <w:tcW w:type="dxa" w:w="3181"/>
            <w:tcBorders>
              <w:top w:val="single" w:color="D5DBE3" w:sz="4"/>
              <w:left w:val="none" w:color="FFFFFF" w:sz="0"/>
              <w:bottom w:val="single" w:color="D5DBE3" w:sz="4"/>
              <w:right w:val="none" w:color="FFFFFF" w:sz="0"/>
            </w:tcBorders>
            <w:shd w:fill="0B1F3F" w:color="auto" w:val="clear"/>
            <w:tcMar>
              <w:top w:type="dxa" w:w="60"/>
              <w:left w:type="dxa" w:w="90"/>
              <w:bottom w:type="dxa" w:w="60"/>
              <w:right w:type="dxa" w:w="90"/>
            </w:tcMar>
          </w:tcPr>
          <w:p>
            <w:pPr>
              <w:bidi/>
              <w:spacing w:after="0" w:line="255"/>
              <w:jc w:val="right"/>
            </w:pPr>
            <w:r>
              <w:rPr>
                <w:rFonts w:ascii="Arial" w:cs="Arial" w:eastAsia="Arial" w:hAnsi="Arial"/>
                <w:b/>
                <w:bCs/>
                <w:color w:val="FFFFFF"/>
                <w:sz w:val="18"/>
                <w:szCs w:val="18"/>
                <w:rtl/>
              </w:rPr>
              <w:t xml:space="preserve">معيار القبول</w:t>
            </w:r>
          </w:p>
        </w:tc>
        <w:tc>
          <w:tcPr>
            <w:tcW w:type="dxa" w:w="2120"/>
            <w:tcBorders>
              <w:top w:val="single" w:color="D5DBE3" w:sz="4"/>
              <w:left w:val="none" w:color="FFFFFF" w:sz="0"/>
              <w:bottom w:val="single" w:color="D5DBE3" w:sz="4"/>
              <w:right w:val="none" w:color="FFFFFF" w:sz="0"/>
            </w:tcBorders>
            <w:shd w:fill="0B1F3F" w:color="auto" w:val="clear"/>
            <w:tcMar>
              <w:top w:type="dxa" w:w="60"/>
              <w:left w:type="dxa" w:w="90"/>
              <w:bottom w:type="dxa" w:w="60"/>
              <w:right w:type="dxa" w:w="90"/>
            </w:tcMar>
          </w:tcPr>
          <w:p>
            <w:pPr>
              <w:bidi/>
              <w:spacing w:after="0" w:line="255"/>
              <w:jc w:val="right"/>
            </w:pPr>
            <w:r>
              <w:rPr>
                <w:rFonts w:ascii="Arial" w:cs="Arial" w:eastAsia="Arial" w:hAnsi="Arial"/>
                <w:b/>
                <w:bCs/>
                <w:color w:val="FFFFFF"/>
                <w:sz w:val="18"/>
                <w:szCs w:val="18"/>
                <w:rtl/>
              </w:rPr>
              <w:t xml:space="preserve">الاختبار الآلي القائم</w:t>
            </w:r>
          </w:p>
        </w:tc>
      </w:tr>
      <w:tr>
        <w:trPr>
          <w:cantSplit/>
        </w:trPr>
        <w:tc>
          <w:tcPr>
            <w:tcW w:type="dxa" w:w="771"/>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UAT-15</w:t>
            </w:r>
          </w:p>
        </w:tc>
        <w:tc>
          <w:tcPr>
            <w:tcW w:type="dxa" w:w="2313"/>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مسح الصعود</w:t>
            </w:r>
          </w:p>
        </w:tc>
        <w:tc>
          <w:tcPr>
            <w:tcW w:type="dxa" w:w="1253"/>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السائق</w:t>
            </w:r>
          </w:p>
        </w:tc>
        <w:tc>
          <w:tcPr>
            <w:tcW w:type="dxa" w:w="3181"/>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يُقبل المسح فقط للسائق المسند وللتذكرة الصالحة لهذه الرحلة والمحطة؛ المكرر يُرفض ويُسجَّل</w:t>
            </w:r>
          </w:p>
        </w:tc>
        <w:tc>
          <w:tcPr>
            <w:tcW w:type="dxa" w:w="212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test_e2e: driver_boarding_scan؛ test_sign_in_and_operations: a_boarding_names_a_stop_the_ticket_covers</w:t>
            </w:r>
          </w:p>
        </w:tc>
      </w:tr>
      <w:tr>
        <w:trPr>
          <w:cantSplit/>
        </w:trPr>
        <w:tc>
          <w:tcPr>
            <w:tcW w:type="dxa" w:w="771"/>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UAT-16</w:t>
            </w:r>
          </w:p>
        </w:tc>
        <w:tc>
          <w:tcPr>
            <w:tcW w:type="dxa" w:w="2313"/>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الصعود دون اتصال</w:t>
            </w:r>
          </w:p>
        </w:tc>
        <w:tc>
          <w:tcPr>
            <w:tcW w:type="dxa" w:w="1253"/>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السائق</w:t>
            </w:r>
          </w:p>
        </w:tc>
        <w:tc>
          <w:tcPr>
            <w:tcW w:type="dxa" w:w="3181"/>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المسح دون اتصال يُقبل ضمن صلاحية الحزمة، ثم يُرسل دفعة واحدة</w:t>
            </w:r>
          </w:p>
        </w:tc>
        <w:tc>
          <w:tcPr>
            <w:tcW w:type="dxa" w:w="2120"/>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test_sign_in_and_operations: an_offline_scan_is_not_older_than_the_pack</w:t>
            </w:r>
          </w:p>
        </w:tc>
      </w:tr>
      <w:tr>
        <w:trPr>
          <w:cantSplit/>
        </w:trPr>
        <w:tc>
          <w:tcPr>
            <w:tcW w:type="dxa" w:w="771"/>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UAT-17</w:t>
            </w:r>
          </w:p>
        </w:tc>
        <w:tc>
          <w:tcPr>
            <w:tcW w:type="dxa" w:w="2313"/>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إلغاء وصعود في اللحظة نفسها</w:t>
            </w:r>
          </w:p>
        </w:tc>
        <w:tc>
          <w:tcPr>
            <w:tcW w:type="dxa" w:w="1253"/>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مسافر، سائق</w:t>
            </w:r>
          </w:p>
        </w:tc>
        <w:tc>
          <w:tcPr>
            <w:tcW w:type="dxa" w:w="3181"/>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نتيجة واحدة متسقة: صعود أو استرداد، لا الاثنان</w:t>
            </w:r>
          </w:p>
        </w:tc>
        <w:tc>
          <w:tcPr>
            <w:tcW w:type="dxa" w:w="212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test_scenarios: cancel_and_board_at_the_same_moment</w:t>
            </w:r>
          </w:p>
        </w:tc>
      </w:tr>
      <w:tr>
        <w:trPr>
          <w:cantSplit/>
        </w:trPr>
        <w:tc>
          <w:tcPr>
            <w:tcW w:type="dxa" w:w="771"/>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UAT-18</w:t>
            </w:r>
          </w:p>
        </w:tc>
        <w:tc>
          <w:tcPr>
            <w:tcW w:type="dxa" w:w="2313"/>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إتمام الرحلة</w:t>
            </w:r>
          </w:p>
        </w:tc>
        <w:tc>
          <w:tcPr>
            <w:tcW w:type="dxa" w:w="1253"/>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الناقل</w:t>
            </w:r>
          </w:p>
        </w:tc>
        <w:tc>
          <w:tcPr>
            <w:tcW w:type="dxa" w:w="3181"/>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يتحرر المبلغ المحجوز للناقل عند الإتمام</w:t>
            </w:r>
          </w:p>
        </w:tc>
        <w:tc>
          <w:tcPr>
            <w:tcW w:type="dxa" w:w="2120"/>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test_e2e: trip_completion_releases_escrow</w:t>
            </w:r>
          </w:p>
        </w:tc>
      </w:tr>
      <w:tr>
        <w:trPr>
          <w:cantSplit/>
        </w:trPr>
        <w:tc>
          <w:tcPr>
            <w:tcW w:type="dxa" w:w="771"/>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UAT-19</w:t>
            </w:r>
          </w:p>
        </w:tc>
        <w:tc>
          <w:tcPr>
            <w:tcW w:type="dxa" w:w="2313"/>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بيان الركاب</w:t>
            </w:r>
          </w:p>
        </w:tc>
        <w:tc>
          <w:tcPr>
            <w:tcW w:type="dxa" w:w="1253"/>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الناقل، الجهة الرقابية</w:t>
            </w:r>
          </w:p>
        </w:tc>
        <w:tc>
          <w:tcPr>
            <w:tcW w:type="dxa" w:w="3181"/>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يصدر البيان للرحلات المنشورة فقط ويُوجَّه ويُستلم</w:t>
            </w:r>
          </w:p>
        </w:tc>
        <w:tc>
          <w:tcPr>
            <w:tcW w:type="dxa" w:w="212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test_manifests؛ test_e2e: carrier_dashboard_manifest_and_vehicle</w:t>
            </w:r>
          </w:p>
        </w:tc>
      </w:tr>
    </w:tbl>
    <w:p>
      <w:pPr>
        <w:pStyle w:val="Heading2"/>
        <w:keepNext/>
        <w:bidi/>
        <w:spacing w:after="100" w:before="240"/>
        <w:jc w:val="right"/>
      </w:pPr>
      <w:r>
        <w:rPr>
          <w:rFonts w:ascii="Arial" w:cs="Arial" w:eastAsia="Arial" w:hAnsi="Arial"/>
          <w:b/>
          <w:bCs/>
          <w:color w:val="0A5BD3"/>
          <w:sz w:val="24"/>
          <w:szCs w:val="24"/>
          <w:rtl/>
        </w:rPr>
        <w:t xml:space="preserve">5.4 الوكالة والمالية والوثائق</w:t>
      </w:r>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71"/>
        <w:gridCol w:w="2313"/>
        <w:gridCol w:w="1253"/>
        <w:gridCol w:w="3181"/>
        <w:gridCol w:w="2120"/>
      </w:tblGrid>
      <w:tr>
        <w:trPr>
          <w:tblHeader/>
        </w:trPr>
        <w:tc>
          <w:tcPr>
            <w:tcW w:type="dxa" w:w="771"/>
            <w:tcBorders>
              <w:top w:val="single" w:color="D5DBE3" w:sz="4"/>
              <w:left w:val="none" w:color="FFFFFF" w:sz="0"/>
              <w:bottom w:val="single" w:color="D5DBE3" w:sz="4"/>
              <w:right w:val="none" w:color="FFFFFF" w:sz="0"/>
            </w:tcBorders>
            <w:shd w:fill="0B1F3F" w:color="auto" w:val="clear"/>
            <w:tcMar>
              <w:top w:type="dxa" w:w="60"/>
              <w:left w:type="dxa" w:w="90"/>
              <w:bottom w:type="dxa" w:w="60"/>
              <w:right w:type="dxa" w:w="90"/>
            </w:tcMar>
          </w:tcPr>
          <w:p>
            <w:pPr>
              <w:bidi/>
              <w:spacing w:after="0" w:line="255"/>
              <w:jc w:val="right"/>
            </w:pPr>
            <w:r>
              <w:rPr>
                <w:rFonts w:ascii="Arial" w:cs="Arial" w:eastAsia="Arial" w:hAnsi="Arial"/>
                <w:b/>
                <w:bCs/>
                <w:color w:val="FFFFFF"/>
                <w:sz w:val="18"/>
                <w:szCs w:val="18"/>
                <w:rtl/>
              </w:rPr>
              <w:t xml:space="preserve">الرقم</w:t>
            </w:r>
          </w:p>
        </w:tc>
        <w:tc>
          <w:tcPr>
            <w:tcW w:type="dxa" w:w="2313"/>
            <w:tcBorders>
              <w:top w:val="single" w:color="D5DBE3" w:sz="4"/>
              <w:left w:val="none" w:color="FFFFFF" w:sz="0"/>
              <w:bottom w:val="single" w:color="D5DBE3" w:sz="4"/>
              <w:right w:val="none" w:color="FFFFFF" w:sz="0"/>
            </w:tcBorders>
            <w:shd w:fill="0B1F3F" w:color="auto" w:val="clear"/>
            <w:tcMar>
              <w:top w:type="dxa" w:w="60"/>
              <w:left w:type="dxa" w:w="90"/>
              <w:bottom w:type="dxa" w:w="60"/>
              <w:right w:type="dxa" w:w="90"/>
            </w:tcMar>
          </w:tcPr>
          <w:p>
            <w:pPr>
              <w:bidi/>
              <w:spacing w:after="0" w:line="255"/>
              <w:jc w:val="right"/>
            </w:pPr>
            <w:r>
              <w:rPr>
                <w:rFonts w:ascii="Arial" w:cs="Arial" w:eastAsia="Arial" w:hAnsi="Arial"/>
                <w:b/>
                <w:bCs/>
                <w:color w:val="FFFFFF"/>
                <w:sz w:val="18"/>
                <w:szCs w:val="18"/>
                <w:rtl/>
              </w:rPr>
              <w:t xml:space="preserve">السيناريو</w:t>
            </w:r>
          </w:p>
        </w:tc>
        <w:tc>
          <w:tcPr>
            <w:tcW w:type="dxa" w:w="1253"/>
            <w:tcBorders>
              <w:top w:val="single" w:color="D5DBE3" w:sz="4"/>
              <w:left w:val="none" w:color="FFFFFF" w:sz="0"/>
              <w:bottom w:val="single" w:color="D5DBE3" w:sz="4"/>
              <w:right w:val="none" w:color="FFFFFF" w:sz="0"/>
            </w:tcBorders>
            <w:shd w:fill="0B1F3F" w:color="auto" w:val="clear"/>
            <w:tcMar>
              <w:top w:type="dxa" w:w="60"/>
              <w:left w:type="dxa" w:w="90"/>
              <w:bottom w:type="dxa" w:w="60"/>
              <w:right w:type="dxa" w:w="90"/>
            </w:tcMar>
          </w:tcPr>
          <w:p>
            <w:pPr>
              <w:bidi/>
              <w:spacing w:after="0" w:line="255"/>
              <w:jc w:val="right"/>
            </w:pPr>
            <w:r>
              <w:rPr>
                <w:rFonts w:ascii="Arial" w:cs="Arial" w:eastAsia="Arial" w:hAnsi="Arial"/>
                <w:b/>
                <w:bCs/>
                <w:color w:val="FFFFFF"/>
                <w:sz w:val="18"/>
                <w:szCs w:val="18"/>
                <w:rtl/>
              </w:rPr>
              <w:t xml:space="preserve">الفاعل</w:t>
            </w:r>
          </w:p>
        </w:tc>
        <w:tc>
          <w:tcPr>
            <w:tcW w:type="dxa" w:w="3181"/>
            <w:tcBorders>
              <w:top w:val="single" w:color="D5DBE3" w:sz="4"/>
              <w:left w:val="none" w:color="FFFFFF" w:sz="0"/>
              <w:bottom w:val="single" w:color="D5DBE3" w:sz="4"/>
              <w:right w:val="none" w:color="FFFFFF" w:sz="0"/>
            </w:tcBorders>
            <w:shd w:fill="0B1F3F" w:color="auto" w:val="clear"/>
            <w:tcMar>
              <w:top w:type="dxa" w:w="60"/>
              <w:left w:type="dxa" w:w="90"/>
              <w:bottom w:type="dxa" w:w="60"/>
              <w:right w:type="dxa" w:w="90"/>
            </w:tcMar>
          </w:tcPr>
          <w:p>
            <w:pPr>
              <w:bidi/>
              <w:spacing w:after="0" w:line="255"/>
              <w:jc w:val="right"/>
            </w:pPr>
            <w:r>
              <w:rPr>
                <w:rFonts w:ascii="Arial" w:cs="Arial" w:eastAsia="Arial" w:hAnsi="Arial"/>
                <w:b/>
                <w:bCs/>
                <w:color w:val="FFFFFF"/>
                <w:sz w:val="18"/>
                <w:szCs w:val="18"/>
                <w:rtl/>
              </w:rPr>
              <w:t xml:space="preserve">معيار القبول</w:t>
            </w:r>
          </w:p>
        </w:tc>
        <w:tc>
          <w:tcPr>
            <w:tcW w:type="dxa" w:w="2120"/>
            <w:tcBorders>
              <w:top w:val="single" w:color="D5DBE3" w:sz="4"/>
              <w:left w:val="none" w:color="FFFFFF" w:sz="0"/>
              <w:bottom w:val="single" w:color="D5DBE3" w:sz="4"/>
              <w:right w:val="none" w:color="FFFFFF" w:sz="0"/>
            </w:tcBorders>
            <w:shd w:fill="0B1F3F" w:color="auto" w:val="clear"/>
            <w:tcMar>
              <w:top w:type="dxa" w:w="60"/>
              <w:left w:type="dxa" w:w="90"/>
              <w:bottom w:type="dxa" w:w="60"/>
              <w:right w:type="dxa" w:w="90"/>
            </w:tcMar>
          </w:tcPr>
          <w:p>
            <w:pPr>
              <w:bidi/>
              <w:spacing w:after="0" w:line="255"/>
              <w:jc w:val="right"/>
            </w:pPr>
            <w:r>
              <w:rPr>
                <w:rFonts w:ascii="Arial" w:cs="Arial" w:eastAsia="Arial" w:hAnsi="Arial"/>
                <w:b/>
                <w:bCs/>
                <w:color w:val="FFFFFF"/>
                <w:sz w:val="18"/>
                <w:szCs w:val="18"/>
                <w:rtl/>
              </w:rPr>
              <w:t xml:space="preserve">الاختبار الآلي القائم</w:t>
            </w:r>
          </w:p>
        </w:tc>
      </w:tr>
      <w:tr>
        <w:trPr>
          <w:cantSplit/>
        </w:trPr>
        <w:tc>
          <w:tcPr>
            <w:tcW w:type="dxa" w:w="771"/>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UAT-20</w:t>
            </w:r>
          </w:p>
        </w:tc>
        <w:tc>
          <w:tcPr>
            <w:tcW w:type="dxa" w:w="2313"/>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البيع عبر الوكالة</w:t>
            </w:r>
          </w:p>
        </w:tc>
        <w:tc>
          <w:tcPr>
            <w:tcW w:type="dxa" w:w="1253"/>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الوكالة</w:t>
            </w:r>
          </w:p>
        </w:tc>
        <w:tc>
          <w:tcPr>
            <w:tcW w:type="dxa" w:w="3181"/>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بالسعر العام مع عمولتها، ضمن الحد اليومي؛ الوكالة الموقوفة لا تبيع</w:t>
            </w:r>
          </w:p>
        </w:tc>
        <w:tc>
          <w:tcPr>
            <w:tcW w:type="dxa" w:w="212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test_agency</w:t>
            </w:r>
          </w:p>
        </w:tc>
      </w:tr>
      <w:tr>
        <w:trPr>
          <w:cantSplit/>
        </w:trPr>
        <w:tc>
          <w:tcPr>
            <w:tcW w:type="dxa" w:w="771"/>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UAT-21</w:t>
            </w:r>
          </w:p>
        </w:tc>
        <w:tc>
          <w:tcPr>
            <w:tcW w:type="dxa" w:w="2313"/>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السحب والتسويات</w:t>
            </w:r>
          </w:p>
        </w:tc>
        <w:tc>
          <w:tcPr>
            <w:tcW w:type="dxa" w:w="1253"/>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المالية</w:t>
            </w:r>
          </w:p>
        </w:tc>
        <w:tc>
          <w:tcPr>
            <w:tcW w:type="dxa" w:w="3181"/>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السحب فوق الحد يحتاج موافقَين؛ كشف التسوية يعتمده شخص آخر</w:t>
            </w:r>
          </w:p>
        </w:tc>
        <w:tc>
          <w:tcPr>
            <w:tcW w:type="dxa" w:w="2120"/>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test_payouts</w:t>
            </w:r>
          </w:p>
        </w:tc>
      </w:tr>
      <w:tr>
        <w:trPr>
          <w:cantSplit/>
        </w:trPr>
        <w:tc>
          <w:tcPr>
            <w:tcW w:type="dxa" w:w="771"/>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UAT-22</w:t>
            </w:r>
          </w:p>
        </w:tc>
        <w:tc>
          <w:tcPr>
            <w:tcW w:type="dxa" w:w="2313"/>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وثائق الشركة</w:t>
            </w:r>
          </w:p>
        </w:tc>
        <w:tc>
          <w:tcPr>
            <w:tcW w:type="dxa" w:w="1253"/>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الناقل، موظفو المنصة</w:t>
            </w:r>
          </w:p>
        </w:tc>
        <w:tc>
          <w:tcPr>
            <w:tcW w:type="dxa" w:w="3181"/>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الملف مشفّر؛ لا تراه شركة أخرى؛ المراجعة مسجّلة ونهائية</w:t>
            </w:r>
          </w:p>
        </w:tc>
        <w:tc>
          <w:tcPr>
            <w:tcW w:type="dxa" w:w="212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test_documents</w:t>
            </w:r>
          </w:p>
        </w:tc>
      </w:tr>
    </w:tbl>
    <w:p>
      <w:pPr>
        <w:pStyle w:val="Heading2"/>
        <w:keepNext/>
        <w:bidi/>
        <w:spacing w:after="100" w:before="240"/>
        <w:jc w:val="right"/>
      </w:pPr>
      <w:r>
        <w:rPr>
          <w:rFonts w:ascii="Arial" w:cs="Arial" w:eastAsia="Arial" w:hAnsi="Arial"/>
          <w:b/>
          <w:bCs/>
          <w:color w:val="0A5BD3"/>
          <w:sz w:val="24"/>
          <w:szCs w:val="24"/>
          <w:rtl/>
        </w:rPr>
        <w:t xml:space="preserve">5.5 صورة الصعود وسياستها</w:t>
      </w:r>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71"/>
        <w:gridCol w:w="2313"/>
        <w:gridCol w:w="1253"/>
        <w:gridCol w:w="3181"/>
        <w:gridCol w:w="2120"/>
      </w:tblGrid>
      <w:tr>
        <w:trPr>
          <w:tblHeader/>
        </w:trPr>
        <w:tc>
          <w:tcPr>
            <w:tcW w:type="dxa" w:w="771"/>
            <w:tcBorders>
              <w:top w:val="single" w:color="D5DBE3" w:sz="4"/>
              <w:left w:val="none" w:color="FFFFFF" w:sz="0"/>
              <w:bottom w:val="single" w:color="D5DBE3" w:sz="4"/>
              <w:right w:val="none" w:color="FFFFFF" w:sz="0"/>
            </w:tcBorders>
            <w:shd w:fill="0B1F3F" w:color="auto" w:val="clear"/>
            <w:tcMar>
              <w:top w:type="dxa" w:w="60"/>
              <w:left w:type="dxa" w:w="90"/>
              <w:bottom w:type="dxa" w:w="60"/>
              <w:right w:type="dxa" w:w="90"/>
            </w:tcMar>
          </w:tcPr>
          <w:p>
            <w:pPr>
              <w:bidi/>
              <w:spacing w:after="0" w:line="255"/>
              <w:jc w:val="right"/>
            </w:pPr>
            <w:r>
              <w:rPr>
                <w:rFonts w:ascii="Arial" w:cs="Arial" w:eastAsia="Arial" w:hAnsi="Arial"/>
                <w:b/>
                <w:bCs/>
                <w:color w:val="FFFFFF"/>
                <w:sz w:val="18"/>
                <w:szCs w:val="18"/>
                <w:rtl/>
              </w:rPr>
              <w:t xml:space="preserve">الرقم</w:t>
            </w:r>
          </w:p>
        </w:tc>
        <w:tc>
          <w:tcPr>
            <w:tcW w:type="dxa" w:w="2313"/>
            <w:tcBorders>
              <w:top w:val="single" w:color="D5DBE3" w:sz="4"/>
              <w:left w:val="none" w:color="FFFFFF" w:sz="0"/>
              <w:bottom w:val="single" w:color="D5DBE3" w:sz="4"/>
              <w:right w:val="none" w:color="FFFFFF" w:sz="0"/>
            </w:tcBorders>
            <w:shd w:fill="0B1F3F" w:color="auto" w:val="clear"/>
            <w:tcMar>
              <w:top w:type="dxa" w:w="60"/>
              <w:left w:type="dxa" w:w="90"/>
              <w:bottom w:type="dxa" w:w="60"/>
              <w:right w:type="dxa" w:w="90"/>
            </w:tcMar>
          </w:tcPr>
          <w:p>
            <w:pPr>
              <w:bidi/>
              <w:spacing w:after="0" w:line="255"/>
              <w:jc w:val="right"/>
            </w:pPr>
            <w:r>
              <w:rPr>
                <w:rFonts w:ascii="Arial" w:cs="Arial" w:eastAsia="Arial" w:hAnsi="Arial"/>
                <w:b/>
                <w:bCs/>
                <w:color w:val="FFFFFF"/>
                <w:sz w:val="18"/>
                <w:szCs w:val="18"/>
                <w:rtl/>
              </w:rPr>
              <w:t xml:space="preserve">السيناريو</w:t>
            </w:r>
          </w:p>
        </w:tc>
        <w:tc>
          <w:tcPr>
            <w:tcW w:type="dxa" w:w="1253"/>
            <w:tcBorders>
              <w:top w:val="single" w:color="D5DBE3" w:sz="4"/>
              <w:left w:val="none" w:color="FFFFFF" w:sz="0"/>
              <w:bottom w:val="single" w:color="D5DBE3" w:sz="4"/>
              <w:right w:val="none" w:color="FFFFFF" w:sz="0"/>
            </w:tcBorders>
            <w:shd w:fill="0B1F3F" w:color="auto" w:val="clear"/>
            <w:tcMar>
              <w:top w:type="dxa" w:w="60"/>
              <w:left w:type="dxa" w:w="90"/>
              <w:bottom w:type="dxa" w:w="60"/>
              <w:right w:type="dxa" w:w="90"/>
            </w:tcMar>
          </w:tcPr>
          <w:p>
            <w:pPr>
              <w:bidi/>
              <w:spacing w:after="0" w:line="255"/>
              <w:jc w:val="right"/>
            </w:pPr>
            <w:r>
              <w:rPr>
                <w:rFonts w:ascii="Arial" w:cs="Arial" w:eastAsia="Arial" w:hAnsi="Arial"/>
                <w:b/>
                <w:bCs/>
                <w:color w:val="FFFFFF"/>
                <w:sz w:val="18"/>
                <w:szCs w:val="18"/>
                <w:rtl/>
              </w:rPr>
              <w:t xml:space="preserve">الفاعل</w:t>
            </w:r>
          </w:p>
        </w:tc>
        <w:tc>
          <w:tcPr>
            <w:tcW w:type="dxa" w:w="3181"/>
            <w:tcBorders>
              <w:top w:val="single" w:color="D5DBE3" w:sz="4"/>
              <w:left w:val="none" w:color="FFFFFF" w:sz="0"/>
              <w:bottom w:val="single" w:color="D5DBE3" w:sz="4"/>
              <w:right w:val="none" w:color="FFFFFF" w:sz="0"/>
            </w:tcBorders>
            <w:shd w:fill="0B1F3F" w:color="auto" w:val="clear"/>
            <w:tcMar>
              <w:top w:type="dxa" w:w="60"/>
              <w:left w:type="dxa" w:w="90"/>
              <w:bottom w:type="dxa" w:w="60"/>
              <w:right w:type="dxa" w:w="90"/>
            </w:tcMar>
          </w:tcPr>
          <w:p>
            <w:pPr>
              <w:bidi/>
              <w:spacing w:after="0" w:line="255"/>
              <w:jc w:val="right"/>
            </w:pPr>
            <w:r>
              <w:rPr>
                <w:rFonts w:ascii="Arial" w:cs="Arial" w:eastAsia="Arial" w:hAnsi="Arial"/>
                <w:b/>
                <w:bCs/>
                <w:color w:val="FFFFFF"/>
                <w:sz w:val="18"/>
                <w:szCs w:val="18"/>
                <w:rtl/>
              </w:rPr>
              <w:t xml:space="preserve">معيار القبول</w:t>
            </w:r>
          </w:p>
        </w:tc>
        <w:tc>
          <w:tcPr>
            <w:tcW w:type="dxa" w:w="2120"/>
            <w:tcBorders>
              <w:top w:val="single" w:color="D5DBE3" w:sz="4"/>
              <w:left w:val="none" w:color="FFFFFF" w:sz="0"/>
              <w:bottom w:val="single" w:color="D5DBE3" w:sz="4"/>
              <w:right w:val="none" w:color="FFFFFF" w:sz="0"/>
            </w:tcBorders>
            <w:shd w:fill="0B1F3F" w:color="auto" w:val="clear"/>
            <w:tcMar>
              <w:top w:type="dxa" w:w="60"/>
              <w:left w:type="dxa" w:w="90"/>
              <w:bottom w:type="dxa" w:w="60"/>
              <w:right w:type="dxa" w:w="90"/>
            </w:tcMar>
          </w:tcPr>
          <w:p>
            <w:pPr>
              <w:bidi/>
              <w:spacing w:after="0" w:line="255"/>
              <w:jc w:val="right"/>
            </w:pPr>
            <w:r>
              <w:rPr>
                <w:rFonts w:ascii="Arial" w:cs="Arial" w:eastAsia="Arial" w:hAnsi="Arial"/>
                <w:b/>
                <w:bCs/>
                <w:color w:val="FFFFFF"/>
                <w:sz w:val="18"/>
                <w:szCs w:val="18"/>
                <w:rtl/>
              </w:rPr>
              <w:t xml:space="preserve">الاختبار الآلي القائم</w:t>
            </w:r>
          </w:p>
        </w:tc>
      </w:tr>
      <w:tr>
        <w:trPr>
          <w:cantSplit/>
        </w:trPr>
        <w:tc>
          <w:tcPr>
            <w:tcW w:type="dxa" w:w="771"/>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UAT-23</w:t>
            </w:r>
          </w:p>
        </w:tc>
        <w:tc>
          <w:tcPr>
            <w:tcW w:type="dxa" w:w="2313"/>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تشغيل ميزة الصورة</w:t>
            </w:r>
          </w:p>
        </w:tc>
        <w:tc>
          <w:tcPr>
            <w:tcW w:type="dxa" w:w="1253"/>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موظفو الخصوصية</w:t>
            </w:r>
          </w:p>
        </w:tc>
        <w:tc>
          <w:tcPr>
            <w:tcW w:type="dxa" w:w="3181"/>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الميزة مغلقة عند الإطلاق؛ لا تُشغَّل دون أساس قانوني ومراحل الموافقة</w:t>
            </w:r>
          </w:p>
        </w:tc>
        <w:tc>
          <w:tcPr>
            <w:tcW w:type="dxa" w:w="212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test_a_photo_switch</w:t>
            </w:r>
          </w:p>
        </w:tc>
      </w:tr>
      <w:tr>
        <w:trPr>
          <w:cantSplit/>
        </w:trPr>
        <w:tc>
          <w:tcPr>
            <w:tcW w:type="dxa" w:w="771"/>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UAT-24</w:t>
            </w:r>
          </w:p>
        </w:tc>
        <w:tc>
          <w:tcPr>
            <w:tcW w:type="dxa" w:w="2313"/>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رؤية الصورة عند الصعود</w:t>
            </w:r>
          </w:p>
        </w:tc>
        <w:tc>
          <w:tcPr>
            <w:tcW w:type="dxa" w:w="1253"/>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السائق، مكتب الناقل، الوكيل</w:t>
            </w:r>
          </w:p>
        </w:tc>
        <w:tc>
          <w:tcPr>
            <w:tcW w:type="dxa" w:w="3181"/>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تُعرض فقط للدور الذي يسمح به الإعداد، والرحلة في حالة BOARDING</w:t>
            </w:r>
          </w:p>
        </w:tc>
        <w:tc>
          <w:tcPr>
            <w:tcW w:type="dxa" w:w="2120"/>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test_boarding_photo؛ test_photo_settings</w:t>
            </w:r>
          </w:p>
        </w:tc>
      </w:tr>
      <w:tr>
        <w:trPr>
          <w:cantSplit/>
        </w:trPr>
        <w:tc>
          <w:tcPr>
            <w:tcW w:type="dxa" w:w="771"/>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UAT-25</w:t>
            </w:r>
          </w:p>
        </w:tc>
        <w:tc>
          <w:tcPr>
            <w:tcW w:type="dxa" w:w="2313"/>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قواعد الصورة وسحبها</w:t>
            </w:r>
          </w:p>
        </w:tc>
        <w:tc>
          <w:tcPr>
            <w:tcW w:type="dxa" w:w="1253"/>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موظفو الخصوصية</w:t>
            </w:r>
          </w:p>
        </w:tc>
        <w:tc>
          <w:tcPr>
            <w:tcW w:type="dxa" w:w="3181"/>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القاعدة تمر بمراحلها؛ لا يعتمد سحبها من اقترحها أو اعتمدها</w:t>
            </w:r>
          </w:p>
        </w:tc>
        <w:tc>
          <w:tcPr>
            <w:tcW w:type="dxa" w:w="212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test_photo_policy</w:t>
            </w:r>
          </w:p>
        </w:tc>
      </w:tr>
    </w:tbl>
    <w:p>
      <w:pPr>
        <w:pStyle w:val="Heading2"/>
        <w:keepNext/>
        <w:bidi/>
        <w:spacing w:after="100" w:before="240"/>
        <w:jc w:val="right"/>
      </w:pPr>
      <w:r>
        <w:rPr>
          <w:rFonts w:ascii="Arial" w:cs="Arial" w:eastAsia="Arial" w:hAnsi="Arial"/>
          <w:b/>
          <w:bCs/>
          <w:color w:val="0A5BD3"/>
          <w:sz w:val="24"/>
          <w:szCs w:val="24"/>
          <w:rtl/>
        </w:rPr>
        <w:t xml:space="preserve">5.6 محطات الصعود وشركات التشغيل</w:t>
      </w:r>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71"/>
        <w:gridCol w:w="2313"/>
        <w:gridCol w:w="1253"/>
        <w:gridCol w:w="3181"/>
        <w:gridCol w:w="2120"/>
      </w:tblGrid>
      <w:tr>
        <w:trPr>
          <w:tblHeader/>
        </w:trPr>
        <w:tc>
          <w:tcPr>
            <w:tcW w:type="dxa" w:w="771"/>
            <w:tcBorders>
              <w:top w:val="single" w:color="D5DBE3" w:sz="4"/>
              <w:left w:val="none" w:color="FFFFFF" w:sz="0"/>
              <w:bottom w:val="single" w:color="D5DBE3" w:sz="4"/>
              <w:right w:val="none" w:color="FFFFFF" w:sz="0"/>
            </w:tcBorders>
            <w:shd w:fill="0B1F3F" w:color="auto" w:val="clear"/>
            <w:tcMar>
              <w:top w:type="dxa" w:w="60"/>
              <w:left w:type="dxa" w:w="90"/>
              <w:bottom w:type="dxa" w:w="60"/>
              <w:right w:type="dxa" w:w="90"/>
            </w:tcMar>
          </w:tcPr>
          <w:p>
            <w:pPr>
              <w:bidi/>
              <w:spacing w:after="0" w:line="255"/>
              <w:jc w:val="right"/>
            </w:pPr>
            <w:r>
              <w:rPr>
                <w:rFonts w:ascii="Arial" w:cs="Arial" w:eastAsia="Arial" w:hAnsi="Arial"/>
                <w:b/>
                <w:bCs/>
                <w:color w:val="FFFFFF"/>
                <w:sz w:val="18"/>
                <w:szCs w:val="18"/>
                <w:rtl/>
              </w:rPr>
              <w:t xml:space="preserve">الرقم</w:t>
            </w:r>
          </w:p>
        </w:tc>
        <w:tc>
          <w:tcPr>
            <w:tcW w:type="dxa" w:w="2313"/>
            <w:tcBorders>
              <w:top w:val="single" w:color="D5DBE3" w:sz="4"/>
              <w:left w:val="none" w:color="FFFFFF" w:sz="0"/>
              <w:bottom w:val="single" w:color="D5DBE3" w:sz="4"/>
              <w:right w:val="none" w:color="FFFFFF" w:sz="0"/>
            </w:tcBorders>
            <w:shd w:fill="0B1F3F" w:color="auto" w:val="clear"/>
            <w:tcMar>
              <w:top w:type="dxa" w:w="60"/>
              <w:left w:type="dxa" w:w="90"/>
              <w:bottom w:type="dxa" w:w="60"/>
              <w:right w:type="dxa" w:w="90"/>
            </w:tcMar>
          </w:tcPr>
          <w:p>
            <w:pPr>
              <w:bidi/>
              <w:spacing w:after="0" w:line="255"/>
              <w:jc w:val="right"/>
            </w:pPr>
            <w:r>
              <w:rPr>
                <w:rFonts w:ascii="Arial" w:cs="Arial" w:eastAsia="Arial" w:hAnsi="Arial"/>
                <w:b/>
                <w:bCs/>
                <w:color w:val="FFFFFF"/>
                <w:sz w:val="18"/>
                <w:szCs w:val="18"/>
                <w:rtl/>
              </w:rPr>
              <w:t xml:space="preserve">السيناريو</w:t>
            </w:r>
          </w:p>
        </w:tc>
        <w:tc>
          <w:tcPr>
            <w:tcW w:type="dxa" w:w="1253"/>
            <w:tcBorders>
              <w:top w:val="single" w:color="D5DBE3" w:sz="4"/>
              <w:left w:val="none" w:color="FFFFFF" w:sz="0"/>
              <w:bottom w:val="single" w:color="D5DBE3" w:sz="4"/>
              <w:right w:val="none" w:color="FFFFFF" w:sz="0"/>
            </w:tcBorders>
            <w:shd w:fill="0B1F3F" w:color="auto" w:val="clear"/>
            <w:tcMar>
              <w:top w:type="dxa" w:w="60"/>
              <w:left w:type="dxa" w:w="90"/>
              <w:bottom w:type="dxa" w:w="60"/>
              <w:right w:type="dxa" w:w="90"/>
            </w:tcMar>
          </w:tcPr>
          <w:p>
            <w:pPr>
              <w:bidi/>
              <w:spacing w:after="0" w:line="255"/>
              <w:jc w:val="right"/>
            </w:pPr>
            <w:r>
              <w:rPr>
                <w:rFonts w:ascii="Arial" w:cs="Arial" w:eastAsia="Arial" w:hAnsi="Arial"/>
                <w:b/>
                <w:bCs/>
                <w:color w:val="FFFFFF"/>
                <w:sz w:val="18"/>
                <w:szCs w:val="18"/>
                <w:rtl/>
              </w:rPr>
              <w:t xml:space="preserve">الفاعل</w:t>
            </w:r>
          </w:p>
        </w:tc>
        <w:tc>
          <w:tcPr>
            <w:tcW w:type="dxa" w:w="3181"/>
            <w:tcBorders>
              <w:top w:val="single" w:color="D5DBE3" w:sz="4"/>
              <w:left w:val="none" w:color="FFFFFF" w:sz="0"/>
              <w:bottom w:val="single" w:color="D5DBE3" w:sz="4"/>
              <w:right w:val="none" w:color="FFFFFF" w:sz="0"/>
            </w:tcBorders>
            <w:shd w:fill="0B1F3F" w:color="auto" w:val="clear"/>
            <w:tcMar>
              <w:top w:type="dxa" w:w="60"/>
              <w:left w:type="dxa" w:w="90"/>
              <w:bottom w:type="dxa" w:w="60"/>
              <w:right w:type="dxa" w:w="90"/>
            </w:tcMar>
          </w:tcPr>
          <w:p>
            <w:pPr>
              <w:bidi/>
              <w:spacing w:after="0" w:line="255"/>
              <w:jc w:val="right"/>
            </w:pPr>
            <w:r>
              <w:rPr>
                <w:rFonts w:ascii="Arial" w:cs="Arial" w:eastAsia="Arial" w:hAnsi="Arial"/>
                <w:b/>
                <w:bCs/>
                <w:color w:val="FFFFFF"/>
                <w:sz w:val="18"/>
                <w:szCs w:val="18"/>
                <w:rtl/>
              </w:rPr>
              <w:t xml:space="preserve">معيار القبول</w:t>
            </w:r>
          </w:p>
        </w:tc>
        <w:tc>
          <w:tcPr>
            <w:tcW w:type="dxa" w:w="2120"/>
            <w:tcBorders>
              <w:top w:val="single" w:color="D5DBE3" w:sz="4"/>
              <w:left w:val="none" w:color="FFFFFF" w:sz="0"/>
              <w:bottom w:val="single" w:color="D5DBE3" w:sz="4"/>
              <w:right w:val="none" w:color="FFFFFF" w:sz="0"/>
            </w:tcBorders>
            <w:shd w:fill="0B1F3F" w:color="auto" w:val="clear"/>
            <w:tcMar>
              <w:top w:type="dxa" w:w="60"/>
              <w:left w:type="dxa" w:w="90"/>
              <w:bottom w:type="dxa" w:w="60"/>
              <w:right w:type="dxa" w:w="90"/>
            </w:tcMar>
          </w:tcPr>
          <w:p>
            <w:pPr>
              <w:bidi/>
              <w:spacing w:after="0" w:line="255"/>
              <w:jc w:val="right"/>
            </w:pPr>
            <w:r>
              <w:rPr>
                <w:rFonts w:ascii="Arial" w:cs="Arial" w:eastAsia="Arial" w:hAnsi="Arial"/>
                <w:b/>
                <w:bCs/>
                <w:color w:val="FFFFFF"/>
                <w:sz w:val="18"/>
                <w:szCs w:val="18"/>
                <w:rtl/>
              </w:rPr>
              <w:t xml:space="preserve">الاختبار الآلي القائم</w:t>
            </w:r>
          </w:p>
        </w:tc>
      </w:tr>
      <w:tr>
        <w:trPr>
          <w:cantSplit/>
        </w:trPr>
        <w:tc>
          <w:tcPr>
            <w:tcW w:type="dxa" w:w="771"/>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UAT-26</w:t>
            </w:r>
          </w:p>
        </w:tc>
        <w:tc>
          <w:tcPr>
            <w:tcW w:type="dxa" w:w="2313"/>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المحطات مغلقة عند الإطلاق</w:t>
            </w:r>
          </w:p>
        </w:tc>
        <w:tc>
          <w:tcPr>
            <w:tcW w:type="dxa" w:w="1253"/>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مدير المنصة</w:t>
            </w:r>
          </w:p>
        </w:tc>
        <w:tc>
          <w:tcPr>
            <w:tcW w:type="dxa" w:w="3181"/>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لا تعمل محطة إلا بمفتاح المنصة ومفتاحها معاً</w:t>
            </w:r>
          </w:p>
        </w:tc>
        <w:tc>
          <w:tcPr>
            <w:tcW w:type="dxa" w:w="212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test_boarding_stations: the_boarding_stations_are_off_at_launch، a_station_boards_only_when…</w:t>
            </w:r>
          </w:p>
        </w:tc>
      </w:tr>
      <w:tr>
        <w:trPr>
          <w:cantSplit/>
        </w:trPr>
        <w:tc>
          <w:tcPr>
            <w:tcW w:type="dxa" w:w="771"/>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UAT-27</w:t>
            </w:r>
          </w:p>
        </w:tc>
        <w:tc>
          <w:tcPr>
            <w:tcW w:type="dxa" w:w="2313"/>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ترقيم الكاونترات والبوابات</w:t>
            </w:r>
          </w:p>
        </w:tc>
        <w:tc>
          <w:tcPr>
            <w:tcW w:type="dxa" w:w="1253"/>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مدير المنصة</w:t>
            </w:r>
          </w:p>
        </w:tc>
        <w:tc>
          <w:tcPr>
            <w:tcW w:type="dxa" w:w="3181"/>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لكل محطة ترقيمها (C001، B001)، ولا يتكرر رقم</w:t>
            </w:r>
          </w:p>
        </w:tc>
        <w:tc>
          <w:tcPr>
            <w:tcW w:type="dxa" w:w="2120"/>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test_boarding_stations: the_platform_numbers_the_counters_and_bays_of_each_station</w:t>
            </w:r>
          </w:p>
        </w:tc>
      </w:tr>
      <w:tr>
        <w:trPr>
          <w:cantSplit/>
        </w:trPr>
        <w:tc>
          <w:tcPr>
            <w:tcW w:type="dxa" w:w="771"/>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UAT-28</w:t>
            </w:r>
          </w:p>
        </w:tc>
        <w:tc>
          <w:tcPr>
            <w:tcW w:type="dxa" w:w="2313"/>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منح شركة التشغيل وإلغاؤه</w:t>
            </w:r>
          </w:p>
        </w:tc>
        <w:tc>
          <w:tcPr>
            <w:tcW w:type="dxa" w:w="1253"/>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الناقل، مدير المنصة</w:t>
            </w:r>
          </w:p>
        </w:tc>
        <w:tc>
          <w:tcPr>
            <w:tcW w:type="dxa" w:w="3181"/>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المنح نافذ فقط والوضع الذي أعطاه مفعّل؛ الإلغاء يزيله ويبقي السجل</w:t>
            </w:r>
          </w:p>
        </w:tc>
        <w:tc>
          <w:tcPr>
            <w:tcW w:type="dxa" w:w="212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test_boarding_stations: a_carrier_gives_its_operating_company_a_right…، the_platform_grants_a_state_mandated_operator…</w:t>
            </w:r>
          </w:p>
        </w:tc>
      </w:tr>
      <w:tr>
        <w:trPr>
          <w:cantSplit/>
        </w:trPr>
        <w:tc>
          <w:tcPr>
            <w:tcW w:type="dxa" w:w="771"/>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UAT-29</w:t>
            </w:r>
          </w:p>
        </w:tc>
        <w:tc>
          <w:tcPr>
            <w:tcW w:type="dxa" w:w="2313"/>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بوابة المحطة</w:t>
            </w:r>
          </w:p>
        </w:tc>
        <w:tc>
          <w:tcPr>
            <w:tcW w:type="dxa" w:w="1253"/>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موظف شركة التشغيل</w:t>
            </w:r>
          </w:p>
        </w:tc>
        <w:tc>
          <w:tcPr>
            <w:tcW w:type="dxa" w:w="3181"/>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يدخل بوابة STATION وحدها بعامل ثانٍ، ويرى صلاحياته وكاونتراته؛ الناقل لا يفتحها</w:t>
            </w:r>
          </w:p>
        </w:tc>
        <w:tc>
          <w:tcPr>
            <w:tcW w:type="dxa" w:w="2120"/>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test_boarding_stations: an_operating_company_signs_in_to_the_station_portal_and_nowhere_else</w:t>
            </w:r>
          </w:p>
        </w:tc>
      </w:tr>
      <w:tr>
        <w:trPr>
          <w:cantSplit/>
        </w:trPr>
        <w:tc>
          <w:tcPr>
            <w:tcW w:type="dxa" w:w="771"/>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UAT-30</w:t>
            </w:r>
          </w:p>
        </w:tc>
        <w:tc>
          <w:tcPr>
            <w:tcW w:type="dxa" w:w="2313"/>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الأرقام المرجعية</w:t>
            </w:r>
          </w:p>
        </w:tc>
        <w:tc>
          <w:tcPr>
            <w:tcW w:type="dxa" w:w="1253"/>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الناقل</w:t>
            </w:r>
          </w:p>
        </w:tc>
        <w:tc>
          <w:tcPr>
            <w:tcW w:type="dxa" w:w="3181"/>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يسجّل ويسحب ويرى الناقص منها؛ لا يعدّل رقماً</w:t>
            </w:r>
          </w:p>
        </w:tc>
        <w:tc>
          <w:tcPr>
            <w:tcW w:type="dxa" w:w="212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test_boarding_stations: a_carrier_records_retires_and_is_told_which_references_are_missing</w:t>
            </w:r>
          </w:p>
        </w:tc>
      </w:tr>
    </w:tbl>
    <w:p>
      <w:pPr>
        <w:pStyle w:val="Heading2"/>
        <w:keepNext/>
        <w:bidi/>
        <w:spacing w:after="100" w:before="240"/>
        <w:jc w:val="right"/>
      </w:pPr>
      <w:r>
        <w:rPr>
          <w:rFonts w:ascii="Arial" w:cs="Arial" w:eastAsia="Arial" w:hAnsi="Arial"/>
          <w:b/>
          <w:bCs/>
          <w:color w:val="0A5BD3"/>
          <w:sz w:val="24"/>
          <w:szCs w:val="24"/>
          <w:rtl/>
        </w:rPr>
        <w:t xml:space="preserve">5.7 الشحن والعائلات والتقارير والتكامل</w:t>
      </w:r>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71"/>
        <w:gridCol w:w="2313"/>
        <w:gridCol w:w="1253"/>
        <w:gridCol w:w="3181"/>
        <w:gridCol w:w="2120"/>
      </w:tblGrid>
      <w:tr>
        <w:trPr>
          <w:tblHeader/>
        </w:trPr>
        <w:tc>
          <w:tcPr>
            <w:tcW w:type="dxa" w:w="771"/>
            <w:tcBorders>
              <w:top w:val="single" w:color="D5DBE3" w:sz="4"/>
              <w:left w:val="none" w:color="FFFFFF" w:sz="0"/>
              <w:bottom w:val="single" w:color="D5DBE3" w:sz="4"/>
              <w:right w:val="none" w:color="FFFFFF" w:sz="0"/>
            </w:tcBorders>
            <w:shd w:fill="0B1F3F" w:color="auto" w:val="clear"/>
            <w:tcMar>
              <w:top w:type="dxa" w:w="60"/>
              <w:left w:type="dxa" w:w="90"/>
              <w:bottom w:type="dxa" w:w="60"/>
              <w:right w:type="dxa" w:w="90"/>
            </w:tcMar>
          </w:tcPr>
          <w:p>
            <w:pPr>
              <w:bidi/>
              <w:spacing w:after="0" w:line="255"/>
              <w:jc w:val="right"/>
            </w:pPr>
            <w:r>
              <w:rPr>
                <w:rFonts w:ascii="Arial" w:cs="Arial" w:eastAsia="Arial" w:hAnsi="Arial"/>
                <w:b/>
                <w:bCs/>
                <w:color w:val="FFFFFF"/>
                <w:sz w:val="18"/>
                <w:szCs w:val="18"/>
                <w:rtl/>
              </w:rPr>
              <w:t xml:space="preserve">الرقم</w:t>
            </w:r>
          </w:p>
        </w:tc>
        <w:tc>
          <w:tcPr>
            <w:tcW w:type="dxa" w:w="2313"/>
            <w:tcBorders>
              <w:top w:val="single" w:color="D5DBE3" w:sz="4"/>
              <w:left w:val="none" w:color="FFFFFF" w:sz="0"/>
              <w:bottom w:val="single" w:color="D5DBE3" w:sz="4"/>
              <w:right w:val="none" w:color="FFFFFF" w:sz="0"/>
            </w:tcBorders>
            <w:shd w:fill="0B1F3F" w:color="auto" w:val="clear"/>
            <w:tcMar>
              <w:top w:type="dxa" w:w="60"/>
              <w:left w:type="dxa" w:w="90"/>
              <w:bottom w:type="dxa" w:w="60"/>
              <w:right w:type="dxa" w:w="90"/>
            </w:tcMar>
          </w:tcPr>
          <w:p>
            <w:pPr>
              <w:bidi/>
              <w:spacing w:after="0" w:line="255"/>
              <w:jc w:val="right"/>
            </w:pPr>
            <w:r>
              <w:rPr>
                <w:rFonts w:ascii="Arial" w:cs="Arial" w:eastAsia="Arial" w:hAnsi="Arial"/>
                <w:b/>
                <w:bCs/>
                <w:color w:val="FFFFFF"/>
                <w:sz w:val="18"/>
                <w:szCs w:val="18"/>
                <w:rtl/>
              </w:rPr>
              <w:t xml:space="preserve">السيناريو</w:t>
            </w:r>
          </w:p>
        </w:tc>
        <w:tc>
          <w:tcPr>
            <w:tcW w:type="dxa" w:w="1253"/>
            <w:tcBorders>
              <w:top w:val="single" w:color="D5DBE3" w:sz="4"/>
              <w:left w:val="none" w:color="FFFFFF" w:sz="0"/>
              <w:bottom w:val="single" w:color="D5DBE3" w:sz="4"/>
              <w:right w:val="none" w:color="FFFFFF" w:sz="0"/>
            </w:tcBorders>
            <w:shd w:fill="0B1F3F" w:color="auto" w:val="clear"/>
            <w:tcMar>
              <w:top w:type="dxa" w:w="60"/>
              <w:left w:type="dxa" w:w="90"/>
              <w:bottom w:type="dxa" w:w="60"/>
              <w:right w:type="dxa" w:w="90"/>
            </w:tcMar>
          </w:tcPr>
          <w:p>
            <w:pPr>
              <w:bidi/>
              <w:spacing w:after="0" w:line="255"/>
              <w:jc w:val="right"/>
            </w:pPr>
            <w:r>
              <w:rPr>
                <w:rFonts w:ascii="Arial" w:cs="Arial" w:eastAsia="Arial" w:hAnsi="Arial"/>
                <w:b/>
                <w:bCs/>
                <w:color w:val="FFFFFF"/>
                <w:sz w:val="18"/>
                <w:szCs w:val="18"/>
                <w:rtl/>
              </w:rPr>
              <w:t xml:space="preserve">الفاعل</w:t>
            </w:r>
          </w:p>
        </w:tc>
        <w:tc>
          <w:tcPr>
            <w:tcW w:type="dxa" w:w="3181"/>
            <w:tcBorders>
              <w:top w:val="single" w:color="D5DBE3" w:sz="4"/>
              <w:left w:val="none" w:color="FFFFFF" w:sz="0"/>
              <w:bottom w:val="single" w:color="D5DBE3" w:sz="4"/>
              <w:right w:val="none" w:color="FFFFFF" w:sz="0"/>
            </w:tcBorders>
            <w:shd w:fill="0B1F3F" w:color="auto" w:val="clear"/>
            <w:tcMar>
              <w:top w:type="dxa" w:w="60"/>
              <w:left w:type="dxa" w:w="90"/>
              <w:bottom w:type="dxa" w:w="60"/>
              <w:right w:type="dxa" w:w="90"/>
            </w:tcMar>
          </w:tcPr>
          <w:p>
            <w:pPr>
              <w:bidi/>
              <w:spacing w:after="0" w:line="255"/>
              <w:jc w:val="right"/>
            </w:pPr>
            <w:r>
              <w:rPr>
                <w:rFonts w:ascii="Arial" w:cs="Arial" w:eastAsia="Arial" w:hAnsi="Arial"/>
                <w:b/>
                <w:bCs/>
                <w:color w:val="FFFFFF"/>
                <w:sz w:val="18"/>
                <w:szCs w:val="18"/>
                <w:rtl/>
              </w:rPr>
              <w:t xml:space="preserve">معيار القبول</w:t>
            </w:r>
          </w:p>
        </w:tc>
        <w:tc>
          <w:tcPr>
            <w:tcW w:type="dxa" w:w="2120"/>
            <w:tcBorders>
              <w:top w:val="single" w:color="D5DBE3" w:sz="4"/>
              <w:left w:val="none" w:color="FFFFFF" w:sz="0"/>
              <w:bottom w:val="single" w:color="D5DBE3" w:sz="4"/>
              <w:right w:val="none" w:color="FFFFFF" w:sz="0"/>
            </w:tcBorders>
            <w:shd w:fill="0B1F3F" w:color="auto" w:val="clear"/>
            <w:tcMar>
              <w:top w:type="dxa" w:w="60"/>
              <w:left w:type="dxa" w:w="90"/>
              <w:bottom w:type="dxa" w:w="60"/>
              <w:right w:type="dxa" w:w="90"/>
            </w:tcMar>
          </w:tcPr>
          <w:p>
            <w:pPr>
              <w:bidi/>
              <w:spacing w:after="0" w:line="255"/>
              <w:jc w:val="right"/>
            </w:pPr>
            <w:r>
              <w:rPr>
                <w:rFonts w:ascii="Arial" w:cs="Arial" w:eastAsia="Arial" w:hAnsi="Arial"/>
                <w:b/>
                <w:bCs/>
                <w:color w:val="FFFFFF"/>
                <w:sz w:val="18"/>
                <w:szCs w:val="18"/>
                <w:rtl/>
              </w:rPr>
              <w:t xml:space="preserve">الاختبار الآلي القائم</w:t>
            </w:r>
          </w:p>
        </w:tc>
      </w:tr>
      <w:tr>
        <w:trPr>
          <w:cantSplit/>
        </w:trPr>
        <w:tc>
          <w:tcPr>
            <w:tcW w:type="dxa" w:w="771"/>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UAT-31</w:t>
            </w:r>
          </w:p>
        </w:tc>
        <w:tc>
          <w:tcPr>
            <w:tcW w:type="dxa" w:w="2313"/>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حجز شحنة</w:t>
            </w:r>
          </w:p>
        </w:tc>
        <w:tc>
          <w:tcPr>
            <w:tcW w:type="dxa" w:w="1253"/>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عميل شحن، موظف الناقل</w:t>
            </w:r>
          </w:p>
        </w:tc>
        <w:tc>
          <w:tcPr>
            <w:tcW w:type="dxa" w:w="3181"/>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تأخذ الشحنة مساحتها قبل المال ومرة واحدة؛ على آخر مساحة يفوز واحد</w:t>
            </w:r>
          </w:p>
        </w:tc>
        <w:tc>
          <w:tcPr>
            <w:tcW w:type="dxa" w:w="212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test_parcels؛ test_cargo_capacity</w:t>
            </w:r>
          </w:p>
        </w:tc>
      </w:tr>
      <w:tr>
        <w:trPr>
          <w:cantSplit/>
        </w:trPr>
        <w:tc>
          <w:tcPr>
            <w:tcW w:type="dxa" w:w="771"/>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UAT-32</w:t>
            </w:r>
          </w:p>
        </w:tc>
        <w:tc>
          <w:tcPr>
            <w:tcW w:type="dxa" w:w="2313"/>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حجز عائلة</w:t>
            </w:r>
          </w:p>
        </w:tc>
        <w:tc>
          <w:tcPr>
            <w:tcW w:type="dxa" w:w="1253"/>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رب العائلة</w:t>
            </w:r>
          </w:p>
        </w:tc>
        <w:tc>
          <w:tcPr>
            <w:tcW w:type="dxa" w:w="3181"/>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تسعير كل مسافر حسب فئته، والطفل على الحضن، وقواعد رب العائلة</w:t>
            </w:r>
          </w:p>
        </w:tc>
        <w:tc>
          <w:tcPr>
            <w:tcW w:type="dxa" w:w="2120"/>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test_families</w:t>
            </w:r>
          </w:p>
        </w:tc>
      </w:tr>
      <w:tr>
        <w:trPr>
          <w:cantSplit/>
        </w:trPr>
        <w:tc>
          <w:tcPr>
            <w:tcW w:type="dxa" w:w="771"/>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UAT-33</w:t>
            </w:r>
          </w:p>
        </w:tc>
        <w:tc>
          <w:tcPr>
            <w:tcW w:type="dxa" w:w="2313"/>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بيان رحلة دولية</w:t>
            </w:r>
          </w:p>
        </w:tc>
        <w:tc>
          <w:tcPr>
            <w:tcW w:type="dxa" w:w="1253"/>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الناقل، الحدود</w:t>
            </w:r>
          </w:p>
        </w:tc>
        <w:tc>
          <w:tcPr>
            <w:tcW w:type="dxa" w:w="3181"/>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البيان الدولي يحمل الشحن، موقّع، ويُجاب عنه عبر عقد الحدود</w:t>
            </w:r>
          </w:p>
        </w:tc>
        <w:tc>
          <w:tcPr>
            <w:tcW w:type="dxa" w:w="212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test_manifest_integrity</w:t>
            </w:r>
          </w:p>
        </w:tc>
      </w:tr>
      <w:tr>
        <w:trPr>
          <w:cantSplit/>
        </w:trPr>
        <w:tc>
          <w:tcPr>
            <w:tcW w:type="dxa" w:w="771"/>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UAT-34</w:t>
            </w:r>
          </w:p>
        </w:tc>
        <w:tc>
          <w:tcPr>
            <w:tcW w:type="dxa" w:w="2313"/>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التقارير</w:t>
            </w:r>
          </w:p>
        </w:tc>
        <w:tc>
          <w:tcPr>
            <w:tcW w:type="dxa" w:w="1253"/>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الناقل، الجهة الرقابية</w:t>
            </w:r>
          </w:p>
        </w:tc>
        <w:tc>
          <w:tcPr>
            <w:tcW w:type="dxa" w:w="3181"/>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كل شركة ترى صفوفها؛ الجهة الرقابية ترى أرقاماً مجمّعة دون بيانات شخصية؛ التصدير مسجّل</w:t>
            </w:r>
          </w:p>
        </w:tc>
        <w:tc>
          <w:tcPr>
            <w:tcW w:type="dxa" w:w="2120"/>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test_reports</w:t>
            </w:r>
          </w:p>
        </w:tc>
      </w:tr>
      <w:tr>
        <w:trPr>
          <w:cantSplit/>
        </w:trPr>
        <w:tc>
          <w:tcPr>
            <w:tcW w:type="dxa" w:w="771"/>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UAT-35</w:t>
            </w:r>
          </w:p>
        </w:tc>
        <w:tc>
          <w:tcPr>
            <w:tcW w:type="dxa" w:w="2313"/>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واجهة التكامل للشركاء</w:t>
            </w:r>
          </w:p>
        </w:tc>
        <w:tc>
          <w:tcPr>
            <w:tcW w:type="dxa" w:w="1253"/>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شريك</w:t>
            </w:r>
          </w:p>
        </w:tc>
        <w:tc>
          <w:tcPr>
            <w:tcW w:type="dxa" w:w="3181"/>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المفتاح مخزّن مُجزّأً ومحدود بشركته ومعدّله؛ الإشعارات موقّعة</w:t>
            </w:r>
          </w:p>
        </w:tc>
        <w:tc>
          <w:tcPr>
            <w:tcW w:type="dxa" w:w="212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test_integration</w:t>
            </w:r>
          </w:p>
        </w:tc>
      </w:tr>
      <w:tr>
        <w:trPr>
          <w:cantSplit/>
        </w:trPr>
        <w:tc>
          <w:tcPr>
            <w:tcW w:type="dxa" w:w="771"/>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UAT-36</w:t>
            </w:r>
          </w:p>
        </w:tc>
        <w:tc>
          <w:tcPr>
            <w:tcW w:type="dxa" w:w="2313"/>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التحقق العام من التذكرة</w:t>
            </w:r>
          </w:p>
        </w:tc>
        <w:tc>
          <w:tcPr>
            <w:tcW w:type="dxa" w:w="1253"/>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أي شخص</w:t>
            </w:r>
          </w:p>
        </w:tc>
        <w:tc>
          <w:tcPr>
            <w:tcW w:type="dxa" w:w="3181"/>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التذكرة المزوّرة تُكشف</w:t>
            </w:r>
          </w:p>
        </w:tc>
        <w:tc>
          <w:tcPr>
            <w:tcW w:type="dxa" w:w="2120"/>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test_e2e: public_verification_detects_forgery</w:t>
            </w:r>
          </w:p>
        </w:tc>
      </w:tr>
      <w:tr>
        <w:trPr>
          <w:cantSplit/>
        </w:trPr>
        <w:tc>
          <w:tcPr>
            <w:tcW w:type="dxa" w:w="771"/>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UAT-37</w:t>
            </w:r>
          </w:p>
        </w:tc>
        <w:tc>
          <w:tcPr>
            <w:tcW w:type="dxa" w:w="2313"/>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الجهة الرقابية للقراءة فقط</w:t>
            </w:r>
          </w:p>
        </w:tc>
        <w:tc>
          <w:tcPr>
            <w:tcW w:type="dxa" w:w="1253"/>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المفتش</w:t>
            </w:r>
          </w:p>
        </w:tc>
        <w:tc>
          <w:tcPr>
            <w:tcW w:type="dxa" w:w="3181"/>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لا يعدّل شيئاً</w:t>
            </w:r>
          </w:p>
        </w:tc>
        <w:tc>
          <w:tcPr>
            <w:tcW w:type="dxa" w:w="212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test_e2e: regulator_is_read_only</w:t>
            </w:r>
          </w:p>
        </w:tc>
      </w:tr>
    </w:tbl>
    <w:p>
      <w:pPr>
        <w:pStyle w:val="Heading1"/>
        <w:keepNext/>
        <w:pBdr>
          <w:bottom w:val="single" w:color="0A5BD3" w:sz="10" w:space="4"/>
        </w:pBdr>
        <w:bidi/>
        <w:spacing w:after="160" w:before="360"/>
        <w:jc w:val="right"/>
      </w:pPr>
      <w:r>
        <w:rPr>
          <w:rFonts w:ascii="Arial" w:cs="Arial" w:eastAsia="Arial" w:hAnsi="Arial"/>
          <w:b/>
          <w:bCs/>
          <w:color w:val="0B1F3F"/>
          <w:sz w:val="30"/>
          <w:szCs w:val="30"/>
          <w:rtl/>
        </w:rPr>
        <w:t xml:space="preserve">6. القبول غير الوظيفي</w:t>
      </w:r>
    </w:p>
    <w:p>
      <w:pPr>
        <w:bidi/>
        <w:spacing w:after="120" w:line="300"/>
        <w:jc w:val="right"/>
      </w:pPr>
      <w:r>
        <w:rPr>
          <w:rFonts w:ascii="Arial" w:cs="Arial" w:eastAsia="Arial" w:hAnsi="Arial"/>
          <w:color w:val="0F1B2D"/>
          <w:sz w:val="21"/>
          <w:szCs w:val="21"/>
          <w:rtl/>
        </w:rPr>
        <w:t xml:space="preserve">هذه المعايير هي بوابات الإطلاق نفسها، وتُقاس في بيئة ما قبل الإنتاج بالأدوات المذكورة، ويُحفظ دليل كل منها مؤرخاً وموقّعاً.</w:t>
      </w:r>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49"/>
        <w:gridCol w:w="4048"/>
        <w:gridCol w:w="3084"/>
        <w:gridCol w:w="1157"/>
      </w:tblGrid>
      <w:tr>
        <w:trPr>
          <w:tblHeader/>
        </w:trPr>
        <w:tc>
          <w:tcPr>
            <w:tcW w:type="dxa" w:w="1349"/>
            <w:tcBorders>
              <w:top w:val="single" w:color="D5DBE3" w:sz="4"/>
              <w:left w:val="none" w:color="FFFFFF" w:sz="0"/>
              <w:bottom w:val="single" w:color="D5DBE3" w:sz="4"/>
              <w:right w:val="none" w:color="FFFFFF" w:sz="0"/>
            </w:tcBorders>
            <w:shd w:fill="0B1F3F" w:color="auto" w:val="clear"/>
            <w:tcMar>
              <w:top w:type="dxa" w:w="60"/>
              <w:left w:type="dxa" w:w="90"/>
              <w:bottom w:type="dxa" w:w="60"/>
              <w:right w:type="dxa" w:w="90"/>
            </w:tcMar>
          </w:tcPr>
          <w:p>
            <w:pPr>
              <w:bidi/>
              <w:spacing w:after="0" w:line="255"/>
              <w:jc w:val="right"/>
            </w:pPr>
            <w:r>
              <w:rPr>
                <w:rFonts w:ascii="Arial" w:cs="Arial" w:eastAsia="Arial" w:hAnsi="Arial"/>
                <w:b/>
                <w:bCs/>
                <w:color w:val="FFFFFF"/>
                <w:sz w:val="18"/>
                <w:szCs w:val="18"/>
                <w:rtl/>
              </w:rPr>
              <w:t xml:space="preserve">البند</w:t>
            </w:r>
          </w:p>
        </w:tc>
        <w:tc>
          <w:tcPr>
            <w:tcW w:type="dxa" w:w="4048"/>
            <w:tcBorders>
              <w:top w:val="single" w:color="D5DBE3" w:sz="4"/>
              <w:left w:val="none" w:color="FFFFFF" w:sz="0"/>
              <w:bottom w:val="single" w:color="D5DBE3" w:sz="4"/>
              <w:right w:val="none" w:color="FFFFFF" w:sz="0"/>
            </w:tcBorders>
            <w:shd w:fill="0B1F3F" w:color="auto" w:val="clear"/>
            <w:tcMar>
              <w:top w:type="dxa" w:w="60"/>
              <w:left w:type="dxa" w:w="90"/>
              <w:bottom w:type="dxa" w:w="60"/>
              <w:right w:type="dxa" w:w="90"/>
            </w:tcMar>
          </w:tcPr>
          <w:p>
            <w:pPr>
              <w:bidi/>
              <w:spacing w:after="0" w:line="255"/>
              <w:jc w:val="right"/>
            </w:pPr>
            <w:r>
              <w:rPr>
                <w:rFonts w:ascii="Arial" w:cs="Arial" w:eastAsia="Arial" w:hAnsi="Arial"/>
                <w:b/>
                <w:bCs/>
                <w:color w:val="FFFFFF"/>
                <w:sz w:val="18"/>
                <w:szCs w:val="18"/>
                <w:rtl/>
              </w:rPr>
              <w:t xml:space="preserve">معيار القبول</w:t>
            </w:r>
          </w:p>
        </w:tc>
        <w:tc>
          <w:tcPr>
            <w:tcW w:type="dxa" w:w="3084"/>
            <w:tcBorders>
              <w:top w:val="single" w:color="D5DBE3" w:sz="4"/>
              <w:left w:val="none" w:color="FFFFFF" w:sz="0"/>
              <w:bottom w:val="single" w:color="D5DBE3" w:sz="4"/>
              <w:right w:val="none" w:color="FFFFFF" w:sz="0"/>
            </w:tcBorders>
            <w:shd w:fill="0B1F3F" w:color="auto" w:val="clear"/>
            <w:tcMar>
              <w:top w:type="dxa" w:w="60"/>
              <w:left w:type="dxa" w:w="90"/>
              <w:bottom w:type="dxa" w:w="60"/>
              <w:right w:type="dxa" w:w="90"/>
            </w:tcMar>
          </w:tcPr>
          <w:p>
            <w:pPr>
              <w:bidi/>
              <w:spacing w:after="0" w:line="255"/>
              <w:jc w:val="right"/>
            </w:pPr>
            <w:r>
              <w:rPr>
                <w:rFonts w:ascii="Arial" w:cs="Arial" w:eastAsia="Arial" w:hAnsi="Arial"/>
                <w:b/>
                <w:bCs/>
                <w:color w:val="FFFFFF"/>
                <w:sz w:val="18"/>
                <w:szCs w:val="18"/>
                <w:rtl/>
              </w:rPr>
              <w:t xml:space="preserve">طريقة القياس</w:t>
            </w:r>
          </w:p>
        </w:tc>
        <w:tc>
          <w:tcPr>
            <w:tcW w:type="dxa" w:w="1157"/>
            <w:tcBorders>
              <w:top w:val="single" w:color="D5DBE3" w:sz="4"/>
              <w:left w:val="none" w:color="FFFFFF" w:sz="0"/>
              <w:bottom w:val="single" w:color="D5DBE3" w:sz="4"/>
              <w:right w:val="none" w:color="FFFFFF" w:sz="0"/>
            </w:tcBorders>
            <w:shd w:fill="0B1F3F" w:color="auto" w:val="clear"/>
            <w:tcMar>
              <w:top w:type="dxa" w:w="60"/>
              <w:left w:type="dxa" w:w="90"/>
              <w:bottom w:type="dxa" w:w="60"/>
              <w:right w:type="dxa" w:w="90"/>
            </w:tcMar>
          </w:tcPr>
          <w:p>
            <w:pPr>
              <w:bidi/>
              <w:spacing w:after="0" w:line="255"/>
              <w:jc w:val="right"/>
            </w:pPr>
            <w:r>
              <w:rPr>
                <w:rFonts w:ascii="Arial" w:cs="Arial" w:eastAsia="Arial" w:hAnsi="Arial"/>
                <w:b/>
                <w:bCs/>
                <w:color w:val="FFFFFF"/>
                <w:sz w:val="18"/>
                <w:szCs w:val="18"/>
                <w:rtl/>
              </w:rPr>
              <w:t xml:space="preserve">البوابة</w:t>
            </w:r>
          </w:p>
        </w:tc>
      </w:tr>
      <w:tr>
        <w:trPr>
          <w:cantSplit/>
        </w:trPr>
        <w:tc>
          <w:tcPr>
            <w:tcW w:type="dxa" w:w="1349"/>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الاستعادة</w:t>
            </w:r>
          </w:p>
        </w:tc>
        <w:tc>
          <w:tcPr>
            <w:tcW w:type="dxa" w:w="4048"/>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RPO 60 ثانية وRTO 30 دقيقة؛ المحافظ تطابق الدفتر، والسجل سليم</w:t>
            </w:r>
          </w:p>
        </w:tc>
        <w:tc>
          <w:tcPr>
            <w:tcW w:type="dxa" w:w="3084"/>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pgBackRest ثم restore_drill.py</w:t>
            </w:r>
          </w:p>
        </w:tc>
        <w:tc>
          <w:tcPr>
            <w:tcW w:type="dxa" w:w="1157"/>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1</w:t>
            </w:r>
          </w:p>
        </w:tc>
      </w:tr>
      <w:tr>
        <w:trPr>
          <w:cantSplit/>
        </w:trPr>
        <w:tc>
          <w:tcPr>
            <w:tcW w:type="dxa" w:w="1349"/>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الخروج إلى الإنترنت</w:t>
            </w:r>
          </w:p>
        </w:tc>
        <w:tc>
          <w:tcPr>
            <w:tcW w:type="dxa" w:w="4048"/>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لا اتصال مباشر من الحاويات؛ الوجهات غير المسموحة مرفوضة</w:t>
            </w:r>
          </w:p>
        </w:tc>
        <w:tc>
          <w:tcPr>
            <w:tcW w:type="dxa" w:w="3084"/>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deploy/egress/selftest.sh</w:t>
            </w:r>
          </w:p>
        </w:tc>
        <w:tc>
          <w:tcPr>
            <w:tcW w:type="dxa" w:w="1157"/>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2</w:t>
            </w:r>
          </w:p>
        </w:tc>
      </w:tr>
      <w:tr>
        <w:trPr>
          <w:cantSplit/>
        </w:trPr>
        <w:tc>
          <w:tcPr>
            <w:tcW w:type="dxa" w:w="1349"/>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الأداء</w:t>
            </w:r>
          </w:p>
        </w:tc>
        <w:tc>
          <w:tcPr>
            <w:tcW w:type="dxa" w:w="4048"/>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عند 1x و2x: نجاح 99.9% للحجز والدفع، وزمن الحجز p95 ≤ 0.8 ث وp99 ≤ 1.5 ث، والبحث p95 ≤ 0.3 ث، ولا فرق مالي؛ عند 5x يُسجَّل الحد</w:t>
            </w:r>
          </w:p>
        </w:tc>
        <w:tc>
          <w:tcPr>
            <w:tcW w:type="dxa" w:w="3084"/>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loadtest.burst (240، 480، 1200 في الثانية) وloadtest.soak 8 ساعات</w:t>
            </w:r>
          </w:p>
        </w:tc>
        <w:tc>
          <w:tcPr>
            <w:tcW w:type="dxa" w:w="1157"/>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3</w:t>
            </w:r>
          </w:p>
        </w:tc>
      </w:tr>
      <w:tr>
        <w:trPr>
          <w:cantSplit/>
        </w:trPr>
        <w:tc>
          <w:tcPr>
            <w:tcW w:type="dxa" w:w="1349"/>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الترحيل</w:t>
            </w:r>
          </w:p>
        </w:tc>
        <w:tc>
          <w:tcPr>
            <w:tcW w:type="dxa" w:w="4048"/>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الأقفال والوقت ضمن حدود MIGRATION_PLANS.md، وخطة إصلاح مكتوبة</w:t>
            </w:r>
          </w:p>
        </w:tc>
        <w:tc>
          <w:tcPr>
            <w:tcW w:type="dxa" w:w="3084"/>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migration_rehearsal.py</w:t>
            </w:r>
          </w:p>
        </w:tc>
        <w:tc>
          <w:tcPr>
            <w:tcW w:type="dxa" w:w="1157"/>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4</w:t>
            </w:r>
          </w:p>
        </w:tc>
      </w:tr>
      <w:tr>
        <w:trPr>
          <w:cantSplit/>
        </w:trPr>
        <w:tc>
          <w:tcPr>
            <w:tcW w:type="dxa" w:w="1349"/>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المراقبة</w:t>
            </w:r>
          </w:p>
        </w:tc>
        <w:tc>
          <w:tcPr>
            <w:tcW w:type="dxa" w:w="4048"/>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التنبيه يصل المناوب ويُستلم خلال 15 دقيقة</w:t>
            </w:r>
          </w:p>
        </w:tc>
        <w:tc>
          <w:tcPr>
            <w:tcW w:type="dxa" w:w="3084"/>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تمرين التنبيه</w:t>
            </w:r>
          </w:p>
        </w:tc>
        <w:tc>
          <w:tcPr>
            <w:tcW w:type="dxa" w:w="1157"/>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5</w:t>
            </w:r>
          </w:p>
        </w:tc>
      </w:tr>
      <w:tr>
        <w:trPr>
          <w:cantSplit/>
        </w:trPr>
        <w:tc>
          <w:tcPr>
            <w:tcW w:type="dxa" w:w="1349"/>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أرشيف السجل</w:t>
            </w:r>
          </w:p>
        </w:tc>
        <w:tc>
          <w:tcPr>
            <w:tcW w:type="dxa" w:w="4048"/>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التصدير يُوقَّع ويُتحقق منه، ويُسترجع تصدير سابق</w:t>
            </w:r>
          </w:p>
        </w:tc>
        <w:tc>
          <w:tcPr>
            <w:tcW w:type="dxa" w:w="3084"/>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audit_export</w:t>
            </w:r>
          </w:p>
        </w:tc>
        <w:tc>
          <w:tcPr>
            <w:tcW w:type="dxa" w:w="1157"/>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6</w:t>
            </w:r>
          </w:p>
        </w:tc>
      </w:tr>
      <w:tr>
        <w:trPr>
          <w:cantSplit/>
        </w:trPr>
        <w:tc>
          <w:tcPr>
            <w:tcW w:type="dxa" w:w="1349"/>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فحص الملفات</w:t>
            </w:r>
          </w:p>
        </w:tc>
        <w:tc>
          <w:tcPr>
            <w:tcW w:type="dxa" w:w="4048"/>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لا يُقدَّم ملف غير سليم؛ عند توقف الفاحص يُرفض الملف</w:t>
            </w:r>
          </w:p>
        </w:tc>
        <w:tc>
          <w:tcPr>
            <w:tcW w:type="dxa" w:w="3084"/>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ملف سليم، وملف EICAR، والفاحص متوقف</w:t>
            </w:r>
          </w:p>
        </w:tc>
        <w:tc>
          <w:tcPr>
            <w:tcW w:type="dxa" w:w="1157"/>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7</w:t>
            </w:r>
          </w:p>
        </w:tc>
      </w:tr>
      <w:tr>
        <w:trPr>
          <w:cantSplit/>
        </w:trPr>
        <w:tc>
          <w:tcPr>
            <w:tcW w:type="dxa" w:w="1349"/>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الأمن</w:t>
            </w:r>
          </w:p>
        </w:tc>
        <w:tc>
          <w:tcPr>
            <w:tcW w:type="dxa" w:w="4048"/>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لا ثغرة حرجة أو عالية مفتوحة بعد إعادة الاختبار</w:t>
            </w:r>
          </w:p>
        </w:tc>
        <w:tc>
          <w:tcPr>
            <w:tcW w:type="dxa" w:w="3084"/>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اختبار اختراق خارجي</w:t>
            </w:r>
          </w:p>
        </w:tc>
        <w:tc>
          <w:tcPr>
            <w:tcW w:type="dxa" w:w="1157"/>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8</w:t>
            </w:r>
          </w:p>
        </w:tc>
      </w:tr>
      <w:tr>
        <w:trPr>
          <w:cantSplit/>
        </w:trPr>
        <w:tc>
          <w:tcPr>
            <w:tcW w:type="dxa" w:w="1349"/>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التحويل</w:t>
            </w:r>
          </w:p>
        </w:tc>
        <w:tc>
          <w:tcPr>
            <w:tcW w:type="dxa" w:w="4048"/>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قائد واحد بعد إيقاف الخادم الأساسي تحت الحمل، ضمن RPO وRTO</w:t>
            </w:r>
          </w:p>
        </w:tc>
        <w:tc>
          <w:tcPr>
            <w:tcW w:type="dxa" w:w="3084"/>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failover_drill.py</w:t>
            </w:r>
          </w:p>
        </w:tc>
        <w:tc>
          <w:tcPr>
            <w:tcW w:type="dxa" w:w="1157"/>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1</w:t>
            </w:r>
          </w:p>
        </w:tc>
      </w:tr>
      <w:tr>
        <w:trPr>
          <w:cantSplit/>
        </w:trPr>
        <w:tc>
          <w:tcPr>
            <w:tcW w:type="dxa" w:w="1349"/>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إمكانية الوصول</w:t>
            </w:r>
          </w:p>
        </w:tc>
        <w:tc>
          <w:tcPr>
            <w:tcW w:type="dxa" w:w="4048"/>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لا مخالفة جدية أو حرجة (axe)، والواجهة العربية من اليمين إلى اليسار سليمة</w:t>
            </w:r>
          </w:p>
        </w:tc>
        <w:tc>
          <w:tcPr>
            <w:tcW w:type="dxa" w:w="3084"/>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ui-checks في CI، ومراجعة يدوية</w:t>
            </w:r>
          </w:p>
        </w:tc>
        <w:tc>
          <w:tcPr>
            <w:tcW w:type="dxa" w:w="1157"/>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قبل الإطلاق</w:t>
            </w:r>
          </w:p>
        </w:tc>
      </w:tr>
      <w:tr>
        <w:trPr>
          <w:cantSplit/>
        </w:trPr>
        <w:tc>
          <w:tcPr>
            <w:tcW w:type="dxa" w:w="1349"/>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الهاتف</w:t>
            </w:r>
          </w:p>
        </w:tc>
        <w:tc>
          <w:tcPr>
            <w:tcW w:type="dxa" w:w="4048"/>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كل صف في مصفوفة الأجهزة ناجح: التثبيت، التذكرة دون اتصال، الصعود دون اتصال، القفل الحيوي</w:t>
            </w:r>
          </w:p>
        </w:tc>
        <w:tc>
          <w:tcPr>
            <w:tcW w:type="dxa" w:w="3084"/>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MOBILE_DEVICE_MATRIX.md</w:t>
            </w:r>
          </w:p>
        </w:tc>
        <w:tc>
          <w:tcPr>
            <w:tcW w:type="dxa" w:w="1157"/>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قبل المتاجر</w:t>
            </w:r>
          </w:p>
        </w:tc>
      </w:tr>
    </w:tbl>
    <w:p>
      <w:pPr>
        <w:pStyle w:val="Heading1"/>
        <w:keepNext/>
        <w:pBdr>
          <w:bottom w:val="single" w:color="0A5BD3" w:sz="10" w:space="4"/>
        </w:pBdr>
        <w:bidi/>
        <w:spacing w:after="160" w:before="360"/>
        <w:jc w:val="right"/>
      </w:pPr>
      <w:r>
        <w:rPr>
          <w:rFonts w:ascii="Arial" w:cs="Arial" w:eastAsia="Arial" w:hAnsi="Arial"/>
          <w:b/>
          <w:bCs/>
          <w:color w:val="0B1F3F"/>
          <w:sz w:val="30"/>
          <w:szCs w:val="30"/>
          <w:rtl/>
        </w:rPr>
        <w:t xml:space="preserve">7. تصنيف العيوب (مقترح)</w:t>
      </w:r>
    </w:p>
    <w:p>
      <w:pPr>
        <w:bidi/>
        <w:spacing w:after="120" w:line="300"/>
        <w:jc w:val="right"/>
      </w:pPr>
      <w:r>
        <w:rPr>
          <w:rFonts w:ascii="Arial" w:cs="Arial" w:eastAsia="Arial" w:hAnsi="Arial"/>
          <w:color w:val="0F1B2D"/>
          <w:sz w:val="21"/>
          <w:szCs w:val="21"/>
          <w:rtl/>
        </w:rPr>
        <w:t xml:space="preserve">مقترح للاتفاق مع الجهة المختصة. يطابق جدول الخطورة في نطاق اختبار الاختراق، ويضيف أمثلة من المنصة.</w:t>
      </w:r>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4"/>
        <w:gridCol w:w="3084"/>
        <w:gridCol w:w="3470"/>
        <w:gridCol w:w="2120"/>
      </w:tblGrid>
      <w:tr>
        <w:trPr>
          <w:tblHeader/>
        </w:trPr>
        <w:tc>
          <w:tcPr>
            <w:tcW w:type="dxa" w:w="964"/>
            <w:tcBorders>
              <w:top w:val="single" w:color="D5DBE3" w:sz="4"/>
              <w:left w:val="none" w:color="FFFFFF" w:sz="0"/>
              <w:bottom w:val="single" w:color="D5DBE3" w:sz="4"/>
              <w:right w:val="none" w:color="FFFFFF" w:sz="0"/>
            </w:tcBorders>
            <w:shd w:fill="0B1F3F" w:color="auto" w:val="clear"/>
            <w:tcMar>
              <w:top w:type="dxa" w:w="60"/>
              <w:left w:type="dxa" w:w="90"/>
              <w:bottom w:type="dxa" w:w="60"/>
              <w:right w:type="dxa" w:w="90"/>
            </w:tcMar>
          </w:tcPr>
          <w:p>
            <w:pPr>
              <w:bidi/>
              <w:spacing w:after="0" w:line="255"/>
              <w:jc w:val="right"/>
            </w:pPr>
            <w:r>
              <w:rPr>
                <w:rFonts w:ascii="Arial" w:cs="Arial" w:eastAsia="Arial" w:hAnsi="Arial"/>
                <w:b/>
                <w:bCs/>
                <w:color w:val="FFFFFF"/>
                <w:sz w:val="18"/>
                <w:szCs w:val="18"/>
                <w:rtl/>
              </w:rPr>
              <w:t xml:space="preserve">الدرجة</w:t>
            </w:r>
          </w:p>
        </w:tc>
        <w:tc>
          <w:tcPr>
            <w:tcW w:type="dxa" w:w="3084"/>
            <w:tcBorders>
              <w:top w:val="single" w:color="D5DBE3" w:sz="4"/>
              <w:left w:val="none" w:color="FFFFFF" w:sz="0"/>
              <w:bottom w:val="single" w:color="D5DBE3" w:sz="4"/>
              <w:right w:val="none" w:color="FFFFFF" w:sz="0"/>
            </w:tcBorders>
            <w:shd w:fill="0B1F3F" w:color="auto" w:val="clear"/>
            <w:tcMar>
              <w:top w:type="dxa" w:w="60"/>
              <w:left w:type="dxa" w:w="90"/>
              <w:bottom w:type="dxa" w:w="60"/>
              <w:right w:type="dxa" w:w="90"/>
            </w:tcMar>
          </w:tcPr>
          <w:p>
            <w:pPr>
              <w:bidi/>
              <w:spacing w:after="0" w:line="255"/>
              <w:jc w:val="right"/>
            </w:pPr>
            <w:r>
              <w:rPr>
                <w:rFonts w:ascii="Arial" w:cs="Arial" w:eastAsia="Arial" w:hAnsi="Arial"/>
                <w:b/>
                <w:bCs/>
                <w:color w:val="FFFFFF"/>
                <w:sz w:val="18"/>
                <w:szCs w:val="18"/>
                <w:rtl/>
              </w:rPr>
              <w:t xml:space="preserve">التعريف</w:t>
            </w:r>
          </w:p>
        </w:tc>
        <w:tc>
          <w:tcPr>
            <w:tcW w:type="dxa" w:w="3470"/>
            <w:tcBorders>
              <w:top w:val="single" w:color="D5DBE3" w:sz="4"/>
              <w:left w:val="none" w:color="FFFFFF" w:sz="0"/>
              <w:bottom w:val="single" w:color="D5DBE3" w:sz="4"/>
              <w:right w:val="none" w:color="FFFFFF" w:sz="0"/>
            </w:tcBorders>
            <w:shd w:fill="0B1F3F" w:color="auto" w:val="clear"/>
            <w:tcMar>
              <w:top w:type="dxa" w:w="60"/>
              <w:left w:type="dxa" w:w="90"/>
              <w:bottom w:type="dxa" w:w="60"/>
              <w:right w:type="dxa" w:w="90"/>
            </w:tcMar>
          </w:tcPr>
          <w:p>
            <w:pPr>
              <w:bidi/>
              <w:spacing w:after="0" w:line="255"/>
              <w:jc w:val="right"/>
            </w:pPr>
            <w:r>
              <w:rPr>
                <w:rFonts w:ascii="Arial" w:cs="Arial" w:eastAsia="Arial" w:hAnsi="Arial"/>
                <w:b/>
                <w:bCs/>
                <w:color w:val="FFFFFF"/>
                <w:sz w:val="18"/>
                <w:szCs w:val="18"/>
                <w:rtl/>
              </w:rPr>
              <w:t xml:space="preserve">أمثلة</w:t>
            </w:r>
          </w:p>
        </w:tc>
        <w:tc>
          <w:tcPr>
            <w:tcW w:type="dxa" w:w="2120"/>
            <w:tcBorders>
              <w:top w:val="single" w:color="D5DBE3" w:sz="4"/>
              <w:left w:val="none" w:color="FFFFFF" w:sz="0"/>
              <w:bottom w:val="single" w:color="D5DBE3" w:sz="4"/>
              <w:right w:val="none" w:color="FFFFFF" w:sz="0"/>
            </w:tcBorders>
            <w:shd w:fill="0B1F3F" w:color="auto" w:val="clear"/>
            <w:tcMar>
              <w:top w:type="dxa" w:w="60"/>
              <w:left w:type="dxa" w:w="90"/>
              <w:bottom w:type="dxa" w:w="60"/>
              <w:right w:type="dxa" w:w="90"/>
            </w:tcMar>
          </w:tcPr>
          <w:p>
            <w:pPr>
              <w:bidi/>
              <w:spacing w:after="0" w:line="255"/>
              <w:jc w:val="right"/>
            </w:pPr>
            <w:r>
              <w:rPr>
                <w:rFonts w:ascii="Arial" w:cs="Arial" w:eastAsia="Arial" w:hAnsi="Arial"/>
                <w:b/>
                <w:bCs/>
                <w:color w:val="FFFFFF"/>
                <w:sz w:val="18"/>
                <w:szCs w:val="18"/>
                <w:rtl/>
              </w:rPr>
              <w:t xml:space="preserve">الأثر على الإطلاق</w:t>
            </w:r>
          </w:p>
        </w:tc>
      </w:tr>
      <w:tr>
        <w:trPr>
          <w:cantSplit/>
        </w:trPr>
        <w:tc>
          <w:tcPr>
            <w:tcW w:type="dxa" w:w="964"/>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حرج</w:t>
            </w:r>
          </w:p>
        </w:tc>
        <w:tc>
          <w:tcPr>
            <w:tcW w:type="dxa" w:w="3084"/>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فقد أو تلف مال أو بيانات، أو كسر العزل، أو تجاوز الدخول</w:t>
            </w:r>
          </w:p>
        </w:tc>
        <w:tc>
          <w:tcPr>
            <w:tcW w:type="dxa" w:w="347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فرق بين المحفظة والدفتر؛ شركة ترى صفوف أخرى؛ دخول دون عامل ثانٍ</w:t>
            </w:r>
          </w:p>
        </w:tc>
        <w:tc>
          <w:tcPr>
            <w:tcW w:type="dxa" w:w="212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يمنع الإطلاق حتى يُصلح ويُعاد اختباره</w:t>
            </w:r>
          </w:p>
        </w:tc>
      </w:tr>
      <w:tr>
        <w:trPr>
          <w:cantSplit/>
        </w:trPr>
        <w:tc>
          <w:tcPr>
            <w:tcW w:type="dxa" w:w="964"/>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عالٍ</w:t>
            </w:r>
          </w:p>
        </w:tc>
        <w:tc>
          <w:tcPr>
            <w:tcW w:type="dxa" w:w="3084"/>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وظيفة أساسية لا تعمل ولا بديل لها</w:t>
            </w:r>
          </w:p>
        </w:tc>
        <w:tc>
          <w:tcPr>
            <w:tcW w:type="dxa" w:w="3470"/>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تعذر الحجز أو الصعود؛ استرداد لا يصل</w:t>
            </w:r>
          </w:p>
        </w:tc>
        <w:tc>
          <w:tcPr>
            <w:tcW w:type="dxa" w:w="2120"/>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يمنع الإطلاق، إلا بقبول كتابي من المالك</w:t>
            </w:r>
          </w:p>
        </w:tc>
      </w:tr>
      <w:tr>
        <w:trPr>
          <w:cantSplit/>
        </w:trPr>
        <w:tc>
          <w:tcPr>
            <w:tcW w:type="dxa" w:w="964"/>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متوسط</w:t>
            </w:r>
          </w:p>
        </w:tc>
        <w:tc>
          <w:tcPr>
            <w:tcW w:type="dxa" w:w="3084"/>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وظيفة لا تعمل ولها بديل، أو خطأ يمس المال أو الدخول دون فقد</w:t>
            </w:r>
          </w:p>
        </w:tc>
        <w:tc>
          <w:tcPr>
            <w:tcW w:type="dxa" w:w="347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تقرير بأرقام ناقصة؛ رسالة خطأ مضللة</w:t>
            </w:r>
          </w:p>
        </w:tc>
        <w:tc>
          <w:tcPr>
            <w:tcW w:type="dxa" w:w="212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يُتابع؛ يُصلح قبل الإطلاق إن مس المال أو الدخول أو العزل</w:t>
            </w:r>
          </w:p>
        </w:tc>
      </w:tr>
      <w:tr>
        <w:trPr>
          <w:cantSplit/>
        </w:trPr>
        <w:tc>
          <w:tcPr>
            <w:tcW w:type="dxa" w:w="964"/>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منخفض</w:t>
            </w:r>
          </w:p>
        </w:tc>
        <w:tc>
          <w:tcPr>
            <w:tcW w:type="dxa" w:w="3084"/>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شكل أو نص أو راحة استخدام</w:t>
            </w:r>
          </w:p>
        </w:tc>
        <w:tc>
          <w:tcPr>
            <w:tcW w:type="dxa" w:w="3470"/>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محاذاة؛ ترجمة</w:t>
            </w:r>
          </w:p>
        </w:tc>
        <w:tc>
          <w:tcPr>
            <w:tcW w:type="dxa" w:w="2120"/>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في الخطة اللاحقة</w:t>
            </w:r>
          </w:p>
        </w:tc>
      </w:tr>
    </w:tbl>
    <w:p>
      <w:pPr>
        <w:pStyle w:val="Heading1"/>
        <w:keepNext/>
        <w:pBdr>
          <w:bottom w:val="single" w:color="0A5BD3" w:sz="10" w:space="4"/>
        </w:pBdr>
        <w:bidi/>
        <w:spacing w:after="160" w:before="360"/>
        <w:jc w:val="right"/>
      </w:pPr>
      <w:r>
        <w:rPr>
          <w:rFonts w:ascii="Arial" w:cs="Arial" w:eastAsia="Arial" w:hAnsi="Arial"/>
          <w:b/>
          <w:bCs/>
          <w:color w:val="0B1F3F"/>
          <w:sz w:val="30"/>
          <w:szCs w:val="30"/>
          <w:rtl/>
        </w:rPr>
        <w:t xml:space="preserve">8. ما يحتاج اختباراً يدوياً أو بيئة حقيقية</w:t>
      </w:r>
    </w:p>
    <w:p>
      <w:pPr>
        <w:pStyle w:val="ListParagraph"/>
        <w:numPr>
          <w:ilvl w:val="0"/>
          <w:numId w:val="2"/>
        </w:numPr>
        <w:bidi/>
        <w:spacing w:after="80" w:line="290"/>
        <w:jc w:val="right"/>
      </w:pPr>
      <w:r>
        <w:rPr>
          <w:rFonts w:ascii="Arial" w:cs="Arial" w:eastAsia="Arial" w:hAnsi="Arial"/>
          <w:color w:val="0F1B2D"/>
          <w:sz w:val="21"/>
          <w:szCs w:val="21"/>
          <w:rtl/>
        </w:rPr>
        <w:t xml:space="preserve">التجربة مع مستخدمين حقيقيين بالعربية: مسافرون، وموظفو ناقل، وسائقون، ووكالة، وموظفو المنصة.</w:t>
      </w:r>
    </w:p>
    <w:p>
      <w:pPr>
        <w:pStyle w:val="ListParagraph"/>
        <w:numPr>
          <w:ilvl w:val="0"/>
          <w:numId w:val="2"/>
        </w:numPr>
        <w:bidi/>
        <w:spacing w:after="80" w:line="290"/>
        <w:jc w:val="right"/>
      </w:pPr>
      <w:r>
        <w:rPr>
          <w:rFonts w:ascii="Arial" w:cs="Arial" w:eastAsia="Arial" w:hAnsi="Arial"/>
          <w:color w:val="0F1B2D"/>
          <w:sz w:val="21"/>
          <w:szCs w:val="21"/>
          <w:rtl/>
        </w:rPr>
        <w:t xml:space="preserve">الأجهزة: هواتف السائقين في المصفوفة، والمسح في ضوء ضعيف، وانقطاع الشبكة الفعلي على الطريق.</w:t>
      </w:r>
    </w:p>
    <w:p>
      <w:pPr>
        <w:pStyle w:val="ListParagraph"/>
        <w:numPr>
          <w:ilvl w:val="0"/>
          <w:numId w:val="2"/>
        </w:numPr>
        <w:bidi/>
        <w:spacing w:after="80" w:line="290"/>
        <w:jc w:val="right"/>
      </w:pPr>
      <w:r>
        <w:rPr>
          <w:rFonts w:ascii="Arial" w:cs="Arial" w:eastAsia="Arial" w:hAnsi="Arial"/>
          <w:color w:val="0F1B2D"/>
          <w:sz w:val="21"/>
          <w:szCs w:val="21"/>
          <w:rtl/>
        </w:rPr>
        <w:t xml:space="preserve">المزودون: بوابة الدفع، والرسائل والواتساب، والتحقق من الهوية، كلٌّ في بيئته التجريبية بعد التعاقد.</w:t>
      </w:r>
    </w:p>
    <w:p>
      <w:pPr>
        <w:pStyle w:val="ListParagraph"/>
        <w:numPr>
          <w:ilvl w:val="0"/>
          <w:numId w:val="2"/>
        </w:numPr>
        <w:bidi/>
        <w:spacing w:after="80" w:line="290"/>
        <w:jc w:val="right"/>
      </w:pPr>
      <w:r>
        <w:rPr>
          <w:rFonts w:ascii="Arial" w:cs="Arial" w:eastAsia="Arial" w:hAnsi="Arial"/>
          <w:color w:val="0F1B2D"/>
          <w:sz w:val="21"/>
          <w:szCs w:val="21"/>
          <w:rtl/>
        </w:rPr>
        <w:t xml:space="preserve">التشغيل: النسخ الاحتياطي إلى موقع آخر، والتنبيه إلى مناوب فعلي، والموقع الثاني.</w:t>
      </w:r>
    </w:p>
    <w:p>
      <w:pPr>
        <w:pStyle w:val="ListParagraph"/>
        <w:numPr>
          <w:ilvl w:val="0"/>
          <w:numId w:val="2"/>
        </w:numPr>
        <w:bidi/>
        <w:spacing w:after="80" w:line="290"/>
        <w:jc w:val="right"/>
      </w:pPr>
      <w:r>
        <w:rPr>
          <w:rFonts w:ascii="Arial" w:cs="Arial" w:eastAsia="Arial" w:hAnsi="Arial"/>
          <w:color w:val="0F1B2D"/>
          <w:sz w:val="21"/>
          <w:szCs w:val="21"/>
          <w:rtl/>
        </w:rPr>
        <w:t xml:space="preserve">ما سيُبنى لاحقاً: فحص الكاونتر وطباعة بطاقة الصعود برقم البوابة، وشاشات المحطة؛ تُضاف سيناريوهاتها عند بنائها.</w:t>
      </w:r>
    </w:p>
    <w:p>
      <w:pPr>
        <w:pStyle w:val="Heading1"/>
        <w:keepNext/>
        <w:pBdr>
          <w:bottom w:val="single" w:color="0A5BD3" w:sz="10" w:space="4"/>
        </w:pBdr>
        <w:bidi/>
        <w:spacing w:after="160" w:before="360"/>
        <w:jc w:val="right"/>
      </w:pPr>
      <w:r>
        <w:rPr>
          <w:rFonts w:ascii="Arial" w:cs="Arial" w:eastAsia="Arial" w:hAnsi="Arial"/>
          <w:b/>
          <w:bCs/>
          <w:color w:val="0B1F3F"/>
          <w:sz w:val="30"/>
          <w:szCs w:val="30"/>
          <w:rtl/>
        </w:rPr>
        <w:t xml:space="preserve">9. أدوار الاعتماد</w:t>
      </w:r>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99"/>
        <w:gridCol w:w="6939"/>
      </w:tblGrid>
      <w:tr>
        <w:trPr>
          <w:tblHeader/>
        </w:trPr>
        <w:tc>
          <w:tcPr>
            <w:tcW w:type="dxa" w:w="2699"/>
            <w:tcBorders>
              <w:top w:val="single" w:color="D5DBE3" w:sz="4"/>
              <w:left w:val="none" w:color="FFFFFF" w:sz="0"/>
              <w:bottom w:val="single" w:color="D5DBE3" w:sz="4"/>
              <w:right w:val="none" w:color="FFFFFF" w:sz="0"/>
            </w:tcBorders>
            <w:shd w:fill="0B1F3F" w:color="auto" w:val="clear"/>
            <w:tcMar>
              <w:top w:type="dxa" w:w="60"/>
              <w:left w:type="dxa" w:w="90"/>
              <w:bottom w:type="dxa" w:w="60"/>
              <w:right w:type="dxa" w:w="90"/>
            </w:tcMar>
          </w:tcPr>
          <w:p>
            <w:pPr>
              <w:bidi/>
              <w:spacing w:after="0" w:line="255"/>
              <w:jc w:val="right"/>
            </w:pPr>
            <w:r>
              <w:rPr>
                <w:rFonts w:ascii="Arial" w:cs="Arial" w:eastAsia="Arial" w:hAnsi="Arial"/>
                <w:b/>
                <w:bCs/>
                <w:color w:val="FFFFFF"/>
                <w:sz w:val="18"/>
                <w:szCs w:val="18"/>
                <w:rtl/>
              </w:rPr>
              <w:t xml:space="preserve">الدور</w:t>
            </w:r>
          </w:p>
        </w:tc>
        <w:tc>
          <w:tcPr>
            <w:tcW w:type="dxa" w:w="6939"/>
            <w:tcBorders>
              <w:top w:val="single" w:color="D5DBE3" w:sz="4"/>
              <w:left w:val="none" w:color="FFFFFF" w:sz="0"/>
              <w:bottom w:val="single" w:color="D5DBE3" w:sz="4"/>
              <w:right w:val="none" w:color="FFFFFF" w:sz="0"/>
            </w:tcBorders>
            <w:shd w:fill="0B1F3F" w:color="auto" w:val="clear"/>
            <w:tcMar>
              <w:top w:type="dxa" w:w="60"/>
              <w:left w:type="dxa" w:w="90"/>
              <w:bottom w:type="dxa" w:w="60"/>
              <w:right w:type="dxa" w:w="90"/>
            </w:tcMar>
          </w:tcPr>
          <w:p>
            <w:pPr>
              <w:bidi/>
              <w:spacing w:after="0" w:line="255"/>
              <w:jc w:val="right"/>
            </w:pPr>
            <w:r>
              <w:rPr>
                <w:rFonts w:ascii="Arial" w:cs="Arial" w:eastAsia="Arial" w:hAnsi="Arial"/>
                <w:b/>
                <w:bCs/>
                <w:color w:val="FFFFFF"/>
                <w:sz w:val="18"/>
                <w:szCs w:val="18"/>
                <w:rtl/>
              </w:rPr>
              <w:t xml:space="preserve">المسؤولية في القبول</w:t>
            </w:r>
          </w:p>
        </w:tc>
      </w:tr>
      <w:tr>
        <w:trPr>
          <w:cantSplit/>
        </w:trPr>
        <w:tc>
          <w:tcPr>
            <w:tcW w:type="dxa" w:w="2699"/>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7"/>
                <w:szCs w:val="17"/>
                <w:rtl/>
              </w:rPr>
              <w:t xml:space="preserve">مالك المنصة</w:t>
            </w:r>
          </w:p>
        </w:tc>
        <w:tc>
          <w:tcPr>
            <w:tcW w:type="dxa" w:w="6939"/>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7"/>
                <w:szCs w:val="17"/>
                <w:rtl/>
              </w:rPr>
              <w:t xml:space="preserve">يعتمد الخطة والنتيجة وقرار الإطلاق، ويقبل كتابياً أي عيب يُترك مفتوحاً</w:t>
            </w:r>
          </w:p>
        </w:tc>
      </w:tr>
      <w:tr>
        <w:trPr>
          <w:cantSplit/>
        </w:trPr>
        <w:tc>
          <w:tcPr>
            <w:tcW w:type="dxa" w:w="2699"/>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7"/>
                <w:szCs w:val="17"/>
                <w:rtl/>
              </w:rPr>
              <w:t xml:space="preserve">مسؤول الأمن</w:t>
            </w:r>
          </w:p>
        </w:tc>
        <w:tc>
          <w:tcPr>
            <w:tcW w:type="dxa" w:w="6939"/>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7"/>
                <w:szCs w:val="17"/>
                <w:rtl/>
              </w:rPr>
              <w:t xml:space="preserve">يعتمد نتائج الأمن واختبار الاختراق وأرشيف السجل</w:t>
            </w:r>
          </w:p>
        </w:tc>
      </w:tr>
      <w:tr>
        <w:trPr>
          <w:cantSplit/>
        </w:trPr>
        <w:tc>
          <w:tcPr>
            <w:tcW w:type="dxa" w:w="2699"/>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7"/>
                <w:szCs w:val="17"/>
                <w:rtl/>
              </w:rPr>
              <w:t xml:space="preserve">مسؤول العمليات</w:t>
            </w:r>
          </w:p>
        </w:tc>
        <w:tc>
          <w:tcPr>
            <w:tcW w:type="dxa" w:w="6939"/>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7"/>
                <w:szCs w:val="17"/>
                <w:rtl/>
              </w:rPr>
              <w:t xml:space="preserve">يعتمد التمارين والمراقبة والاستعادة والتحويل</w:t>
            </w:r>
          </w:p>
        </w:tc>
      </w:tr>
      <w:tr>
        <w:trPr>
          <w:cantSplit/>
        </w:trPr>
        <w:tc>
          <w:tcPr>
            <w:tcW w:type="dxa" w:w="2699"/>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7"/>
                <w:szCs w:val="17"/>
                <w:rtl/>
              </w:rPr>
              <w:t xml:space="preserve">مسؤول حماية البيانات</w:t>
            </w:r>
          </w:p>
        </w:tc>
        <w:tc>
          <w:tcPr>
            <w:tcW w:type="dxa" w:w="6939"/>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7"/>
                <w:szCs w:val="17"/>
                <w:rtl/>
              </w:rPr>
              <w:t xml:space="preserve">يعتمد ما يخص الصورة والبيانات الشخصية، والأساس القانوني</w:t>
            </w:r>
          </w:p>
        </w:tc>
      </w:tr>
      <w:tr>
        <w:trPr>
          <w:cantSplit/>
        </w:trPr>
        <w:tc>
          <w:tcPr>
            <w:tcW w:type="dxa" w:w="2699"/>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7"/>
                <w:szCs w:val="17"/>
                <w:rtl/>
              </w:rPr>
              <w:t xml:space="preserve">ممثل الناقل التجريبي</w:t>
            </w:r>
          </w:p>
        </w:tc>
        <w:tc>
          <w:tcPr>
            <w:tcW w:type="dxa" w:w="6939"/>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7"/>
                <w:szCs w:val="17"/>
                <w:rtl/>
              </w:rPr>
              <w:t xml:space="preserve">ينفذ سيناريوهات الناقل والسائق والكاونتر ويوقّع عليها</w:t>
            </w:r>
          </w:p>
        </w:tc>
      </w:tr>
      <w:tr>
        <w:trPr>
          <w:cantSplit/>
        </w:trPr>
        <w:tc>
          <w:tcPr>
            <w:tcW w:type="dxa" w:w="2699"/>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7"/>
                <w:szCs w:val="17"/>
                <w:rtl/>
              </w:rPr>
              <w:t xml:space="preserve">الجهة المختصة بالأنظمة</w:t>
            </w:r>
          </w:p>
        </w:tc>
        <w:tc>
          <w:tcPr>
            <w:tcW w:type="dxa" w:w="6939"/>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7"/>
                <w:szCs w:val="17"/>
                <w:rtl/>
              </w:rPr>
              <w:t xml:space="preserve">مراجعة مستقلة للخطة والنتائج، وتنفيذ ما يُتفق عليه من الاختبارات</w:t>
            </w:r>
          </w:p>
        </w:tc>
      </w:tr>
    </w:tbl>
    <w:p>
      <w:pPr>
        <w:pStyle w:val="Heading1"/>
        <w:keepNext/>
        <w:pBdr>
          <w:bottom w:val="single" w:color="0A5BD3" w:sz="10" w:space="4"/>
        </w:pBdr>
        <w:bidi/>
        <w:spacing w:after="160" w:before="360"/>
        <w:jc w:val="right"/>
      </w:pPr>
      <w:r>
        <w:rPr>
          <w:rFonts w:ascii="Arial" w:cs="Arial" w:eastAsia="Arial" w:hAnsi="Arial"/>
          <w:b/>
          <w:bCs/>
          <w:color w:val="0B1F3F"/>
          <w:sz w:val="30"/>
          <w:szCs w:val="30"/>
          <w:rtl/>
        </w:rPr>
        <w:t xml:space="preserve">10. ربط حالات الاستخدام بالسيناريوهات</w:t>
      </w:r>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rPr>
          <w:tblHeader/>
        </w:trPr>
        <w:tc>
          <w:tcPr>
            <w:tcW w:type="dxa" w:w="4819"/>
            <w:tcBorders>
              <w:top w:val="single" w:color="D5DBE3" w:sz="4"/>
              <w:left w:val="none" w:color="FFFFFF" w:sz="0"/>
              <w:bottom w:val="single" w:color="D5DBE3" w:sz="4"/>
              <w:right w:val="none" w:color="FFFFFF" w:sz="0"/>
            </w:tcBorders>
            <w:shd w:fill="0B1F3F" w:color="auto" w:val="clear"/>
            <w:tcMar>
              <w:top w:type="dxa" w:w="60"/>
              <w:left w:type="dxa" w:w="90"/>
              <w:bottom w:type="dxa" w:w="60"/>
              <w:right w:type="dxa" w:w="90"/>
            </w:tcMar>
          </w:tcPr>
          <w:p>
            <w:pPr>
              <w:bidi/>
              <w:spacing w:after="0" w:line="255"/>
              <w:jc w:val="right"/>
            </w:pPr>
            <w:r>
              <w:rPr>
                <w:rFonts w:ascii="Arial" w:cs="Arial" w:eastAsia="Arial" w:hAnsi="Arial"/>
                <w:b/>
                <w:bCs/>
                <w:color w:val="FFFFFF"/>
                <w:sz w:val="18"/>
                <w:szCs w:val="18"/>
                <w:rtl/>
              </w:rPr>
              <w:t xml:space="preserve">حالات الاستخدام</w:t>
            </w:r>
          </w:p>
        </w:tc>
        <w:tc>
          <w:tcPr>
            <w:tcW w:type="dxa" w:w="4819"/>
            <w:tcBorders>
              <w:top w:val="single" w:color="D5DBE3" w:sz="4"/>
              <w:left w:val="none" w:color="FFFFFF" w:sz="0"/>
              <w:bottom w:val="single" w:color="D5DBE3" w:sz="4"/>
              <w:right w:val="none" w:color="FFFFFF" w:sz="0"/>
            </w:tcBorders>
            <w:shd w:fill="0B1F3F" w:color="auto" w:val="clear"/>
            <w:tcMar>
              <w:top w:type="dxa" w:w="60"/>
              <w:left w:type="dxa" w:w="90"/>
              <w:bottom w:type="dxa" w:w="60"/>
              <w:right w:type="dxa" w:w="90"/>
            </w:tcMar>
          </w:tcPr>
          <w:p>
            <w:pPr>
              <w:bidi/>
              <w:spacing w:after="0" w:line="255"/>
              <w:jc w:val="right"/>
            </w:pPr>
            <w:r>
              <w:rPr>
                <w:rFonts w:ascii="Arial" w:cs="Arial" w:eastAsia="Arial" w:hAnsi="Arial"/>
                <w:b/>
                <w:bCs/>
                <w:color w:val="FFFFFF"/>
                <w:sz w:val="18"/>
                <w:szCs w:val="18"/>
                <w:rtl/>
              </w:rPr>
              <w:t xml:space="preserve">السيناريوهات</w:t>
            </w:r>
          </w:p>
        </w:tc>
      </w:tr>
      <w:tr>
        <w:trPr>
          <w:cantSplit/>
        </w:trPr>
        <w:tc>
          <w:tcPr>
            <w:tcW w:type="dxa" w:w="4819"/>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7"/>
                <w:szCs w:val="17"/>
                <w:rtl/>
              </w:rPr>
              <w:t xml:space="preserve">UC-1 حجز الرحلات المجدولة</w:t>
            </w:r>
          </w:p>
        </w:tc>
        <w:tc>
          <w:tcPr>
            <w:tcW w:type="dxa" w:w="4819"/>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7"/>
                <w:szCs w:val="17"/>
                <w:rtl/>
              </w:rPr>
              <w:t xml:space="preserve">UAT-01، UAT-05 إلى UAT-14، UAT-32، UAT-36</w:t>
            </w:r>
          </w:p>
        </w:tc>
      </w:tr>
      <w:tr>
        <w:trPr>
          <w:cantSplit/>
        </w:trPr>
        <w:tc>
          <w:tcPr>
            <w:tcW w:type="dxa" w:w="4819"/>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7"/>
                <w:szCs w:val="17"/>
                <w:rtl/>
              </w:rPr>
              <w:t xml:space="preserve">UC-3 عمليات الناقل</w:t>
            </w:r>
          </w:p>
        </w:tc>
        <w:tc>
          <w:tcPr>
            <w:tcW w:type="dxa" w:w="4819"/>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7"/>
                <w:szCs w:val="17"/>
                <w:rtl/>
              </w:rPr>
              <w:t xml:space="preserve">UAT-04، UAT-18، UAT-19، UAT-22</w:t>
            </w:r>
          </w:p>
        </w:tc>
      </w:tr>
      <w:tr>
        <w:trPr>
          <w:cantSplit/>
        </w:trPr>
        <w:tc>
          <w:tcPr>
            <w:tcW w:type="dxa" w:w="4819"/>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7"/>
                <w:szCs w:val="17"/>
                <w:rtl/>
              </w:rPr>
              <w:t xml:space="preserve">UC-4 تطبيق السائق</w:t>
            </w:r>
          </w:p>
        </w:tc>
        <w:tc>
          <w:tcPr>
            <w:tcW w:type="dxa" w:w="4819"/>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7"/>
                <w:szCs w:val="17"/>
                <w:rtl/>
              </w:rPr>
              <w:t xml:space="preserve">UAT-15 إلى UAT-17</w:t>
            </w:r>
          </w:p>
        </w:tc>
      </w:tr>
      <w:tr>
        <w:trPr>
          <w:cantSplit/>
        </w:trPr>
        <w:tc>
          <w:tcPr>
            <w:tcW w:type="dxa" w:w="4819"/>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7"/>
                <w:szCs w:val="17"/>
                <w:rtl/>
              </w:rPr>
              <w:t xml:space="preserve">UC-5 الشحن</w:t>
            </w:r>
          </w:p>
        </w:tc>
        <w:tc>
          <w:tcPr>
            <w:tcW w:type="dxa" w:w="4819"/>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7"/>
                <w:szCs w:val="17"/>
                <w:rtl/>
              </w:rPr>
              <w:t xml:space="preserve">UAT-31، UAT-33</w:t>
            </w:r>
          </w:p>
        </w:tc>
      </w:tr>
      <w:tr>
        <w:trPr>
          <w:cantSplit/>
        </w:trPr>
        <w:tc>
          <w:tcPr>
            <w:tcW w:type="dxa" w:w="4819"/>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7"/>
                <w:szCs w:val="17"/>
                <w:rtl/>
              </w:rPr>
              <w:t xml:space="preserve">UC-7 الإدارة والمالية والدعم</w:t>
            </w:r>
          </w:p>
        </w:tc>
        <w:tc>
          <w:tcPr>
            <w:tcW w:type="dxa" w:w="4819"/>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7"/>
                <w:szCs w:val="17"/>
                <w:rtl/>
              </w:rPr>
              <w:t xml:space="preserve">UAT-02، UAT-03، UAT-21</w:t>
            </w:r>
          </w:p>
        </w:tc>
      </w:tr>
      <w:tr>
        <w:trPr>
          <w:cantSplit/>
        </w:trPr>
        <w:tc>
          <w:tcPr>
            <w:tcW w:type="dxa" w:w="4819"/>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7"/>
                <w:szCs w:val="17"/>
                <w:rtl/>
              </w:rPr>
              <w:t xml:space="preserve">UC-8 الأمن والامتثال والجهات</w:t>
            </w:r>
          </w:p>
        </w:tc>
        <w:tc>
          <w:tcPr>
            <w:tcW w:type="dxa" w:w="4819"/>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7"/>
                <w:szCs w:val="17"/>
                <w:rtl/>
              </w:rPr>
              <w:t xml:space="preserve">UAT-34، UAT-37</w:t>
            </w:r>
          </w:p>
        </w:tc>
      </w:tr>
      <w:tr>
        <w:trPr>
          <w:cantSplit/>
        </w:trPr>
        <w:tc>
          <w:tcPr>
            <w:tcW w:type="dxa" w:w="4819"/>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7"/>
                <w:szCs w:val="17"/>
                <w:rtl/>
              </w:rPr>
              <w:t xml:space="preserve">UC-9 قنوات التوزيع والوكالات</w:t>
            </w:r>
          </w:p>
        </w:tc>
        <w:tc>
          <w:tcPr>
            <w:tcW w:type="dxa" w:w="4819"/>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7"/>
                <w:szCs w:val="17"/>
                <w:rtl/>
              </w:rPr>
              <w:t xml:space="preserve">UAT-20، UAT-35</w:t>
            </w:r>
          </w:p>
        </w:tc>
      </w:tr>
      <w:tr>
        <w:trPr>
          <w:cantSplit/>
        </w:trPr>
        <w:tc>
          <w:tcPr>
            <w:tcW w:type="dxa" w:w="4819"/>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7"/>
                <w:szCs w:val="17"/>
                <w:rtl/>
              </w:rPr>
              <w:t xml:space="preserve">UC-11 المحطات وشركات التشغيل</w:t>
            </w:r>
          </w:p>
        </w:tc>
        <w:tc>
          <w:tcPr>
            <w:tcW w:type="dxa" w:w="4819"/>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7"/>
                <w:szCs w:val="17"/>
                <w:rtl/>
              </w:rPr>
              <w:t xml:space="preserve">UAT-26 إلى UAT-30</w:t>
            </w:r>
          </w:p>
        </w:tc>
      </w:tr>
      <w:tr>
        <w:trPr>
          <w:cantSplit/>
        </w:trPr>
        <w:tc>
          <w:tcPr>
            <w:tcW w:type="dxa" w:w="4819"/>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7"/>
                <w:szCs w:val="17"/>
                <w:rtl/>
              </w:rPr>
              <w:t xml:space="preserve">UC-12 صورة الصعود</w:t>
            </w:r>
          </w:p>
        </w:tc>
        <w:tc>
          <w:tcPr>
            <w:tcW w:type="dxa" w:w="4819"/>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7"/>
                <w:szCs w:val="17"/>
                <w:rtl/>
              </w:rPr>
              <w:t xml:space="preserve">UAT-23 إلى UAT-25</w:t>
            </w:r>
          </w:p>
        </w:tc>
      </w:tr>
      <w:tr>
        <w:trPr>
          <w:cantSplit/>
        </w:trPr>
        <w:tc>
          <w:tcPr>
            <w:tcW w:type="dxa" w:w="4819"/>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7"/>
                <w:szCs w:val="17"/>
                <w:rtl/>
              </w:rPr>
              <w:t xml:space="preserve">UC-13 خيارات الدفع</w:t>
            </w:r>
          </w:p>
        </w:tc>
        <w:tc>
          <w:tcPr>
            <w:tcW w:type="dxa" w:w="4819"/>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7"/>
                <w:szCs w:val="17"/>
                <w:rtl/>
              </w:rPr>
              <w:t xml:space="preserve">UAT-09 إلى UAT-11</w:t>
            </w:r>
          </w:p>
        </w:tc>
      </w:tr>
    </w:tbl>
    <w:p>
      <w:pPr>
        <w:bidi/>
        <w:spacing w:after="120" w:line="300"/>
        <w:jc w:val="right"/>
      </w:pPr>
      <w:r>
        <w:rPr>
          <w:rFonts w:ascii="Arial" w:cs="Arial" w:eastAsia="Arial" w:hAnsi="Arial"/>
          <w:color w:val="0F1B2D"/>
          <w:sz w:val="21"/>
          <w:szCs w:val="21"/>
          <w:rtl/>
        </w:rPr>
        <w:t xml:space="preserve">UC-1 إلى UC-10 من الوثيقة 1.0. لا سيناريوهات في هذه النسخة للنقل المكوكي (UC-2) والشركاء والولاء (UC-6) والمحاسبة والفوترة الإلكترونية (UC-10)؛ تُضاف حين تدخل مرحلة التشغيل التي تخصها.</w:t>
      </w:r>
    </w:p>
    <w:p>
      <w:r>
        <w:br w:type="page"/>
      </w:r>
    </w:p>
    <w:p>
      <w:pPr>
        <w:pStyle w:val="Heading1"/>
        <w:keepNext/>
        <w:pBdr>
          <w:bottom w:val="single" w:color="0A5BD3" w:sz="10" w:space="4"/>
        </w:pBdr>
        <w:bidi/>
        <w:spacing w:after="160" w:before="360"/>
        <w:jc w:val="right"/>
      </w:pPr>
      <w:r>
        <w:rPr>
          <w:rFonts w:ascii="Arial" w:cs="Arial" w:eastAsia="Arial" w:hAnsi="Arial"/>
          <w:b/>
          <w:bCs/>
          <w:color w:val="0B1F3F"/>
          <w:sz w:val="30"/>
          <w:szCs w:val="30"/>
          <w:rtl/>
        </w:rPr>
        <w:t xml:space="preserve">11. سجل النتائج</w:t>
      </w:r>
    </w:p>
    <w:p>
      <w:pPr>
        <w:bidi/>
        <w:spacing w:after="120" w:line="300"/>
        <w:jc w:val="right"/>
      </w:pPr>
      <w:r>
        <w:rPr>
          <w:rFonts w:ascii="Arial" w:cs="Arial" w:eastAsia="Arial" w:hAnsi="Arial"/>
          <w:color w:val="0F1B2D"/>
          <w:sz w:val="21"/>
          <w:szCs w:val="21"/>
          <w:rtl/>
        </w:rPr>
        <w:t xml:space="preserve">يُملأ لكل تنفيذ لسيناريو. النتيجة «ناجح» أو «فاشل»؛ والفاشل يأخذ رقم عيب في سجل العيوب مع درجته.</w:t>
      </w:r>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60"/>
        <w:gridCol w:w="964"/>
        <w:gridCol w:w="1349"/>
        <w:gridCol w:w="1060"/>
        <w:gridCol w:w="1253"/>
        <w:gridCol w:w="964"/>
        <w:gridCol w:w="964"/>
        <w:gridCol w:w="2024"/>
      </w:tblGrid>
      <w:tr>
        <w:trPr>
          <w:tblHeader/>
        </w:trPr>
        <w:tc>
          <w:tcPr>
            <w:tcW w:type="dxa" w:w="1060"/>
            <w:tcBorders>
              <w:top w:val="single" w:color="D5DBE3" w:sz="4"/>
              <w:left w:val="none" w:color="FFFFFF" w:sz="0"/>
              <w:bottom w:val="single" w:color="D5DBE3" w:sz="4"/>
              <w:right w:val="none" w:color="FFFFFF" w:sz="0"/>
            </w:tcBorders>
            <w:shd w:fill="0B1F3F" w:color="auto" w:val="clear"/>
            <w:tcMar>
              <w:top w:type="dxa" w:w="60"/>
              <w:left w:type="dxa" w:w="90"/>
              <w:bottom w:type="dxa" w:w="60"/>
              <w:right w:type="dxa" w:w="90"/>
            </w:tcMar>
          </w:tcPr>
          <w:p>
            <w:pPr>
              <w:bidi/>
              <w:spacing w:after="0" w:line="255"/>
              <w:jc w:val="right"/>
            </w:pPr>
            <w:r>
              <w:rPr>
                <w:rFonts w:ascii="Arial" w:cs="Arial" w:eastAsia="Arial" w:hAnsi="Arial"/>
                <w:b/>
                <w:bCs/>
                <w:color w:val="FFFFFF"/>
                <w:sz w:val="18"/>
                <w:szCs w:val="18"/>
                <w:rtl/>
              </w:rPr>
              <w:t xml:space="preserve">السيناريو</w:t>
            </w:r>
          </w:p>
        </w:tc>
        <w:tc>
          <w:tcPr>
            <w:tcW w:type="dxa" w:w="964"/>
            <w:tcBorders>
              <w:top w:val="single" w:color="D5DBE3" w:sz="4"/>
              <w:left w:val="none" w:color="FFFFFF" w:sz="0"/>
              <w:bottom w:val="single" w:color="D5DBE3" w:sz="4"/>
              <w:right w:val="none" w:color="FFFFFF" w:sz="0"/>
            </w:tcBorders>
            <w:shd w:fill="0B1F3F" w:color="auto" w:val="clear"/>
            <w:tcMar>
              <w:top w:type="dxa" w:w="60"/>
              <w:left w:type="dxa" w:w="90"/>
              <w:bottom w:type="dxa" w:w="60"/>
              <w:right w:type="dxa" w:w="90"/>
            </w:tcMar>
          </w:tcPr>
          <w:p>
            <w:pPr>
              <w:bidi/>
              <w:spacing w:after="0" w:line="255"/>
              <w:jc w:val="right"/>
            </w:pPr>
            <w:r>
              <w:rPr>
                <w:rFonts w:ascii="Arial" w:cs="Arial" w:eastAsia="Arial" w:hAnsi="Arial"/>
                <w:b/>
                <w:bCs/>
                <w:color w:val="FFFFFF"/>
                <w:sz w:val="18"/>
                <w:szCs w:val="18"/>
                <w:rtl/>
              </w:rPr>
              <w:t xml:space="preserve">التاريخ</w:t>
            </w:r>
          </w:p>
        </w:tc>
        <w:tc>
          <w:tcPr>
            <w:tcW w:type="dxa" w:w="1349"/>
            <w:tcBorders>
              <w:top w:val="single" w:color="D5DBE3" w:sz="4"/>
              <w:left w:val="none" w:color="FFFFFF" w:sz="0"/>
              <w:bottom w:val="single" w:color="D5DBE3" w:sz="4"/>
              <w:right w:val="none" w:color="FFFFFF" w:sz="0"/>
            </w:tcBorders>
            <w:shd w:fill="0B1F3F" w:color="auto" w:val="clear"/>
            <w:tcMar>
              <w:top w:type="dxa" w:w="60"/>
              <w:left w:type="dxa" w:w="90"/>
              <w:bottom w:type="dxa" w:w="60"/>
              <w:right w:type="dxa" w:w="90"/>
            </w:tcMar>
          </w:tcPr>
          <w:p>
            <w:pPr>
              <w:bidi/>
              <w:spacing w:after="0" w:line="255"/>
              <w:jc w:val="right"/>
            </w:pPr>
            <w:r>
              <w:rPr>
                <w:rFonts w:ascii="Arial" w:cs="Arial" w:eastAsia="Arial" w:hAnsi="Arial"/>
                <w:b/>
                <w:bCs/>
                <w:color w:val="FFFFFF"/>
                <w:sz w:val="18"/>
                <w:szCs w:val="18"/>
                <w:rtl/>
              </w:rPr>
              <w:t xml:space="preserve">النسخة (الالتزام)</w:t>
            </w:r>
          </w:p>
        </w:tc>
        <w:tc>
          <w:tcPr>
            <w:tcW w:type="dxa" w:w="1060"/>
            <w:tcBorders>
              <w:top w:val="single" w:color="D5DBE3" w:sz="4"/>
              <w:left w:val="none" w:color="FFFFFF" w:sz="0"/>
              <w:bottom w:val="single" w:color="D5DBE3" w:sz="4"/>
              <w:right w:val="none" w:color="FFFFFF" w:sz="0"/>
            </w:tcBorders>
            <w:shd w:fill="0B1F3F" w:color="auto" w:val="clear"/>
            <w:tcMar>
              <w:top w:type="dxa" w:w="60"/>
              <w:left w:type="dxa" w:w="90"/>
              <w:bottom w:type="dxa" w:w="60"/>
              <w:right w:type="dxa" w:w="90"/>
            </w:tcMar>
          </w:tcPr>
          <w:p>
            <w:pPr>
              <w:bidi/>
              <w:spacing w:after="0" w:line="255"/>
              <w:jc w:val="right"/>
            </w:pPr>
            <w:r>
              <w:rPr>
                <w:rFonts w:ascii="Arial" w:cs="Arial" w:eastAsia="Arial" w:hAnsi="Arial"/>
                <w:b/>
                <w:bCs/>
                <w:color w:val="FFFFFF"/>
                <w:sz w:val="18"/>
                <w:szCs w:val="18"/>
                <w:rtl/>
              </w:rPr>
              <w:t xml:space="preserve">البيئة</w:t>
            </w:r>
          </w:p>
        </w:tc>
        <w:tc>
          <w:tcPr>
            <w:tcW w:type="dxa" w:w="1253"/>
            <w:tcBorders>
              <w:top w:val="single" w:color="D5DBE3" w:sz="4"/>
              <w:left w:val="none" w:color="FFFFFF" w:sz="0"/>
              <w:bottom w:val="single" w:color="D5DBE3" w:sz="4"/>
              <w:right w:val="none" w:color="FFFFFF" w:sz="0"/>
            </w:tcBorders>
            <w:shd w:fill="0B1F3F" w:color="auto" w:val="clear"/>
            <w:tcMar>
              <w:top w:type="dxa" w:w="60"/>
              <w:left w:type="dxa" w:w="90"/>
              <w:bottom w:type="dxa" w:w="60"/>
              <w:right w:type="dxa" w:w="90"/>
            </w:tcMar>
          </w:tcPr>
          <w:p>
            <w:pPr>
              <w:bidi/>
              <w:spacing w:after="0" w:line="255"/>
              <w:jc w:val="right"/>
            </w:pPr>
            <w:r>
              <w:rPr>
                <w:rFonts w:ascii="Arial" w:cs="Arial" w:eastAsia="Arial" w:hAnsi="Arial"/>
                <w:b/>
                <w:bCs/>
                <w:color w:val="FFFFFF"/>
                <w:sz w:val="18"/>
                <w:szCs w:val="18"/>
                <w:rtl/>
              </w:rPr>
              <w:t xml:space="preserve">المختبِر</w:t>
            </w:r>
          </w:p>
        </w:tc>
        <w:tc>
          <w:tcPr>
            <w:tcW w:type="dxa" w:w="964"/>
            <w:tcBorders>
              <w:top w:val="single" w:color="D5DBE3" w:sz="4"/>
              <w:left w:val="none" w:color="FFFFFF" w:sz="0"/>
              <w:bottom w:val="single" w:color="D5DBE3" w:sz="4"/>
              <w:right w:val="none" w:color="FFFFFF" w:sz="0"/>
            </w:tcBorders>
            <w:shd w:fill="0B1F3F" w:color="auto" w:val="clear"/>
            <w:tcMar>
              <w:top w:type="dxa" w:w="60"/>
              <w:left w:type="dxa" w:w="90"/>
              <w:bottom w:type="dxa" w:w="60"/>
              <w:right w:type="dxa" w:w="90"/>
            </w:tcMar>
          </w:tcPr>
          <w:p>
            <w:pPr>
              <w:bidi/>
              <w:spacing w:after="0" w:line="255"/>
              <w:jc w:val="right"/>
            </w:pPr>
            <w:r>
              <w:rPr>
                <w:rFonts w:ascii="Arial" w:cs="Arial" w:eastAsia="Arial" w:hAnsi="Arial"/>
                <w:b/>
                <w:bCs/>
                <w:color w:val="FFFFFF"/>
                <w:sz w:val="18"/>
                <w:szCs w:val="18"/>
                <w:rtl/>
              </w:rPr>
              <w:t xml:space="preserve">النتيجة</w:t>
            </w:r>
          </w:p>
        </w:tc>
        <w:tc>
          <w:tcPr>
            <w:tcW w:type="dxa" w:w="964"/>
            <w:tcBorders>
              <w:top w:val="single" w:color="D5DBE3" w:sz="4"/>
              <w:left w:val="none" w:color="FFFFFF" w:sz="0"/>
              <w:bottom w:val="single" w:color="D5DBE3" w:sz="4"/>
              <w:right w:val="none" w:color="FFFFFF" w:sz="0"/>
            </w:tcBorders>
            <w:shd w:fill="0B1F3F" w:color="auto" w:val="clear"/>
            <w:tcMar>
              <w:top w:type="dxa" w:w="60"/>
              <w:left w:type="dxa" w:w="90"/>
              <w:bottom w:type="dxa" w:w="60"/>
              <w:right w:type="dxa" w:w="90"/>
            </w:tcMar>
          </w:tcPr>
          <w:p>
            <w:pPr>
              <w:bidi/>
              <w:spacing w:after="0" w:line="255"/>
              <w:jc w:val="right"/>
            </w:pPr>
            <w:r>
              <w:rPr>
                <w:rFonts w:ascii="Arial" w:cs="Arial" w:eastAsia="Arial" w:hAnsi="Arial"/>
                <w:b/>
                <w:bCs/>
                <w:color w:val="FFFFFF"/>
                <w:sz w:val="18"/>
                <w:szCs w:val="18"/>
                <w:rtl/>
              </w:rPr>
              <w:t xml:space="preserve">رقم العيب</w:t>
            </w:r>
          </w:p>
        </w:tc>
        <w:tc>
          <w:tcPr>
            <w:tcW w:type="dxa" w:w="2024"/>
            <w:tcBorders>
              <w:top w:val="single" w:color="D5DBE3" w:sz="4"/>
              <w:left w:val="none" w:color="FFFFFF" w:sz="0"/>
              <w:bottom w:val="single" w:color="D5DBE3" w:sz="4"/>
              <w:right w:val="none" w:color="FFFFFF" w:sz="0"/>
            </w:tcBorders>
            <w:shd w:fill="0B1F3F" w:color="auto" w:val="clear"/>
            <w:tcMar>
              <w:top w:type="dxa" w:w="60"/>
              <w:left w:type="dxa" w:w="90"/>
              <w:bottom w:type="dxa" w:w="60"/>
              <w:right w:type="dxa" w:w="90"/>
            </w:tcMar>
          </w:tcPr>
          <w:p>
            <w:pPr>
              <w:bidi/>
              <w:spacing w:after="0" w:line="255"/>
              <w:jc w:val="right"/>
            </w:pPr>
            <w:r>
              <w:rPr>
                <w:rFonts w:ascii="Arial" w:cs="Arial" w:eastAsia="Arial" w:hAnsi="Arial"/>
                <w:b/>
                <w:bCs/>
                <w:color w:val="FFFFFF"/>
                <w:sz w:val="18"/>
                <w:szCs w:val="18"/>
                <w:rtl/>
              </w:rPr>
              <w:t xml:space="preserve">ملاحظات</w:t>
            </w:r>
          </w:p>
        </w:tc>
      </w:tr>
      <w:tr>
        <w:trPr>
          <w:cantSplit/>
        </w:trPr>
        <w:tc>
          <w:tcPr>
            <w:tcW w:type="dxa" w:w="106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
            </w:r>
          </w:p>
        </w:tc>
        <w:tc>
          <w:tcPr>
            <w:tcW w:type="dxa" w:w="964"/>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
            </w:r>
          </w:p>
        </w:tc>
        <w:tc>
          <w:tcPr>
            <w:tcW w:type="dxa" w:w="1349"/>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
            </w:r>
          </w:p>
        </w:tc>
        <w:tc>
          <w:tcPr>
            <w:tcW w:type="dxa" w:w="106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
            </w:r>
          </w:p>
        </w:tc>
        <w:tc>
          <w:tcPr>
            <w:tcW w:type="dxa" w:w="1253"/>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
            </w:r>
          </w:p>
        </w:tc>
        <w:tc>
          <w:tcPr>
            <w:tcW w:type="dxa" w:w="964"/>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
            </w:r>
          </w:p>
        </w:tc>
        <w:tc>
          <w:tcPr>
            <w:tcW w:type="dxa" w:w="964"/>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
            </w:r>
          </w:p>
        </w:tc>
        <w:tc>
          <w:tcPr>
            <w:tcW w:type="dxa" w:w="2024"/>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
            </w:r>
          </w:p>
        </w:tc>
      </w:tr>
      <w:tr>
        <w:trPr>
          <w:cantSplit/>
        </w:trPr>
        <w:tc>
          <w:tcPr>
            <w:tcW w:type="dxa" w:w="1060"/>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
            </w:r>
          </w:p>
        </w:tc>
        <w:tc>
          <w:tcPr>
            <w:tcW w:type="dxa" w:w="964"/>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
            </w:r>
          </w:p>
        </w:tc>
        <w:tc>
          <w:tcPr>
            <w:tcW w:type="dxa" w:w="1349"/>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
            </w:r>
          </w:p>
        </w:tc>
        <w:tc>
          <w:tcPr>
            <w:tcW w:type="dxa" w:w="1060"/>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
            </w:r>
          </w:p>
        </w:tc>
        <w:tc>
          <w:tcPr>
            <w:tcW w:type="dxa" w:w="1253"/>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
            </w:r>
          </w:p>
        </w:tc>
        <w:tc>
          <w:tcPr>
            <w:tcW w:type="dxa" w:w="964"/>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
            </w:r>
          </w:p>
        </w:tc>
        <w:tc>
          <w:tcPr>
            <w:tcW w:type="dxa" w:w="964"/>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
            </w:r>
          </w:p>
        </w:tc>
        <w:tc>
          <w:tcPr>
            <w:tcW w:type="dxa" w:w="2024"/>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
            </w:r>
          </w:p>
        </w:tc>
      </w:tr>
      <w:tr>
        <w:trPr>
          <w:cantSplit/>
        </w:trPr>
        <w:tc>
          <w:tcPr>
            <w:tcW w:type="dxa" w:w="106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
            </w:r>
          </w:p>
        </w:tc>
        <w:tc>
          <w:tcPr>
            <w:tcW w:type="dxa" w:w="964"/>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
            </w:r>
          </w:p>
        </w:tc>
        <w:tc>
          <w:tcPr>
            <w:tcW w:type="dxa" w:w="1349"/>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
            </w:r>
          </w:p>
        </w:tc>
        <w:tc>
          <w:tcPr>
            <w:tcW w:type="dxa" w:w="106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
            </w:r>
          </w:p>
        </w:tc>
        <w:tc>
          <w:tcPr>
            <w:tcW w:type="dxa" w:w="1253"/>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
            </w:r>
          </w:p>
        </w:tc>
        <w:tc>
          <w:tcPr>
            <w:tcW w:type="dxa" w:w="964"/>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
            </w:r>
          </w:p>
        </w:tc>
        <w:tc>
          <w:tcPr>
            <w:tcW w:type="dxa" w:w="964"/>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
            </w:r>
          </w:p>
        </w:tc>
        <w:tc>
          <w:tcPr>
            <w:tcW w:type="dxa" w:w="2024"/>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
            </w:r>
          </w:p>
        </w:tc>
      </w:tr>
      <w:tr>
        <w:trPr>
          <w:cantSplit/>
        </w:trPr>
        <w:tc>
          <w:tcPr>
            <w:tcW w:type="dxa" w:w="1060"/>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
            </w:r>
          </w:p>
        </w:tc>
        <w:tc>
          <w:tcPr>
            <w:tcW w:type="dxa" w:w="964"/>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
            </w:r>
          </w:p>
        </w:tc>
        <w:tc>
          <w:tcPr>
            <w:tcW w:type="dxa" w:w="1349"/>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
            </w:r>
          </w:p>
        </w:tc>
        <w:tc>
          <w:tcPr>
            <w:tcW w:type="dxa" w:w="1060"/>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
            </w:r>
          </w:p>
        </w:tc>
        <w:tc>
          <w:tcPr>
            <w:tcW w:type="dxa" w:w="1253"/>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
            </w:r>
          </w:p>
        </w:tc>
        <w:tc>
          <w:tcPr>
            <w:tcW w:type="dxa" w:w="964"/>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
            </w:r>
          </w:p>
        </w:tc>
        <w:tc>
          <w:tcPr>
            <w:tcW w:type="dxa" w:w="964"/>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
            </w:r>
          </w:p>
        </w:tc>
        <w:tc>
          <w:tcPr>
            <w:tcW w:type="dxa" w:w="2024"/>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
            </w:r>
          </w:p>
        </w:tc>
      </w:tr>
      <w:tr>
        <w:trPr>
          <w:cantSplit/>
        </w:trPr>
        <w:tc>
          <w:tcPr>
            <w:tcW w:type="dxa" w:w="106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
            </w:r>
          </w:p>
        </w:tc>
        <w:tc>
          <w:tcPr>
            <w:tcW w:type="dxa" w:w="964"/>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
            </w:r>
          </w:p>
        </w:tc>
        <w:tc>
          <w:tcPr>
            <w:tcW w:type="dxa" w:w="1349"/>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
            </w:r>
          </w:p>
        </w:tc>
        <w:tc>
          <w:tcPr>
            <w:tcW w:type="dxa" w:w="106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
            </w:r>
          </w:p>
        </w:tc>
        <w:tc>
          <w:tcPr>
            <w:tcW w:type="dxa" w:w="1253"/>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
            </w:r>
          </w:p>
        </w:tc>
        <w:tc>
          <w:tcPr>
            <w:tcW w:type="dxa" w:w="964"/>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
            </w:r>
          </w:p>
        </w:tc>
        <w:tc>
          <w:tcPr>
            <w:tcW w:type="dxa" w:w="964"/>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
            </w:r>
          </w:p>
        </w:tc>
        <w:tc>
          <w:tcPr>
            <w:tcW w:type="dxa" w:w="2024"/>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
            </w:r>
          </w:p>
        </w:tc>
      </w:tr>
      <w:tr>
        <w:trPr>
          <w:cantSplit/>
        </w:trPr>
        <w:tc>
          <w:tcPr>
            <w:tcW w:type="dxa" w:w="1060"/>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
            </w:r>
          </w:p>
        </w:tc>
        <w:tc>
          <w:tcPr>
            <w:tcW w:type="dxa" w:w="964"/>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
            </w:r>
          </w:p>
        </w:tc>
        <w:tc>
          <w:tcPr>
            <w:tcW w:type="dxa" w:w="1349"/>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
            </w:r>
          </w:p>
        </w:tc>
        <w:tc>
          <w:tcPr>
            <w:tcW w:type="dxa" w:w="1060"/>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
            </w:r>
          </w:p>
        </w:tc>
        <w:tc>
          <w:tcPr>
            <w:tcW w:type="dxa" w:w="1253"/>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
            </w:r>
          </w:p>
        </w:tc>
        <w:tc>
          <w:tcPr>
            <w:tcW w:type="dxa" w:w="964"/>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
            </w:r>
          </w:p>
        </w:tc>
        <w:tc>
          <w:tcPr>
            <w:tcW w:type="dxa" w:w="964"/>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
            </w:r>
          </w:p>
        </w:tc>
        <w:tc>
          <w:tcPr>
            <w:tcW w:type="dxa" w:w="2024"/>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
            </w:r>
          </w:p>
        </w:tc>
      </w:tr>
      <w:tr>
        <w:trPr>
          <w:cantSplit/>
        </w:trPr>
        <w:tc>
          <w:tcPr>
            <w:tcW w:type="dxa" w:w="106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
            </w:r>
          </w:p>
        </w:tc>
        <w:tc>
          <w:tcPr>
            <w:tcW w:type="dxa" w:w="964"/>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
            </w:r>
          </w:p>
        </w:tc>
        <w:tc>
          <w:tcPr>
            <w:tcW w:type="dxa" w:w="1349"/>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
            </w:r>
          </w:p>
        </w:tc>
        <w:tc>
          <w:tcPr>
            <w:tcW w:type="dxa" w:w="106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
            </w:r>
          </w:p>
        </w:tc>
        <w:tc>
          <w:tcPr>
            <w:tcW w:type="dxa" w:w="1253"/>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
            </w:r>
          </w:p>
        </w:tc>
        <w:tc>
          <w:tcPr>
            <w:tcW w:type="dxa" w:w="964"/>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
            </w:r>
          </w:p>
        </w:tc>
        <w:tc>
          <w:tcPr>
            <w:tcW w:type="dxa" w:w="964"/>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
            </w:r>
          </w:p>
        </w:tc>
        <w:tc>
          <w:tcPr>
            <w:tcW w:type="dxa" w:w="2024"/>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
            </w:r>
          </w:p>
        </w:tc>
      </w:tr>
      <w:tr>
        <w:trPr>
          <w:cantSplit/>
        </w:trPr>
        <w:tc>
          <w:tcPr>
            <w:tcW w:type="dxa" w:w="1060"/>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
            </w:r>
          </w:p>
        </w:tc>
        <w:tc>
          <w:tcPr>
            <w:tcW w:type="dxa" w:w="964"/>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
            </w:r>
          </w:p>
        </w:tc>
        <w:tc>
          <w:tcPr>
            <w:tcW w:type="dxa" w:w="1349"/>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
            </w:r>
          </w:p>
        </w:tc>
        <w:tc>
          <w:tcPr>
            <w:tcW w:type="dxa" w:w="1060"/>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
            </w:r>
          </w:p>
        </w:tc>
        <w:tc>
          <w:tcPr>
            <w:tcW w:type="dxa" w:w="1253"/>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
            </w:r>
          </w:p>
        </w:tc>
        <w:tc>
          <w:tcPr>
            <w:tcW w:type="dxa" w:w="964"/>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
            </w:r>
          </w:p>
        </w:tc>
        <w:tc>
          <w:tcPr>
            <w:tcW w:type="dxa" w:w="964"/>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
            </w:r>
          </w:p>
        </w:tc>
        <w:tc>
          <w:tcPr>
            <w:tcW w:type="dxa" w:w="2024"/>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
            </w:r>
          </w:p>
        </w:tc>
      </w:tr>
      <w:tr>
        <w:trPr>
          <w:cantSplit/>
        </w:trPr>
        <w:tc>
          <w:tcPr>
            <w:tcW w:type="dxa" w:w="106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
            </w:r>
          </w:p>
        </w:tc>
        <w:tc>
          <w:tcPr>
            <w:tcW w:type="dxa" w:w="964"/>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
            </w:r>
          </w:p>
        </w:tc>
        <w:tc>
          <w:tcPr>
            <w:tcW w:type="dxa" w:w="1349"/>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
            </w:r>
          </w:p>
        </w:tc>
        <w:tc>
          <w:tcPr>
            <w:tcW w:type="dxa" w:w="106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
            </w:r>
          </w:p>
        </w:tc>
        <w:tc>
          <w:tcPr>
            <w:tcW w:type="dxa" w:w="1253"/>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
            </w:r>
          </w:p>
        </w:tc>
        <w:tc>
          <w:tcPr>
            <w:tcW w:type="dxa" w:w="964"/>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
            </w:r>
          </w:p>
        </w:tc>
        <w:tc>
          <w:tcPr>
            <w:tcW w:type="dxa" w:w="964"/>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
            </w:r>
          </w:p>
        </w:tc>
        <w:tc>
          <w:tcPr>
            <w:tcW w:type="dxa" w:w="2024"/>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
            </w:r>
          </w:p>
        </w:tc>
      </w:tr>
      <w:tr>
        <w:trPr>
          <w:cantSplit/>
        </w:trPr>
        <w:tc>
          <w:tcPr>
            <w:tcW w:type="dxa" w:w="1060"/>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
            </w:r>
          </w:p>
        </w:tc>
        <w:tc>
          <w:tcPr>
            <w:tcW w:type="dxa" w:w="964"/>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
            </w:r>
          </w:p>
        </w:tc>
        <w:tc>
          <w:tcPr>
            <w:tcW w:type="dxa" w:w="1349"/>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
            </w:r>
          </w:p>
        </w:tc>
        <w:tc>
          <w:tcPr>
            <w:tcW w:type="dxa" w:w="1060"/>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
            </w:r>
          </w:p>
        </w:tc>
        <w:tc>
          <w:tcPr>
            <w:tcW w:type="dxa" w:w="1253"/>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
            </w:r>
          </w:p>
        </w:tc>
        <w:tc>
          <w:tcPr>
            <w:tcW w:type="dxa" w:w="964"/>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
            </w:r>
          </w:p>
        </w:tc>
        <w:tc>
          <w:tcPr>
            <w:tcW w:type="dxa" w:w="964"/>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
            </w:r>
          </w:p>
        </w:tc>
        <w:tc>
          <w:tcPr>
            <w:tcW w:type="dxa" w:w="2024"/>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
            </w:r>
          </w:p>
        </w:tc>
      </w:tr>
      <w:tr>
        <w:trPr>
          <w:cantSplit/>
        </w:trPr>
        <w:tc>
          <w:tcPr>
            <w:tcW w:type="dxa" w:w="106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
            </w:r>
          </w:p>
        </w:tc>
        <w:tc>
          <w:tcPr>
            <w:tcW w:type="dxa" w:w="964"/>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
            </w:r>
          </w:p>
        </w:tc>
        <w:tc>
          <w:tcPr>
            <w:tcW w:type="dxa" w:w="1349"/>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
            </w:r>
          </w:p>
        </w:tc>
        <w:tc>
          <w:tcPr>
            <w:tcW w:type="dxa" w:w="106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
            </w:r>
          </w:p>
        </w:tc>
        <w:tc>
          <w:tcPr>
            <w:tcW w:type="dxa" w:w="1253"/>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
            </w:r>
          </w:p>
        </w:tc>
        <w:tc>
          <w:tcPr>
            <w:tcW w:type="dxa" w:w="964"/>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
            </w:r>
          </w:p>
        </w:tc>
        <w:tc>
          <w:tcPr>
            <w:tcW w:type="dxa" w:w="964"/>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
            </w:r>
          </w:p>
        </w:tc>
        <w:tc>
          <w:tcPr>
            <w:tcW w:type="dxa" w:w="2024"/>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
            </w:r>
          </w:p>
        </w:tc>
      </w:tr>
      <w:tr>
        <w:trPr>
          <w:cantSplit/>
        </w:trPr>
        <w:tc>
          <w:tcPr>
            <w:tcW w:type="dxa" w:w="1060"/>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
            </w:r>
          </w:p>
        </w:tc>
        <w:tc>
          <w:tcPr>
            <w:tcW w:type="dxa" w:w="964"/>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
            </w:r>
          </w:p>
        </w:tc>
        <w:tc>
          <w:tcPr>
            <w:tcW w:type="dxa" w:w="1349"/>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
            </w:r>
          </w:p>
        </w:tc>
        <w:tc>
          <w:tcPr>
            <w:tcW w:type="dxa" w:w="1060"/>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
            </w:r>
          </w:p>
        </w:tc>
        <w:tc>
          <w:tcPr>
            <w:tcW w:type="dxa" w:w="1253"/>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
            </w:r>
          </w:p>
        </w:tc>
        <w:tc>
          <w:tcPr>
            <w:tcW w:type="dxa" w:w="964"/>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
            </w:r>
          </w:p>
        </w:tc>
        <w:tc>
          <w:tcPr>
            <w:tcW w:type="dxa" w:w="964"/>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
            </w:r>
          </w:p>
        </w:tc>
        <w:tc>
          <w:tcPr>
            <w:tcW w:type="dxa" w:w="2024"/>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
            </w:r>
          </w:p>
        </w:tc>
      </w:tr>
      <w:tr>
        <w:trPr>
          <w:cantSplit/>
        </w:trPr>
        <w:tc>
          <w:tcPr>
            <w:tcW w:type="dxa" w:w="106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
            </w:r>
          </w:p>
        </w:tc>
        <w:tc>
          <w:tcPr>
            <w:tcW w:type="dxa" w:w="964"/>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
            </w:r>
          </w:p>
        </w:tc>
        <w:tc>
          <w:tcPr>
            <w:tcW w:type="dxa" w:w="1349"/>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
            </w:r>
          </w:p>
        </w:tc>
        <w:tc>
          <w:tcPr>
            <w:tcW w:type="dxa" w:w="106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
            </w:r>
          </w:p>
        </w:tc>
        <w:tc>
          <w:tcPr>
            <w:tcW w:type="dxa" w:w="1253"/>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
            </w:r>
          </w:p>
        </w:tc>
        <w:tc>
          <w:tcPr>
            <w:tcW w:type="dxa" w:w="964"/>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
            </w:r>
          </w:p>
        </w:tc>
        <w:tc>
          <w:tcPr>
            <w:tcW w:type="dxa" w:w="964"/>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
            </w:r>
          </w:p>
        </w:tc>
        <w:tc>
          <w:tcPr>
            <w:tcW w:type="dxa" w:w="2024"/>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
            </w:r>
          </w:p>
        </w:tc>
      </w:tr>
      <w:tr>
        <w:trPr>
          <w:cantSplit/>
        </w:trPr>
        <w:tc>
          <w:tcPr>
            <w:tcW w:type="dxa" w:w="1060"/>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
            </w:r>
          </w:p>
        </w:tc>
        <w:tc>
          <w:tcPr>
            <w:tcW w:type="dxa" w:w="964"/>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
            </w:r>
          </w:p>
        </w:tc>
        <w:tc>
          <w:tcPr>
            <w:tcW w:type="dxa" w:w="1349"/>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
            </w:r>
          </w:p>
        </w:tc>
        <w:tc>
          <w:tcPr>
            <w:tcW w:type="dxa" w:w="1060"/>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
            </w:r>
          </w:p>
        </w:tc>
        <w:tc>
          <w:tcPr>
            <w:tcW w:type="dxa" w:w="1253"/>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
            </w:r>
          </w:p>
        </w:tc>
        <w:tc>
          <w:tcPr>
            <w:tcW w:type="dxa" w:w="964"/>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
            </w:r>
          </w:p>
        </w:tc>
        <w:tc>
          <w:tcPr>
            <w:tcW w:type="dxa" w:w="964"/>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
            </w:r>
          </w:p>
        </w:tc>
        <w:tc>
          <w:tcPr>
            <w:tcW w:type="dxa" w:w="2024"/>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
            </w:r>
          </w:p>
        </w:tc>
      </w:tr>
    </w:tbl>
    <w:p>
      <w:pPr>
        <w:bidi/>
        <w:spacing w:after="120" w:line="300"/>
        <w:jc w:val="right"/>
      </w:pPr>
      <w:r>
        <w:rPr>
          <w:rFonts w:ascii="Arial" w:cs="Arial" w:eastAsia="Arial" w:hAnsi="Arial"/>
          <w:color w:val="0F1B2D"/>
          <w:sz w:val="21"/>
          <w:szCs w:val="21"/>
          <w:rtl/>
        </w:rPr>
        <w:t xml:space="preserve"/>
      </w:r>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91"/>
        <w:gridCol w:w="2891"/>
        <w:gridCol w:w="1928"/>
        <w:gridCol w:w="1928"/>
      </w:tblGrid>
      <w:tr>
        <w:trPr>
          <w:tblHeader/>
        </w:trPr>
        <w:tc>
          <w:tcPr>
            <w:tcW w:type="dxa" w:w="2891"/>
            <w:tcBorders>
              <w:top w:val="single" w:color="D5DBE3" w:sz="4"/>
              <w:left w:val="none" w:color="FFFFFF" w:sz="0"/>
              <w:bottom w:val="single" w:color="D5DBE3" w:sz="4"/>
              <w:right w:val="none" w:color="FFFFFF" w:sz="0"/>
            </w:tcBorders>
            <w:shd w:fill="0B1F3F" w:color="auto" w:val="clear"/>
            <w:tcMar>
              <w:top w:type="dxa" w:w="60"/>
              <w:left w:type="dxa" w:w="90"/>
              <w:bottom w:type="dxa" w:w="60"/>
              <w:right w:type="dxa" w:w="90"/>
            </w:tcMar>
          </w:tcPr>
          <w:p>
            <w:pPr>
              <w:bidi/>
              <w:spacing w:after="0" w:line="255"/>
              <w:jc w:val="right"/>
            </w:pPr>
            <w:r>
              <w:rPr>
                <w:rFonts w:ascii="Arial" w:cs="Arial" w:eastAsia="Arial" w:hAnsi="Arial"/>
                <w:b/>
                <w:bCs/>
                <w:color w:val="FFFFFF"/>
                <w:sz w:val="18"/>
                <w:szCs w:val="18"/>
                <w:rtl/>
              </w:rPr>
              <w:t xml:space="preserve">الاعتماد</w:t>
            </w:r>
          </w:p>
        </w:tc>
        <w:tc>
          <w:tcPr>
            <w:tcW w:type="dxa" w:w="2891"/>
            <w:tcBorders>
              <w:top w:val="single" w:color="D5DBE3" w:sz="4"/>
              <w:left w:val="none" w:color="FFFFFF" w:sz="0"/>
              <w:bottom w:val="single" w:color="D5DBE3" w:sz="4"/>
              <w:right w:val="none" w:color="FFFFFF" w:sz="0"/>
            </w:tcBorders>
            <w:shd w:fill="0B1F3F" w:color="auto" w:val="clear"/>
            <w:tcMar>
              <w:top w:type="dxa" w:w="60"/>
              <w:left w:type="dxa" w:w="90"/>
              <w:bottom w:type="dxa" w:w="60"/>
              <w:right w:type="dxa" w:w="90"/>
            </w:tcMar>
          </w:tcPr>
          <w:p>
            <w:pPr>
              <w:bidi/>
              <w:spacing w:after="0" w:line="255"/>
              <w:jc w:val="right"/>
            </w:pPr>
            <w:r>
              <w:rPr>
                <w:rFonts w:ascii="Arial" w:cs="Arial" w:eastAsia="Arial" w:hAnsi="Arial"/>
                <w:b/>
                <w:bCs/>
                <w:color w:val="FFFFFF"/>
                <w:sz w:val="18"/>
                <w:szCs w:val="18"/>
                <w:rtl/>
              </w:rPr>
              <w:t xml:space="preserve">الاسم</w:t>
            </w:r>
          </w:p>
        </w:tc>
        <w:tc>
          <w:tcPr>
            <w:tcW w:type="dxa" w:w="1928"/>
            <w:tcBorders>
              <w:top w:val="single" w:color="D5DBE3" w:sz="4"/>
              <w:left w:val="none" w:color="FFFFFF" w:sz="0"/>
              <w:bottom w:val="single" w:color="D5DBE3" w:sz="4"/>
              <w:right w:val="none" w:color="FFFFFF" w:sz="0"/>
            </w:tcBorders>
            <w:shd w:fill="0B1F3F" w:color="auto" w:val="clear"/>
            <w:tcMar>
              <w:top w:type="dxa" w:w="60"/>
              <w:left w:type="dxa" w:w="90"/>
              <w:bottom w:type="dxa" w:w="60"/>
              <w:right w:type="dxa" w:w="90"/>
            </w:tcMar>
          </w:tcPr>
          <w:p>
            <w:pPr>
              <w:bidi/>
              <w:spacing w:after="0" w:line="255"/>
              <w:jc w:val="right"/>
            </w:pPr>
            <w:r>
              <w:rPr>
                <w:rFonts w:ascii="Arial" w:cs="Arial" w:eastAsia="Arial" w:hAnsi="Arial"/>
                <w:b/>
                <w:bCs/>
                <w:color w:val="FFFFFF"/>
                <w:sz w:val="18"/>
                <w:szCs w:val="18"/>
                <w:rtl/>
              </w:rPr>
              <w:t xml:space="preserve">التوقيع</w:t>
            </w:r>
          </w:p>
        </w:tc>
        <w:tc>
          <w:tcPr>
            <w:tcW w:type="dxa" w:w="1928"/>
            <w:tcBorders>
              <w:top w:val="single" w:color="D5DBE3" w:sz="4"/>
              <w:left w:val="none" w:color="FFFFFF" w:sz="0"/>
              <w:bottom w:val="single" w:color="D5DBE3" w:sz="4"/>
              <w:right w:val="none" w:color="FFFFFF" w:sz="0"/>
            </w:tcBorders>
            <w:shd w:fill="0B1F3F" w:color="auto" w:val="clear"/>
            <w:tcMar>
              <w:top w:type="dxa" w:w="60"/>
              <w:left w:type="dxa" w:w="90"/>
              <w:bottom w:type="dxa" w:w="60"/>
              <w:right w:type="dxa" w:w="90"/>
            </w:tcMar>
          </w:tcPr>
          <w:p>
            <w:pPr>
              <w:bidi/>
              <w:spacing w:after="0" w:line="255"/>
              <w:jc w:val="right"/>
            </w:pPr>
            <w:r>
              <w:rPr>
                <w:rFonts w:ascii="Arial" w:cs="Arial" w:eastAsia="Arial" w:hAnsi="Arial"/>
                <w:b/>
                <w:bCs/>
                <w:color w:val="FFFFFF"/>
                <w:sz w:val="18"/>
                <w:szCs w:val="18"/>
                <w:rtl/>
              </w:rPr>
              <w:t xml:space="preserve">التاريخ</w:t>
            </w:r>
          </w:p>
        </w:tc>
      </w:tr>
      <w:tr>
        <w:trPr>
          <w:cantSplit/>
        </w:trPr>
        <w:tc>
          <w:tcPr>
            <w:tcW w:type="dxa" w:w="2891"/>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7"/>
                <w:szCs w:val="17"/>
                <w:rtl/>
              </w:rPr>
              <w:t xml:space="preserve">مالك المنصة</w:t>
            </w:r>
          </w:p>
        </w:tc>
        <w:tc>
          <w:tcPr>
            <w:tcW w:type="dxa" w:w="2891"/>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7"/>
                <w:szCs w:val="17"/>
                <w:rtl/>
              </w:rPr>
              <w:t xml:space="preserve"/>
            </w:r>
          </w:p>
        </w:tc>
        <w:tc>
          <w:tcPr>
            <w:tcW w:type="dxa" w:w="1928"/>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7"/>
                <w:szCs w:val="17"/>
                <w:rtl/>
              </w:rPr>
              <w:t xml:space="preserve"/>
            </w:r>
          </w:p>
        </w:tc>
        <w:tc>
          <w:tcPr>
            <w:tcW w:type="dxa" w:w="1928"/>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7"/>
                <w:szCs w:val="17"/>
                <w:rtl/>
              </w:rPr>
              <w:t xml:space="preserve"/>
            </w:r>
          </w:p>
        </w:tc>
      </w:tr>
      <w:tr>
        <w:trPr>
          <w:cantSplit/>
        </w:trPr>
        <w:tc>
          <w:tcPr>
            <w:tcW w:type="dxa" w:w="2891"/>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7"/>
                <w:szCs w:val="17"/>
                <w:rtl/>
              </w:rPr>
              <w:t xml:space="preserve">مسؤول الأمن</w:t>
            </w:r>
          </w:p>
        </w:tc>
        <w:tc>
          <w:tcPr>
            <w:tcW w:type="dxa" w:w="2891"/>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7"/>
                <w:szCs w:val="17"/>
                <w:rtl/>
              </w:rPr>
              <w:t xml:space="preserve"/>
            </w:r>
          </w:p>
        </w:tc>
        <w:tc>
          <w:tcPr>
            <w:tcW w:type="dxa" w:w="1928"/>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7"/>
                <w:szCs w:val="17"/>
                <w:rtl/>
              </w:rPr>
              <w:t xml:space="preserve"/>
            </w:r>
          </w:p>
        </w:tc>
        <w:tc>
          <w:tcPr>
            <w:tcW w:type="dxa" w:w="1928"/>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7"/>
                <w:szCs w:val="17"/>
                <w:rtl/>
              </w:rPr>
              <w:t xml:space="preserve"/>
            </w:r>
          </w:p>
        </w:tc>
      </w:tr>
      <w:tr>
        <w:trPr>
          <w:cantSplit/>
        </w:trPr>
        <w:tc>
          <w:tcPr>
            <w:tcW w:type="dxa" w:w="2891"/>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7"/>
                <w:szCs w:val="17"/>
                <w:rtl/>
              </w:rPr>
              <w:t xml:space="preserve">مسؤول العمليات</w:t>
            </w:r>
          </w:p>
        </w:tc>
        <w:tc>
          <w:tcPr>
            <w:tcW w:type="dxa" w:w="2891"/>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7"/>
                <w:szCs w:val="17"/>
                <w:rtl/>
              </w:rPr>
              <w:t xml:space="preserve"/>
            </w:r>
          </w:p>
        </w:tc>
        <w:tc>
          <w:tcPr>
            <w:tcW w:type="dxa" w:w="1928"/>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7"/>
                <w:szCs w:val="17"/>
                <w:rtl/>
              </w:rPr>
              <w:t xml:space="preserve"/>
            </w:r>
          </w:p>
        </w:tc>
        <w:tc>
          <w:tcPr>
            <w:tcW w:type="dxa" w:w="1928"/>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7"/>
                <w:szCs w:val="17"/>
                <w:rtl/>
              </w:rPr>
              <w:t xml:space="preserve"/>
            </w:r>
          </w:p>
        </w:tc>
      </w:tr>
      <w:tr>
        <w:trPr>
          <w:cantSplit/>
        </w:trPr>
        <w:tc>
          <w:tcPr>
            <w:tcW w:type="dxa" w:w="2891"/>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7"/>
                <w:szCs w:val="17"/>
                <w:rtl/>
              </w:rPr>
              <w:t xml:space="preserve">ممثل الجهة المختصة</w:t>
            </w:r>
          </w:p>
        </w:tc>
        <w:tc>
          <w:tcPr>
            <w:tcW w:type="dxa" w:w="2891"/>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7"/>
                <w:szCs w:val="17"/>
                <w:rtl/>
              </w:rPr>
              <w:t xml:space="preserve"/>
            </w:r>
          </w:p>
        </w:tc>
        <w:tc>
          <w:tcPr>
            <w:tcW w:type="dxa" w:w="1928"/>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7"/>
                <w:szCs w:val="17"/>
                <w:rtl/>
              </w:rPr>
              <w:t xml:space="preserve"/>
            </w:r>
          </w:p>
        </w:tc>
        <w:tc>
          <w:tcPr>
            <w:tcW w:type="dxa" w:w="1928"/>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7"/>
                <w:szCs w:val="17"/>
                <w:rtl/>
              </w:rPr>
              <w:t xml:space="preserve"/>
            </w:r>
          </w:p>
        </w:tc>
      </w:tr>
    </w:tbl>
    <w:sectPr>
      <w:headerReference w:type="default" r:id="rId7"/>
      <w:footerReference w:type="default" r:id="rId8"/>
      <w:pgSz w:w="11906" w:h="16838" w:orient="portrait"/>
      <w:pgMar w:top="1300" w:right="1134" w:bottom="1200"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4B5565"/>
        <w:sz w:val="16"/>
        <w:szCs w:val="16"/>
        <w:rtl/>
      </w:rPr>
      <w:t xml:space="preserve">صفحة </w:t>
    </w:r>
    <w:r>
      <w:rPr>
        <w:rFonts w:ascii="Arial" w:cs="Arial" w:eastAsia="Arial" w:hAnsi="Arial"/>
        <w:color w:val="4B5565"/>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bidi/>
      <w:spacing w:after="0" w:line="300"/>
      <w:jc w:val="right"/>
    </w:pPr>
    <w:r>
      <w:rPr>
        <w:rFonts w:ascii="Arial" w:cs="Arial" w:eastAsia="Arial" w:hAnsi="Arial"/>
        <w:color w:val="4B5565"/>
        <w:sz w:val="16"/>
        <w:szCs w:val="16"/>
        <w:rtl/>
      </w:rPr>
      <w:t xml:space="preserve">مسلك · خطة الاختبار والقبول · 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right"/>
      <w:pPr>
        <w:ind w:right="360" w:hanging="260"/>
      </w:pPr>
    </w:lvl>
  </w:abstractNum>
  <w:abstractNum w:abstractNumId="3" w15:restartNumberingAfterBreak="0">
    <w:multiLevelType w:val="hybridMultilevel"/>
    <w:lvl w:ilvl="0" w15:tentative="1">
      <w:start w:val="1"/>
      <w:numFmt w:val="decimal"/>
      <w:lvlText w:val="%1."/>
      <w:lvlJc w:val="right"/>
      <w:pPr>
        <w:ind w:right="420" w:hanging="3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مسلك · خطة الاختبار والقبول · 1.0</dc:title>
  <dc:creator>Masslak</dc:creator>
  <cp:lastModifiedBy>Un-named</cp:lastModifiedBy>
  <cp:revision>1</cp:revision>
  <dcterms:created xsi:type="dcterms:W3CDTF">2026-10-12T14:08:02.202Z</dcterms:created>
  <dcterms:modified xsi:type="dcterms:W3CDTF">2026-10-12T14:08:02.202Z</dcterms:modified>
</cp:coreProperties>
</file>

<file path=docProps/custom.xml><?xml version="1.0" encoding="utf-8"?>
<Properties xmlns="http://schemas.openxmlformats.org/officeDocument/2006/custom-properties" xmlns:vt="http://schemas.openxmlformats.org/officeDocument/2006/docPropsVTypes"/>
</file>