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213 tables · 20 schemas · 829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2026-10-18</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213 tables in 20 schemas; 829 foreign keys; 596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213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12</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20</w:t>
            </w:r>
          </w:p>
        </w:tc>
        <w:tc>
          <w:tcPr>
            <w:tcW w:type="dxa" w:w="1701"/>
          </w:tcPr>
          <w:p>
            <w:pPr>
              <w:spacing w:after="0" w:before="0"/>
            </w:pPr>
            <w:r/>
            <w:r>
              <w:rPr>
                <w:rFonts w:ascii="Arial" w:hAnsi="Arial"/>
                <w:b w:val="0"/>
                <w:sz w:val="17"/>
              </w:rPr>
              <w:t>14</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9</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lc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80 diagrams cover 213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43</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24</w:t>
            </w:r>
          </w:p>
        </w:tc>
        <w:tc>
          <w:tcPr>
            <w:tcW w:type="dxa" w:w="2268"/>
          </w:tcPr>
          <w:p>
            <w:pPr>
              <w:spacing w:after="0" w:before="0"/>
            </w:pPr>
            <w:r/>
            <w:r>
              <w:rPr>
                <w:rFonts w:ascii="Arial" w:hAnsi="Arial"/>
                <w:b w:val="0"/>
                <w:sz w:val="17"/>
              </w:rPr>
              <w:t>56</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12</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10265410" cy="6500040"/>
            <wp:docPr id="8" name="Picture 8"/>
            <wp:cNvGraphicFramePr>
              <a:graphicFrameLocks noChangeAspect="1"/>
            </wp:cNvGraphicFramePr>
            <a:graphic>
              <a:graphicData uri="http://schemas.openxmlformats.org/drawingml/2006/picture">
                <pic:pic>
                  <pic:nvPicPr>
                    <pic:cNvPr id="0" name="m0_audit_docs.png"/>
                    <pic:cNvPicPr/>
                  </pic:nvPicPr>
                  <pic:blipFill>
                    <a:blip r:embed="rId18"/>
                    <a:stretch>
                      <a:fillRect/>
                    </a:stretch>
                  </pic:blipFill>
                  <pic:spPr>
                    <a:xfrm>
                      <a:off x="0" y="0"/>
                      <a:ext cx="10265410" cy="6500040"/>
                    </a:xfrm>
                    <a:prstGeom prst="rect"/>
                  </pic:spPr>
                </pic:pic>
              </a:graphicData>
            </a:graphic>
          </wp:inline>
        </w:drawing>
      </w:r>
    </w:p>
    <w:p>
      <w:pPr>
        <w:spacing w:after="120"/>
        <w:jc w:val="center"/>
      </w:pPr>
      <w:r>
        <w:rPr>
          <w:rFonts w:ascii="Arial" w:hAnsi="Arial"/>
          <w:b w:val="0"/>
          <w:i/>
          <w:color w:val="6B7280"/>
          <w:sz w:val="16"/>
        </w:rPr>
        <w:t>Figure 8  Audit trail and documents  ·  5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AuditLogId</w:t>
            </w:r>
          </w:p>
        </w:tc>
        <w:tc>
          <w:tcPr>
            <w:tcW w:type="dxa" w:w="2721"/>
          </w:tcPr>
          <w:p>
            <w:pPr>
              <w:spacing w:after="0" w:before="0"/>
            </w:pPr>
            <w:r/>
            <w:r>
              <w:rPr>
                <w:rFonts w:ascii="Arial" w:hAnsi="Arial"/>
                <w:b w:val="0"/>
                <w:sz w:val="15"/>
              </w:rPr>
              <w:t>aud.AuditLog</w:t>
            </w:r>
          </w:p>
        </w:tc>
        <w:tc>
          <w:tcPr>
            <w:tcW w:type="dxa" w:w="2948"/>
          </w:tcPr>
          <w:p>
            <w:pPr>
              <w:spacing w:after="0" w:before="0"/>
            </w:pPr>
            <w:r/>
            <w:r>
              <w:rPr>
                <w:rFonts w:ascii="Arial" w:hAnsi="Arial"/>
                <w:b w:val="0"/>
                <w:sz w:val="15"/>
              </w:rPr>
              <w:t>AuditLogId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DocumentTypeId</w:t>
            </w:r>
          </w:p>
        </w:tc>
        <w:tc>
          <w:tcPr>
            <w:tcW w:type="dxa" w:w="2721"/>
            <w:shd w:val="clear" w:color="auto" w:fill="E8EEF6"/>
          </w:tcPr>
          <w:p>
            <w:pPr>
              <w:spacing w:after="0" w:before="0"/>
            </w:pPr>
            <w:r/>
            <w:r>
              <w:rPr>
                <w:rFonts w:ascii="Arial" w:hAnsi="Arial"/>
                <w:b w:val="0"/>
                <w:sz w:val="15"/>
              </w:rPr>
              <w:t>cat.DocumentType</w:t>
            </w:r>
          </w:p>
        </w:tc>
        <w:tc>
          <w:tcPr>
            <w:tcW w:type="dxa" w:w="2948"/>
            <w:shd w:val="clear" w:color="auto" w:fill="E8EEF6"/>
          </w:tcPr>
          <w:p>
            <w:pPr>
              <w:spacing w:after="0" w:before="0"/>
            </w:pPr>
            <w:r/>
            <w:r>
              <w:rPr>
                <w:rFonts w:ascii="Arial" w:hAnsi="Arial"/>
                <w:b w:val="0"/>
                <w:sz w:val="15"/>
              </w:rPr>
              <w:t>DocumentTypeId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OwnerCompanyId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 CurrentVersionId</w:t>
            </w:r>
          </w:p>
        </w:tc>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 DocumentVersionId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SupersededByDocumentId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DeletedBy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7835808"/>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5965190" cy="7835808"/>
                    </a:xfrm>
                    <a:prstGeom prst="rect"/>
                  </pic:spPr>
                </pic:pic>
              </a:graphicData>
            </a:graphic>
          </wp:inline>
        </w:drawing>
      </w:r>
    </w:p>
    <w:p>
      <w:pPr>
        <w:spacing w:after="120"/>
        <w:jc w:val="center"/>
      </w:pPr>
      <w:r>
        <w:rPr>
          <w:rFonts w:ascii="Arial" w:hAnsi="Arial"/>
          <w:b w:val="0"/>
          <w:i/>
          <w:color w:val="6B7280"/>
          <w:sz w:val="16"/>
        </w:rPr>
        <w:t>Figure 9  Configuration and background jobs (part 1 of 2)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cfg.ExpiryAlertRuleRole</w:t>
            </w:r>
          </w:p>
        </w:tc>
        <w:tc>
          <w:tcPr>
            <w:tcW w:type="dxa" w:w="6690"/>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2948"/>
            <w:shd w:val="clear" w:color="auto" w:fill="E8EEF6"/>
          </w:tcPr>
          <w:p>
            <w:pPr>
              <w:spacing w:after="0" w:before="0"/>
            </w:pPr>
            <w:r/>
            <w:r>
              <w:rPr>
                <w:rFonts w:ascii="Arial" w:hAnsi="Arial"/>
                <w:b w:val="0"/>
                <w:sz w:val="15"/>
              </w:rPr>
              <w:t>TenantId, ExpiryAlertRuleId, RoleId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cfg.JobDefinition</w:t>
            </w:r>
          </w:p>
        </w:tc>
        <w:tc>
          <w:tcPr>
            <w:tcW w:type="dxa" w:w="6690"/>
          </w:tcPr>
          <w:p>
            <w:pPr>
              <w:spacing w:after="0" w:before="0"/>
            </w:pPr>
            <w:r/>
            <w:r>
              <w:rPr>
                <w:rFonts w:ascii="Arial" w:hAnsi="Arial"/>
                <w:b w:val="0"/>
                <w:sz w:val="15"/>
              </w:rPr>
              <w:t>Background job catalogue: the only JobKey values a job connection may bind with (FR-PLT-044)</w:t>
            </w:r>
          </w:p>
        </w:tc>
        <w:tc>
          <w:tcPr>
            <w:tcW w:type="dxa" w:w="2948"/>
          </w:tcPr>
          <w:p>
            <w:pPr>
              <w:spacing w:after="0" w:before="0"/>
            </w:pPr>
            <w:r/>
            <w:r>
              <w:rPr>
                <w:rFonts w:ascii="Arial" w:hAnsi="Arial"/>
                <w:b w:val="0"/>
                <w:sz w:val="15"/>
              </w:rPr>
              <w:t>JobDefinitionId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cfg.JobRun</w:t>
            </w:r>
          </w:p>
        </w:tc>
        <w:tc>
          <w:tcPr>
            <w:tcW w:type="dxa" w:w="6690"/>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2948"/>
            <w:shd w:val="clear" w:color="auto" w:fill="E8EEF6"/>
          </w:tcPr>
          <w:p>
            <w:pPr>
              <w:spacing w:after="0" w:before="0"/>
            </w:pPr>
            <w:r/>
            <w:r>
              <w:rPr>
                <w:rFonts w:ascii="Arial" w:hAnsi="Arial"/>
                <w:b w:val="0"/>
                <w:sz w:val="15"/>
              </w:rPr>
              <w:t>JobRunId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cfg.NonWorkingDay</w:t>
            </w:r>
          </w:p>
        </w:tc>
        <w:tc>
          <w:tcPr>
            <w:tcW w:type="dxa" w:w="6690"/>
          </w:tcPr>
          <w:p>
            <w:pPr>
              <w:spacing w:after="0" w:before="0"/>
            </w:pPr>
            <w:r/>
            <w:r>
              <w:rPr>
                <w:rFonts w:ascii="Arial" w:hAnsi="Arial"/>
                <w:b w:val="0"/>
                <w:sz w:val="15"/>
              </w:rPr>
              <w:t>Non-working day; NULL TenantId = platform holiday, read-only (FR-PLT-035, BR-PLT-014)</w:t>
            </w:r>
          </w:p>
        </w:tc>
        <w:tc>
          <w:tcPr>
            <w:tcW w:type="dxa" w:w="2948"/>
          </w:tcPr>
          <w:p>
            <w:pPr>
              <w:spacing w:after="0" w:before="0"/>
            </w:pPr>
            <w:r/>
            <w:r>
              <w:rPr>
                <w:rFonts w:ascii="Arial" w:hAnsi="Arial"/>
                <w:b w:val="0"/>
                <w:sz w:val="15"/>
              </w:rPr>
              <w:t>NonWorkingDayId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cfg.ExpiryAlertRuleRole</w:t>
            </w:r>
          </w:p>
        </w:tc>
        <w:tc>
          <w:tcPr>
            <w:tcW w:type="dxa" w:w="2948"/>
          </w:tcPr>
          <w:p>
            <w:pPr>
              <w:spacing w:after="0" w:before="0"/>
            </w:pPr>
            <w:r/>
            <w:r>
              <w:rPr>
                <w:rFonts w:ascii="Arial" w:hAnsi="Arial"/>
                <w:b w:val="0"/>
                <w:sz w:val="15"/>
              </w:rPr>
              <w:t>ExpiryAlertRuleId</w:t>
            </w:r>
          </w:p>
        </w:tc>
        <w:tc>
          <w:tcPr>
            <w:tcW w:type="dxa" w:w="2721"/>
          </w:tcPr>
          <w:p>
            <w:pPr>
              <w:spacing w:after="0" w:before="0"/>
            </w:pPr>
            <w:r/>
            <w:r>
              <w:rPr>
                <w:rFonts w:ascii="Arial" w:hAnsi="Arial"/>
                <w:b w:val="0"/>
                <w:sz w:val="15"/>
              </w:rPr>
              <w:t>cfg.ExpiryAlertRule</w:t>
            </w:r>
          </w:p>
        </w:tc>
        <w:tc>
          <w:tcPr>
            <w:tcW w:type="dxa" w:w="2948"/>
          </w:tcPr>
          <w:p>
            <w:pPr>
              <w:spacing w:after="0" w:before="0"/>
            </w:pPr>
            <w:r/>
            <w:r>
              <w:rPr>
                <w:rFonts w:ascii="Arial" w:hAnsi="Arial"/>
                <w:b w:val="0"/>
                <w:sz w:val="15"/>
              </w:rPr>
              <w:t>ExpiryAlertRuleId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cfg.ExpiryAlertRuleRole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9732010" cy="7072536"/>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9732010" cy="7072536"/>
                    </a:xfrm>
                    <a:prstGeom prst="rect"/>
                  </pic:spPr>
                </pic:pic>
              </a:graphicData>
            </a:graphic>
          </wp:inline>
        </w:drawing>
      </w:r>
    </w:p>
    <w:p>
      <w:pPr>
        <w:spacing w:after="120"/>
        <w:jc w:val="center"/>
      </w:pPr>
      <w:r>
        <w:rPr>
          <w:rFonts w:ascii="Arial" w:hAnsi="Arial"/>
          <w:b w:val="0"/>
          <w:i/>
          <w:color w:val="6B7280"/>
          <w:sz w:val="16"/>
        </w:rPr>
        <w:t>Figure 10  Configuration and background jobs (part 2 of 2)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w:t>
            </w:r>
          </w:p>
        </w:tc>
        <w:tc>
          <w:tcPr>
            <w:tcW w:type="dxa" w:w="6690"/>
            <w:shd w:val="clear" w:color="auto" w:fill="E8EEF6"/>
          </w:tcPr>
          <w:p>
            <w:pPr>
              <w:spacing w:after="0" w:before="0"/>
            </w:pPr>
            <w:r/>
            <w:r>
              <w:rPr>
                <w:rFonts w:ascii="Arial" w:hAnsi="Arial"/>
                <w:b w:val="0"/>
                <w:sz w:val="15"/>
              </w:rPr>
              <w:t>Counter per (definition, optional company, period); its row is locked on allocation inside the caller's transaction (BR-PLT-010)</w:t>
            </w:r>
          </w:p>
        </w:tc>
        <w:tc>
          <w:tcPr>
            <w:tcW w:type="dxa" w:w="2948"/>
            <w:shd w:val="clear" w:color="auto" w:fill="E8EEF6"/>
          </w:tcPr>
          <w:p>
            <w:pPr>
              <w:spacing w:after="0" w:before="0"/>
            </w:pPr>
            <w:r/>
            <w:r>
              <w:rPr>
                <w:rFonts w:ascii="Arial" w:hAnsi="Arial"/>
                <w:b w:val="0"/>
                <w:sz w:val="15"/>
              </w:rPr>
              <w:t>NumberSequenceId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cfg.NumberSequenceDefinition</w:t>
            </w:r>
          </w:p>
        </w:tc>
        <w:tc>
          <w:tcPr>
            <w:tcW w:type="dxa" w:w="6690"/>
          </w:tcPr>
          <w:p>
            <w:pPr>
              <w:spacing w:after="0" w:before="0"/>
            </w:pPr>
            <w:r/>
            <w:r>
              <w:rPr>
                <w:rFonts w:ascii="Arial" w:hAnsi="Arial"/>
                <w:b w:val="0"/>
                <w:sz w:val="15"/>
              </w:rPr>
              <w:t>Numbering-type definition with a tag-based format, for example {seq:000}-{erp}-{yy} (FR-PLT-026)</w:t>
            </w:r>
          </w:p>
        </w:tc>
        <w:tc>
          <w:tcPr>
            <w:tcW w:type="dxa" w:w="2948"/>
          </w:tcPr>
          <w:p>
            <w:pPr>
              <w:spacing w:after="0" w:before="0"/>
            </w:pPr>
            <w:r/>
            <w:r>
              <w:rPr>
                <w:rFonts w:ascii="Arial" w:hAnsi="Arial"/>
                <w:b w:val="0"/>
                <w:sz w:val="15"/>
              </w:rPr>
              <w:t>NumberSequenceDefinitionId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cfg.OutboxEvent</w:t>
            </w:r>
          </w:p>
        </w:tc>
        <w:tc>
          <w:tcPr>
            <w:tcW w:type="dxa" w:w="6690"/>
            <w:shd w:val="clear" w:color="auto" w:fill="E8EEF6"/>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2948"/>
            <w:shd w:val="clear" w:color="auto" w:fill="E8EEF6"/>
          </w:tcPr>
          <w:p>
            <w:pPr>
              <w:spacing w:after="0" w:before="0"/>
            </w:pPr>
            <w:r/>
            <w:r>
              <w:rPr>
                <w:rFonts w:ascii="Arial" w:hAnsi="Arial"/>
                <w:b w:val="0"/>
                <w:sz w:val="15"/>
              </w:rPr>
              <w:t>OutboxEventId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cfg.SeedRun</w:t>
            </w:r>
          </w:p>
        </w:tc>
        <w:tc>
          <w:tcPr>
            <w:tcW w:type="dxa" w:w="6690"/>
          </w:tcPr>
          <w:p>
            <w:pPr>
              <w:spacing w:after="0" w:before="0"/>
            </w:pPr>
            <w:r/>
            <w:r>
              <w:rPr>
                <w:rFonts w:ascii="Arial" w:hAnsi="Arial"/>
                <w:b w:val="0"/>
                <w:sz w:val="15"/>
              </w:rPr>
              <w:t>Numbered seed-run log per package; re-running a seed adds nothing (FR-PLT-008)</w:t>
            </w:r>
          </w:p>
        </w:tc>
        <w:tc>
          <w:tcPr>
            <w:tcW w:type="dxa" w:w="2948"/>
          </w:tcPr>
          <w:p>
            <w:pPr>
              <w:spacing w:after="0" w:before="0"/>
            </w:pPr>
            <w:r/>
            <w:r>
              <w:rPr>
                <w:rFonts w:ascii="Arial" w:hAnsi="Arial"/>
                <w:b w:val="0"/>
                <w:sz w:val="15"/>
              </w:rPr>
              <w:t>SeedRunId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cfg.SettingDefinition</w:t>
            </w:r>
          </w:p>
        </w:tc>
        <w:tc>
          <w:tcPr>
            <w:tcW w:type="dxa" w:w="6690"/>
            <w:shd w:val="clear" w:color="auto" w:fill="E8EEF6"/>
          </w:tcPr>
          <w:p>
            <w:pPr>
              <w:spacing w:after="0" w:before="0"/>
            </w:pPr>
            <w:r/>
            <w:r>
              <w:rPr>
                <w:rFonts w:ascii="Arial" w:hAnsi="Arial"/>
                <w:b w:val="0"/>
                <w:sz w:val="15"/>
              </w:rPr>
              <w:t>Setting-key definition with platform minimum and maximum bounds (BR-PLT-018, FR-PLT-043)</w:t>
            </w:r>
          </w:p>
        </w:tc>
        <w:tc>
          <w:tcPr>
            <w:tcW w:type="dxa" w:w="2948"/>
            <w:shd w:val="clear" w:color="auto" w:fill="E8EEF6"/>
          </w:tcPr>
          <w:p>
            <w:pPr>
              <w:spacing w:after="0" w:before="0"/>
            </w:pPr>
            <w:r/>
            <w:r>
              <w:rPr>
                <w:rFonts w:ascii="Arial" w:hAnsi="Arial"/>
                <w:b w:val="0"/>
                <w:sz w:val="15"/>
              </w:rPr>
              <w:t>SettingDefinitionId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cfg.TenantSetting</w:t>
            </w:r>
          </w:p>
        </w:tc>
        <w:tc>
          <w:tcPr>
            <w:tcW w:type="dxa" w:w="6690"/>
          </w:tcPr>
          <w:p>
            <w:pPr>
              <w:spacing w:after="0" w:before="0"/>
            </w:pPr>
            <w:r/>
            <w:r>
              <w:rPr>
                <w:rFonts w:ascii="Arial" w:hAnsi="Arial"/>
                <w:b w:val="0"/>
                <w:sz w:val="15"/>
              </w:rPr>
              <w:t>Tenant settings: security policies, timeouts, thresholds, and work start and end times (FR-PLT-043)</w:t>
            </w:r>
          </w:p>
        </w:tc>
        <w:tc>
          <w:tcPr>
            <w:tcW w:type="dxa" w:w="2948"/>
          </w:tcPr>
          <w:p>
            <w:pPr>
              <w:spacing w:after="0" w:before="0"/>
            </w:pPr>
            <w:r/>
            <w:r>
              <w:rPr>
                <w:rFonts w:ascii="Arial" w:hAnsi="Arial"/>
                <w:b w:val="0"/>
                <w:sz w:val="15"/>
              </w:rPr>
              <w:t>TenantSettingId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SequenceId</w:t>
            </w:r>
          </w:p>
        </w:tc>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NumberSequenceId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VoidedBy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919970" cy="6304396"/>
            <wp:docPr id="11" name="Picture 11"/>
            <wp:cNvGraphicFramePr>
              <a:graphicFrameLocks noChangeAspect="1"/>
            </wp:cNvGraphicFramePr>
            <a:graphic>
              <a:graphicData uri="http://schemas.openxmlformats.org/drawingml/2006/picture">
                <pic:pic>
                  <pic:nvPicPr>
                    <pic:cNvPr id="0" name="m1_company_1.png"/>
                    <pic:cNvPicPr/>
                  </pic:nvPicPr>
                  <pic:blipFill>
                    <a:blip r:embed="rId21"/>
                    <a:stretch>
                      <a:fillRect/>
                    </a:stretch>
                  </pic:blipFill>
                  <pic:spPr>
                    <a:xfrm>
                      <a:off x="0" y="0"/>
                      <a:ext cx="9919970" cy="6304396"/>
                    </a:xfrm>
                    <a:prstGeom prst="rect"/>
                  </pic:spPr>
                </pic:pic>
              </a:graphicData>
            </a:graphic>
          </wp:inline>
        </w:drawing>
      </w:r>
    </w:p>
    <w:p>
      <w:pPr>
        <w:spacing w:after="120"/>
        <w:jc w:val="center"/>
      </w:pPr>
      <w:r>
        <w:rPr>
          <w:rFonts w:ascii="Arial" w:hAnsi="Arial"/>
          <w:b w:val="0"/>
          <w:i/>
          <w:color w:val="6B7280"/>
          <w:sz w:val="16"/>
        </w:rPr>
        <w:t>Figure 11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PartyKind, 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Kind, 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IntermediatePartyId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2" name="Picture 12"/>
            <wp:cNvGraphicFramePr>
              <a:graphicFrameLocks noChangeAspect="1"/>
            </wp:cNvGraphicFramePr>
            <a:graphic>
              <a:graphicData uri="http://schemas.openxmlformats.org/drawingml/2006/picture">
                <pic:pic>
                  <pic:nvPicPr>
                    <pic:cNvPr id="0" name="m1_company_2.png"/>
                    <pic:cNvPicPr/>
                  </pic:nvPicPr>
                  <pic:blipFill>
                    <a:blip r:embed="rId22"/>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12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329680" cy="7676244"/>
            <wp:docPr id="13" name="Picture 13"/>
            <wp:cNvGraphicFramePr>
              <a:graphicFrameLocks noChangeAspect="1"/>
            </wp:cNvGraphicFramePr>
            <a:graphic>
              <a:graphicData uri="http://schemas.openxmlformats.org/drawingml/2006/picture">
                <pic:pic>
                  <pic:nvPicPr>
                    <pic:cNvPr id="0" name="m1_company_3.png"/>
                    <pic:cNvPicPr/>
                  </pic:nvPicPr>
                  <pic:blipFill>
                    <a:blip r:embed="rId23"/>
                    <a:stretch>
                      <a:fillRect/>
                    </a:stretch>
                  </pic:blipFill>
                  <pic:spPr>
                    <a:xfrm>
                      <a:off x="0" y="0"/>
                      <a:ext cx="6329680" cy="7676244"/>
                    </a:xfrm>
                    <a:prstGeom prst="rect"/>
                  </pic:spPr>
                </pic:pic>
              </a:graphicData>
            </a:graphic>
          </wp:inline>
        </w:drawing>
      </w:r>
    </w:p>
    <w:p>
      <w:pPr>
        <w:spacing w:after="120"/>
        <w:jc w:val="center"/>
      </w:pPr>
      <w:r>
        <w:rPr>
          <w:rFonts w:ascii="Arial" w:hAnsi="Arial"/>
          <w:b w:val="0"/>
          <w:i/>
          <w:color w:val="6B7280"/>
          <w:sz w:val="16"/>
        </w:rPr>
        <w:t>Figure 13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622790" cy="4044481"/>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622790" cy="4044481"/>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4925532"/>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4925532"/>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MergedIntoPartyId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6" name="Picture 26"/>
            <wp:cNvGraphicFramePr>
              <a:graphicFrameLocks noChangeAspect="1"/>
            </wp:cNvGraphicFramePr>
            <a:graphic>
              <a:graphicData uri="http://schemas.openxmlformats.org/drawingml/2006/picture">
                <pic:pic>
                  <pic:nvPicPr>
                    <pic:cNvPr id="0" name="m2_3_institutions_7.png"/>
                    <pic:cNvPicPr/>
                  </pic:nvPicPr>
                  <pic:blipFill>
                    <a:blip r:embed="rId36"/>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10124440" cy="3632496"/>
            <wp:docPr id="27" name="Picture 27"/>
            <wp:cNvGraphicFramePr>
              <a:graphicFrameLocks noChangeAspect="1"/>
            </wp:cNvGraphicFramePr>
            <a:graphic>
              <a:graphicData uri="http://schemas.openxmlformats.org/drawingml/2006/picture">
                <pic:pic>
                  <pic:nvPicPr>
                    <pic:cNvPr id="0" name="m4_products_1.png"/>
                    <pic:cNvPicPr/>
                  </pic:nvPicPr>
                  <pic:blipFill>
                    <a:blip r:embed="rId37"/>
                    <a:stretch>
                      <a:fillRect/>
                    </a:stretch>
                  </pic:blipFill>
                  <pic:spPr>
                    <a:xfrm>
                      <a:off x="0" y="0"/>
                      <a:ext cx="10124440" cy="3632496"/>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 the pair respects the Shariah classification (DR-30)</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ProductCompliance, 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Compliance, 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FinancingIsIslamic, 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IsIslamic, 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28" name="Picture 28"/>
            <wp:cNvGraphicFramePr>
              <a:graphicFrameLocks noChangeAspect="1"/>
            </wp:cNvGraphicFramePr>
            <a:graphic>
              <a:graphicData uri="http://schemas.openxmlformats.org/drawingml/2006/picture">
                <pic:pic>
                  <pic:nvPicPr>
                    <pic:cNvPr id="0" name="m4_products_2.png"/>
                    <pic:cNvPicPr/>
                  </pic:nvPicPr>
                  <pic:blipFill>
                    <a:blip r:embed="rId38"/>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29" name="Picture 29"/>
            <wp:cNvGraphicFramePr>
              <a:graphicFrameLocks noChangeAspect="1"/>
            </wp:cNvGraphicFramePr>
            <a:graphic>
              <a:graphicData uri="http://schemas.openxmlformats.org/drawingml/2006/picture">
                <pic:pic>
                  <pic:nvPicPr>
                    <pic:cNvPr id="0" name="m4_reference.png"/>
                    <pic:cNvPicPr/>
                  </pic:nvPicPr>
                  <pic:blipFill>
                    <a:blip r:embed="rId39"/>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29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421267"/>
            <wp:docPr id="30" name="Picture 30"/>
            <wp:cNvGraphicFramePr>
              <a:graphicFrameLocks noChangeAspect="1"/>
            </wp:cNvGraphicFramePr>
            <a:graphic>
              <a:graphicData uri="http://schemas.openxmlformats.org/drawingml/2006/picture">
                <pic:pic>
                  <pic:nvPicPr>
                    <pic:cNvPr id="0" name="m4_rates_lookups.png"/>
                    <pic:cNvPicPr/>
                  </pic:nvPicPr>
                  <pic:blipFill>
                    <a:blip r:embed="rId40"/>
                    <a:stretch>
                      <a:fillRect/>
                    </a:stretch>
                  </pic:blipFill>
                  <pic:spPr>
                    <a:xfrm>
                      <a:off x="0" y="0"/>
                      <a:ext cx="9438640" cy="6421267"/>
                    </a:xfrm>
                    <a:prstGeom prst="rect"/>
                  </pic:spPr>
                </pic:pic>
              </a:graphicData>
            </a:graphic>
          </wp:inline>
        </w:drawing>
      </w:r>
    </w:p>
    <w:p>
      <w:pPr>
        <w:spacing w:after="120"/>
        <w:jc w:val="center"/>
      </w:pPr>
      <w:r>
        <w:rPr>
          <w:rFonts w:ascii="Arial" w:hAnsi="Arial"/>
          <w:b w:val="0"/>
          <w:i/>
          <w:color w:val="6B7280"/>
          <w:sz w:val="16"/>
        </w:rPr>
        <w:t>Figure 30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ScopeKey,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ScopeKey,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w:t>
            </w:r>
          </w:p>
        </w:tc>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BaseRateId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SupersedesId</w:t>
            </w:r>
          </w:p>
        </w:tc>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BaseRateValueId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w:t>
            </w:r>
          </w:p>
        </w:tc>
        <w:tc>
          <w:tcPr>
            <w:tcW w:type="dxa" w:w="2721"/>
          </w:tcPr>
          <w:p>
            <w:pPr>
              <w:spacing w:after="0" w:before="0"/>
            </w:pPr>
            <w:r/>
            <w:r>
              <w:rPr>
                <w:rFonts w:ascii="Arial" w:hAnsi="Arial"/>
                <w:b w:val="0"/>
                <w:sz w:val="15"/>
              </w:rPr>
              <w:t>cat.LookupList</w:t>
            </w:r>
          </w:p>
        </w:tc>
        <w:tc>
          <w:tcPr>
            <w:tcW w:type="dxa" w:w="2948"/>
          </w:tcPr>
          <w:p>
            <w:pPr>
              <w:spacing w:after="0" w:before="0"/>
            </w:pPr>
            <w:r/>
            <w:r>
              <w:rPr>
                <w:rFonts w:ascii="Arial" w:hAnsi="Arial"/>
                <w:b w:val="0"/>
                <w:sz w:val="15"/>
              </w:rPr>
              <w:t>LookupListId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1" name="Picture 31"/>
            <wp:cNvGraphicFramePr>
              <a:graphicFrameLocks noChangeAspect="1"/>
            </wp:cNvGraphicFramePr>
            <a:graphic>
              <a:graphicData uri="http://schemas.openxmlformats.org/drawingml/2006/picture">
                <pic:pic>
                  <pic:nvPicPr>
                    <pic:cNvPr id="0" name="m4_global_ref.png"/>
                    <pic:cNvPicPr/>
                  </pic:nvPicPr>
                  <pic:blipFill>
                    <a:blip r:embed="rId41"/>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31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2" name="Picture 32"/>
            <wp:cNvGraphicFramePr>
              <a:graphicFrameLocks noChangeAspect="1"/>
            </wp:cNvGraphicFramePr>
            <a:graphic>
              <a:graphicData uri="http://schemas.openxmlformats.org/drawingml/2006/picture">
                <pic:pic>
                  <pic:nvPicPr>
                    <pic:cNvPr id="0" name="m5_facility_core_1.png"/>
                    <pic:cNvPicPr/>
                  </pic:nvPicPr>
                  <pic:blipFill>
                    <a:blip r:embed="rId42"/>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32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RootId, 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3" name="Picture 33"/>
            <wp:cNvGraphicFramePr>
              <a:graphicFrameLocks noChangeAspect="1"/>
            </wp:cNvGraphicFramePr>
            <a:graphic>
              <a:graphicData uri="http://schemas.openxmlformats.org/drawingml/2006/picture">
                <pic:pic>
                  <pic:nvPicPr>
                    <pic:cNvPr id="0" name="m5_facility_core_2.png"/>
                    <pic:cNvPicPr/>
                  </pic:nvPicPr>
                  <pic:blipFill>
                    <a:blip r:embed="rId43"/>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33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RootId, 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4" name="Picture 34"/>
            <wp:cNvGraphicFramePr>
              <a:graphicFrameLocks noChangeAspect="1"/>
            </wp:cNvGraphicFramePr>
            <a:graphic>
              <a:graphicData uri="http://schemas.openxmlformats.org/drawingml/2006/picture">
                <pic:pic>
                  <pic:nvPicPr>
                    <pic:cNvPr id="0" name="m5_limits_1.png"/>
                    <pic:cNvPicPr/>
                  </pic:nvPicPr>
                  <pic:blipFill>
                    <a:blip r:embed="rId44"/>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34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RootId,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RootId,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RootId, 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RootId, 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338810" cy="7885236"/>
            <wp:docPr id="35" name="Picture 35"/>
            <wp:cNvGraphicFramePr>
              <a:graphicFrameLocks noChangeAspect="1"/>
            </wp:cNvGraphicFramePr>
            <a:graphic>
              <a:graphicData uri="http://schemas.openxmlformats.org/drawingml/2006/picture">
                <pic:pic>
                  <pic:nvPicPr>
                    <pic:cNvPr id="0" name="m5_limits_2.png"/>
                    <pic:cNvPicPr/>
                  </pic:nvPicPr>
                  <pic:blipFill>
                    <a:blip r:embed="rId45"/>
                    <a:stretch>
                      <a:fillRect/>
                    </a:stretch>
                  </pic:blipFill>
                  <pic:spPr>
                    <a:xfrm>
                      <a:off x="0" y="0"/>
                      <a:ext cx="13338810" cy="7885236"/>
                    </a:xfrm>
                    <a:prstGeom prst="rect"/>
                  </pic:spPr>
                </pic:pic>
              </a:graphicData>
            </a:graphic>
          </wp:inline>
        </w:drawing>
      </w:r>
    </w:p>
    <w:p>
      <w:pPr>
        <w:spacing w:after="120"/>
        <w:jc w:val="center"/>
      </w:pPr>
      <w:r>
        <w:rPr>
          <w:rFonts w:ascii="Arial" w:hAnsi="Arial"/>
          <w:b w:val="0"/>
          <w:i/>
          <w:color w:val="6B7280"/>
          <w:sz w:val="16"/>
        </w:rPr>
        <w:t>Figure 35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 SourceRequestId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TransferredToFacilityId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PreviousFacilityId, 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TransferredToFacilityId, TransferredToId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ConvertedUtilizationId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LimitReservationId</w:t>
            </w:r>
          </w:p>
        </w:tc>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LimitReservationId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6" name="Picture 36"/>
            <wp:cNvGraphicFramePr>
              <a:graphicFrameLocks noChangeAspect="1"/>
            </wp:cNvGraphicFramePr>
            <a:graphic>
              <a:graphicData uri="http://schemas.openxmlformats.org/drawingml/2006/picture">
                <pic:pic>
                  <pic:nvPicPr>
                    <pic:cNvPr id="0" name="m5_pricing_1.png"/>
                    <pic:cNvPicPr/>
                  </pic:nvPicPr>
                  <pic:blipFill>
                    <a:blip r:embed="rId46"/>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36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RootId, 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7" name="Picture 37"/>
            <wp:cNvGraphicFramePr>
              <a:graphicFrameLocks noChangeAspect="1"/>
            </wp:cNvGraphicFramePr>
            <a:graphic>
              <a:graphicData uri="http://schemas.openxmlformats.org/drawingml/2006/picture">
                <pic:pic>
                  <pic:nvPicPr>
                    <pic:cNvPr id="0" name="m5_pricing_2.png"/>
                    <pic:cNvPicPr/>
                  </pic:nvPicPr>
                  <pic:blipFill>
                    <a:blip r:embed="rId47"/>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37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8" name="Picture 38"/>
            <wp:cNvGraphicFramePr>
              <a:graphicFrameLocks noChangeAspect="1"/>
            </wp:cNvGraphicFramePr>
            <a:graphic>
              <a:graphicData uri="http://schemas.openxmlformats.org/drawingml/2006/picture">
                <pic:pic>
                  <pic:nvPicPr>
                    <pic:cNvPr id="0" name="m5_pricing_3.png"/>
                    <pic:cNvPicPr/>
                  </pic:nvPicPr>
                  <pic:blipFill>
                    <a:blip r:embed="rId48"/>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38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RootId, 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39" name="Picture 39"/>
            <wp:cNvGraphicFramePr>
              <a:graphicFrameLocks noChangeAspect="1"/>
            </wp:cNvGraphicFramePr>
            <a:graphic>
              <a:graphicData uri="http://schemas.openxmlformats.org/drawingml/2006/picture">
                <pic:pic>
                  <pic:nvPicPr>
                    <pic:cNvPr id="0" name="m5_pricing_4.png"/>
                    <pic:cNvPicPr/>
                  </pic:nvPicPr>
                  <pic:blipFill>
                    <a:blip r:embed="rId49"/>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39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0" name="Picture 40"/>
            <wp:cNvGraphicFramePr>
              <a:graphicFrameLocks noChangeAspect="1"/>
            </wp:cNvGraphicFramePr>
            <a:graphic>
              <a:graphicData uri="http://schemas.openxmlformats.org/drawingml/2006/picture">
                <pic:pic>
                  <pic:nvPicPr>
                    <pic:cNvPr id="0" name="m5_pricing_5.png"/>
                    <pic:cNvPicPr/>
                  </pic:nvPicPr>
                  <pic:blipFill>
                    <a:blip r:embed="rId50"/>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40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RootId, 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68840" cy="7070977"/>
            <wp:docPr id="41" name="Picture 41"/>
            <wp:cNvGraphicFramePr>
              <a:graphicFrameLocks noChangeAspect="1"/>
            </wp:cNvGraphicFramePr>
            <a:graphic>
              <a:graphicData uri="http://schemas.openxmlformats.org/drawingml/2006/picture">
                <pic:pic>
                  <pic:nvPicPr>
                    <pic:cNvPr id="0" name="m5_collateral_1.png"/>
                    <pic:cNvPicPr/>
                  </pic:nvPicPr>
                  <pic:blipFill>
                    <a:blip r:embed="rId51"/>
                    <a:stretch>
                      <a:fillRect/>
                    </a:stretch>
                  </pic:blipFill>
                  <pic:spPr>
                    <a:xfrm>
                      <a:off x="0" y="0"/>
                      <a:ext cx="9768840" cy="7070977"/>
                    </a:xfrm>
                    <a:prstGeom prst="rect"/>
                  </pic:spPr>
                </pic:pic>
              </a:graphicData>
            </a:graphic>
          </wp:inline>
        </w:drawing>
      </w:r>
    </w:p>
    <w:p>
      <w:pPr>
        <w:spacing w:after="120"/>
        <w:jc w:val="center"/>
      </w:pPr>
      <w:r>
        <w:rPr>
          <w:rFonts w:ascii="Arial" w:hAnsi="Arial"/>
          <w:b w:val="0"/>
          <w:i/>
          <w:color w:val="6B7280"/>
          <w:sz w:val="16"/>
        </w:rPr>
        <w:t>Figure 41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StructureKind, 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RootId, 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RootId, 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708140" cy="6329924"/>
            <wp:docPr id="42" name="Picture 42"/>
            <wp:cNvGraphicFramePr>
              <a:graphicFrameLocks noChangeAspect="1"/>
            </wp:cNvGraphicFramePr>
            <a:graphic>
              <a:graphicData uri="http://schemas.openxmlformats.org/drawingml/2006/picture">
                <pic:pic>
                  <pic:nvPicPr>
                    <pic:cNvPr id="0" name="m5_collateral_2.png"/>
                    <pic:cNvPicPr/>
                  </pic:nvPicPr>
                  <pic:blipFill>
                    <a:blip r:embed="rId52"/>
                    <a:stretch>
                      <a:fillRect/>
                    </a:stretch>
                  </pic:blipFill>
                  <pic:spPr>
                    <a:xfrm>
                      <a:off x="0" y="0"/>
                      <a:ext cx="6708140" cy="6329924"/>
                    </a:xfrm>
                    <a:prstGeom prst="rect"/>
                  </pic:spPr>
                </pic:pic>
              </a:graphicData>
            </a:graphic>
          </wp:inline>
        </w:drawing>
      </w:r>
    </w:p>
    <w:p>
      <w:pPr>
        <w:spacing w:after="120"/>
        <w:jc w:val="center"/>
      </w:pPr>
      <w:r>
        <w:rPr>
          <w:rFonts w:ascii="Arial" w:hAnsi="Arial"/>
          <w:b w:val="0"/>
          <w:i/>
          <w:color w:val="6B7280"/>
          <w:sz w:val="16"/>
        </w:rPr>
        <w:t>Figure 42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GuarantorPartyId, 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94240" cy="4685105"/>
            <wp:docPr id="43" name="Picture 43"/>
            <wp:cNvGraphicFramePr>
              <a:graphicFrameLocks noChangeAspect="1"/>
            </wp:cNvGraphicFramePr>
            <a:graphic>
              <a:graphicData uri="http://schemas.openxmlformats.org/drawingml/2006/picture">
                <pic:pic>
                  <pic:nvPicPr>
                    <pic:cNvPr id="0" name="m5_collateral_3.png"/>
                    <pic:cNvPicPr/>
                  </pic:nvPicPr>
                  <pic:blipFill>
                    <a:blip r:embed="rId53"/>
                    <a:stretch>
                      <a:fillRect/>
                    </a:stretch>
                  </pic:blipFill>
                  <pic:spPr>
                    <a:xfrm>
                      <a:off x="0" y="0"/>
                      <a:ext cx="9794240" cy="4685105"/>
                    </a:xfrm>
                    <a:prstGeom prst="rect"/>
                  </pic:spPr>
                </pic:pic>
              </a:graphicData>
            </a:graphic>
          </wp:inline>
        </w:drawing>
      </w:r>
    </w:p>
    <w:p>
      <w:pPr>
        <w:spacing w:after="120"/>
        <w:jc w:val="center"/>
      </w:pPr>
      <w:r>
        <w:rPr>
          <w:rFonts w:ascii="Arial" w:hAnsi="Arial"/>
          <w:b w:val="0"/>
          <w:i/>
          <w:color w:val="6B7280"/>
          <w:sz w:val="16"/>
        </w:rPr>
        <w:t>Figure 43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271760" cy="7852430"/>
            <wp:docPr id="44" name="Picture 44"/>
            <wp:cNvGraphicFramePr>
              <a:graphicFrameLocks noChangeAspect="1"/>
            </wp:cNvGraphicFramePr>
            <a:graphic>
              <a:graphicData uri="http://schemas.openxmlformats.org/drawingml/2006/picture">
                <pic:pic>
                  <pic:nvPicPr>
                    <pic:cNvPr id="0" name="m5_obligations_1.png"/>
                    <pic:cNvPicPr/>
                  </pic:nvPicPr>
                  <pic:blipFill>
                    <a:blip r:embed="rId54"/>
                    <a:stretch>
                      <a:fillRect/>
                    </a:stretch>
                  </pic:blipFill>
                  <pic:spPr>
                    <a:xfrm>
                      <a:off x="0" y="0"/>
                      <a:ext cx="10271760" cy="7852430"/>
                    </a:xfrm>
                    <a:prstGeom prst="rect"/>
                  </pic:spPr>
                </pic:pic>
              </a:graphicData>
            </a:graphic>
          </wp:inline>
        </w:drawing>
      </w:r>
    </w:p>
    <w:p>
      <w:pPr>
        <w:spacing w:after="120"/>
        <w:jc w:val="center"/>
      </w:pPr>
      <w:r>
        <w:rPr>
          <w:rFonts w:ascii="Arial" w:hAnsi="Arial"/>
          <w:b w:val="0"/>
          <w:i/>
          <w:color w:val="6B7280"/>
          <w:sz w:val="16"/>
        </w:rPr>
        <w:t>Figure 44  Obligations, covenants and reporting (part 1 of 4)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FormulaResultUnit, FormulaUsesStatements, 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ResultUnit, UsesStatements, 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RootId, 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RootId, 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FormulaId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437630" cy="7302076"/>
            <wp:docPr id="45" name="Picture 45"/>
            <wp:cNvGraphicFramePr>
              <a:graphicFrameLocks noChangeAspect="1"/>
            </wp:cNvGraphicFramePr>
            <a:graphic>
              <a:graphicData uri="http://schemas.openxmlformats.org/drawingml/2006/picture">
                <pic:pic>
                  <pic:nvPicPr>
                    <pic:cNvPr id="0" name="m5_obligations_2.png"/>
                    <pic:cNvPicPr/>
                  </pic:nvPicPr>
                  <pic:blipFill>
                    <a:blip r:embed="rId55"/>
                    <a:stretch>
                      <a:fillRect/>
                    </a:stretch>
                  </pic:blipFill>
                  <pic:spPr>
                    <a:xfrm>
                      <a:off x="0" y="0"/>
                      <a:ext cx="6437630" cy="7302076"/>
                    </a:xfrm>
                    <a:prstGeom prst="rect"/>
                  </pic:spPr>
                </pic:pic>
              </a:graphicData>
            </a:graphic>
          </wp:inline>
        </w:drawing>
      </w:r>
    </w:p>
    <w:p>
      <w:pPr>
        <w:spacing w:after="120"/>
        <w:jc w:val="center"/>
      </w:pPr>
      <w:r>
        <w:rPr>
          <w:rFonts w:ascii="Arial" w:hAnsi="Arial"/>
          <w:b w:val="0"/>
          <w:i/>
          <w:color w:val="6B7280"/>
          <w:sz w:val="16"/>
        </w:rPr>
        <w:t>Figure 45  Obligations, covenants and reporting (part 2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obl.CovenantTestStatement</w:t>
            </w:r>
          </w:p>
        </w:tc>
        <w:tc>
          <w:tcPr>
            <w:tcW w:type="dxa" w:w="6690"/>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2948"/>
          </w:tcPr>
          <w:p>
            <w:pPr>
              <w:spacing w:after="0" w:before="0"/>
            </w:pPr>
            <w:r/>
            <w:r>
              <w:rPr>
                <w:rFonts w:ascii="Arial" w:hAnsi="Arial"/>
                <w:b w:val="0"/>
                <w:sz w:val="15"/>
              </w:rPr>
              <w:t>TenantId, CovenantTestId, StatementId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w:t>
            </w:r>
          </w:p>
        </w:tc>
        <w:tc>
          <w:tcPr>
            <w:tcW w:type="dxa" w:w="6690"/>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shd w:val="clear" w:color="auto" w:fill="E8EEF6"/>
          </w:tcPr>
          <w:p>
            <w:pPr>
              <w:spacing w:after="0" w:before="0"/>
            </w:pPr>
            <w:r/>
            <w:r>
              <w:rPr>
                <w:rFonts w:ascii="Arial" w:hAnsi="Arial"/>
                <w:b w:val="0"/>
                <w:sz w:val="15"/>
              </w:rPr>
              <w:t>ObligationId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9</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obl.CovenantTestStatement</w:t>
            </w:r>
          </w:p>
        </w:tc>
        <w:tc>
          <w:tcPr>
            <w:tcW w:type="dxa" w:w="2948"/>
          </w:tcPr>
          <w:p>
            <w:pPr>
              <w:spacing w:after="0" w:before="0"/>
            </w:pPr>
            <w:r/>
            <w:r>
              <w:rPr>
                <w:rFonts w:ascii="Arial" w:hAnsi="Arial"/>
                <w:b w:val="0"/>
                <w:sz w:val="15"/>
              </w:rPr>
              <w:t>CovenantTestId</w:t>
            </w:r>
          </w:p>
        </w:tc>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CovenantTestId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obl.CovenantTestStatement</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Family, 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Family, 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ScopeLimitId,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RootId, 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125210" cy="7679368"/>
            <wp:docPr id="46" name="Picture 46"/>
            <wp:cNvGraphicFramePr>
              <a:graphicFrameLocks noChangeAspect="1"/>
            </wp:cNvGraphicFramePr>
            <a:graphic>
              <a:graphicData uri="http://schemas.openxmlformats.org/drawingml/2006/picture">
                <pic:pic>
                  <pic:nvPicPr>
                    <pic:cNvPr id="0" name="m5_obligations_3.png"/>
                    <pic:cNvPicPr/>
                  </pic:nvPicPr>
                  <pic:blipFill>
                    <a:blip r:embed="rId56"/>
                    <a:stretch>
                      <a:fillRect/>
                    </a:stretch>
                  </pic:blipFill>
                  <pic:spPr>
                    <a:xfrm>
                      <a:off x="0" y="0"/>
                      <a:ext cx="6125210" cy="7679368"/>
                    </a:xfrm>
                    <a:prstGeom prst="rect"/>
                  </pic:spPr>
                </pic:pic>
              </a:graphicData>
            </a:graphic>
          </wp:inline>
        </w:drawing>
      </w:r>
    </w:p>
    <w:p>
      <w:pPr>
        <w:spacing w:after="120"/>
        <w:jc w:val="center"/>
      </w:pPr>
      <w:r>
        <w:rPr>
          <w:rFonts w:ascii="Arial" w:hAnsi="Arial"/>
          <w:b w:val="0"/>
          <w:i/>
          <w:color w:val="6B7280"/>
          <w:sz w:val="16"/>
        </w:rPr>
        <w:t>Figure 46  Obligations, covenants and reporting (part 3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ObligationRootId,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RootId,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CovenantRootId, TestPeriodEnd, 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PeriodEnd, 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091420" cy="4214456"/>
            <wp:docPr id="47" name="Picture 47"/>
            <wp:cNvGraphicFramePr>
              <a:graphicFrameLocks noChangeAspect="1"/>
            </wp:cNvGraphicFramePr>
            <a:graphic>
              <a:graphicData uri="http://schemas.openxmlformats.org/drawingml/2006/picture">
                <pic:pic>
                  <pic:nvPicPr>
                    <pic:cNvPr id="0" name="m5_obligations_4.png"/>
                    <pic:cNvPicPr/>
                  </pic:nvPicPr>
                  <pic:blipFill>
                    <a:blip r:embed="rId57"/>
                    <a:stretch>
                      <a:fillRect/>
                    </a:stretch>
                  </pic:blipFill>
                  <pic:spPr>
                    <a:xfrm>
                      <a:off x="0" y="0"/>
                      <a:ext cx="10091420" cy="4214456"/>
                    </a:xfrm>
                    <a:prstGeom prst="rect"/>
                  </pic:spPr>
                </pic:pic>
              </a:graphicData>
            </a:graphic>
          </wp:inline>
        </w:drawing>
      </w:r>
    </w:p>
    <w:p>
      <w:pPr>
        <w:spacing w:after="120"/>
        <w:jc w:val="center"/>
      </w:pPr>
      <w:r>
        <w:rPr>
          <w:rFonts w:ascii="Arial" w:hAnsi="Arial"/>
          <w:b w:val="0"/>
          <w:i/>
          <w:color w:val="6B7280"/>
          <w:sz w:val="16"/>
        </w:rPr>
        <w:t>Figure 47  Obligations, covenants and reporting (part 4 of 4)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ReportingObligationRootId, ReportingObligationId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SubmissionChannelUsedId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SubmissionChannelId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2114763"/>
            <wp:docPr id="48" name="Picture 48"/>
            <wp:cNvGraphicFramePr>
              <a:graphicFrameLocks noChangeAspect="1"/>
            </wp:cNvGraphicFramePr>
            <a:graphic>
              <a:graphicData uri="http://schemas.openxmlformats.org/drawingml/2006/picture">
                <pic:pic>
                  <pic:nvPicPr>
                    <pic:cNvPr id="0" name="m5_financials_1.png"/>
                    <pic:cNvPicPr/>
                  </pic:nvPicPr>
                  <pic:blipFill>
                    <a:blip r:embed="rId58"/>
                    <a:stretch>
                      <a:fillRect/>
                    </a:stretch>
                  </pic:blipFill>
                  <pic:spPr>
                    <a:xfrm>
                      <a:off x="0" y="0"/>
                      <a:ext cx="5908040" cy="2114763"/>
                    </a:xfrm>
                    <a:prstGeom prst="rect"/>
                  </pic:spPr>
                </pic:pic>
              </a:graphicData>
            </a:graphic>
          </wp:inline>
        </w:drawing>
      </w:r>
    </w:p>
    <w:p>
      <w:pPr>
        <w:spacing w:after="120"/>
        <w:jc w:val="center"/>
      </w:pPr>
      <w:r>
        <w:rPr>
          <w:rFonts w:ascii="Arial" w:hAnsi="Arial"/>
          <w:b w:val="0"/>
          <w:i/>
          <w:color w:val="6B7280"/>
          <w:sz w:val="16"/>
        </w:rPr>
        <w:t>Figure 48  Financial statements and balances (part 1 of 8)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54420" cy="7691987"/>
            <wp:docPr id="49" name="Picture 49"/>
            <wp:cNvGraphicFramePr>
              <a:graphicFrameLocks noChangeAspect="1"/>
            </wp:cNvGraphicFramePr>
            <a:graphic>
              <a:graphicData uri="http://schemas.openxmlformats.org/drawingml/2006/picture">
                <pic:pic>
                  <pic:nvPicPr>
                    <pic:cNvPr id="0" name="m5_financials_2.png"/>
                    <pic:cNvPicPr/>
                  </pic:nvPicPr>
                  <pic:blipFill>
                    <a:blip r:embed="rId59"/>
                    <a:stretch>
                      <a:fillRect/>
                    </a:stretch>
                  </pic:blipFill>
                  <pic:spPr>
                    <a:xfrm>
                      <a:off x="0" y="0"/>
                      <a:ext cx="6154420" cy="7691987"/>
                    </a:xfrm>
                    <a:prstGeom prst="rect"/>
                  </pic:spPr>
                </pic:pic>
              </a:graphicData>
            </a:graphic>
          </wp:inline>
        </w:drawing>
      </w:r>
    </w:p>
    <w:p>
      <w:pPr>
        <w:spacing w:after="120"/>
        <w:jc w:val="center"/>
      </w:pPr>
      <w:r>
        <w:rPr>
          <w:rFonts w:ascii="Arial" w:hAnsi="Arial"/>
          <w:b w:val="0"/>
          <w:i/>
          <w:color w:val="6B7280"/>
          <w:sz w:val="16"/>
        </w:rPr>
        <w:t>Figure 49  Financial statements and balances (part 2 of 8)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fin.BankFlowEntry</w:t>
            </w:r>
          </w:p>
        </w:tc>
        <w:tc>
          <w:tcPr>
            <w:tcW w:type="dxa" w:w="6690"/>
          </w:tcPr>
          <w:p>
            <w:pPr>
              <w:spacing w:after="0" w:before="0"/>
            </w:pPr>
            <w:r/>
            <w:r>
              <w:rPr>
                <w:rFonts w:ascii="Arial" w:hAnsi="Arial"/>
                <w:b w:val="0"/>
                <w:sz w:val="15"/>
              </w:rPr>
              <w:t>Amount transferred to the bank in a month; annual totals are computed automatically (FR-FIN-009/010, BR-FIN-007/008)</w:t>
            </w:r>
          </w:p>
        </w:tc>
        <w:tc>
          <w:tcPr>
            <w:tcW w:type="dxa" w:w="2948"/>
          </w:tcPr>
          <w:p>
            <w:pPr>
              <w:spacing w:after="0" w:before="0"/>
            </w:pPr>
            <w:r/>
            <w:r>
              <w:rPr>
                <w:rFonts w:ascii="Arial" w:hAnsi="Arial"/>
                <w:b w:val="0"/>
                <w:sz w:val="15"/>
              </w:rPr>
              <w:t>BankFlowEntryId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FlowKindListCode, FlowKindListId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Code, 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FlowKindListId, FlowKindId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 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ConfirmedBy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786880" cy="2809510"/>
            <wp:docPr id="50" name="Picture 50"/>
            <wp:cNvGraphicFramePr>
              <a:graphicFrameLocks noChangeAspect="1"/>
            </wp:cNvGraphicFramePr>
            <a:graphic>
              <a:graphicData uri="http://schemas.openxmlformats.org/drawingml/2006/picture">
                <pic:pic>
                  <pic:nvPicPr>
                    <pic:cNvPr id="0" name="m5_financials_3.png"/>
                    <pic:cNvPicPr/>
                  </pic:nvPicPr>
                  <pic:blipFill>
                    <a:blip r:embed="rId60"/>
                    <a:stretch>
                      <a:fillRect/>
                    </a:stretch>
                  </pic:blipFill>
                  <pic:spPr>
                    <a:xfrm>
                      <a:off x="0" y="0"/>
                      <a:ext cx="6786880" cy="2809510"/>
                    </a:xfrm>
                    <a:prstGeom prst="rect"/>
                  </pic:spPr>
                </pic:pic>
              </a:graphicData>
            </a:graphic>
          </wp:inline>
        </w:drawing>
      </w:r>
    </w:p>
    <w:p>
      <w:pPr>
        <w:spacing w:after="120"/>
        <w:jc w:val="center"/>
      </w:pPr>
      <w:r>
        <w:rPr>
          <w:rFonts w:ascii="Arial" w:hAnsi="Arial"/>
          <w:b w:val="0"/>
          <w:i/>
          <w:color w:val="6B7280"/>
          <w:sz w:val="16"/>
        </w:rPr>
        <w:t>Figure 50  Financial statements and balances (part 3 of 8)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fin.ConsolidationMember</w:t>
            </w:r>
          </w:p>
        </w:tc>
        <w:tc>
          <w:tcPr>
            <w:tcW w:type="dxa" w:w="6690"/>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2948"/>
          </w:tcPr>
          <w:p>
            <w:pPr>
              <w:spacing w:after="0" w:before="0"/>
            </w:pPr>
            <w:r/>
            <w:r>
              <w:rPr>
                <w:rFonts w:ascii="Arial" w:hAnsi="Arial"/>
                <w:b w:val="0"/>
                <w:sz w:val="15"/>
              </w:rPr>
              <w:t>ConsolidationMemberId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StatementBasis, 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Basis, 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fin.ConsolidationMember</w:t>
            </w:r>
          </w:p>
        </w:tc>
        <w:tc>
          <w:tcPr>
            <w:tcW w:type="dxa" w:w="2948"/>
            <w:shd w:val="clear" w:color="auto" w:fill="E8EEF6"/>
          </w:tcPr>
          <w:p>
            <w:pPr>
              <w:spacing w:after="0" w:before="0"/>
            </w:pPr>
            <w:r/>
            <w:r>
              <w:rPr>
                <w:rFonts w:ascii="Arial" w:hAnsi="Arial"/>
                <w:b w:val="0"/>
                <w:sz w:val="15"/>
              </w:rPr>
              <w:t>MemberCompanyId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MemberCompanyId, MemberStatementId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4 of 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91250" cy="5251544"/>
            <wp:docPr id="51" name="Picture 51"/>
            <wp:cNvGraphicFramePr>
              <a:graphicFrameLocks noChangeAspect="1"/>
            </wp:cNvGraphicFramePr>
            <a:graphic>
              <a:graphicData uri="http://schemas.openxmlformats.org/drawingml/2006/picture">
                <pic:pic>
                  <pic:nvPicPr>
                    <pic:cNvPr id="0" name="m5_financials_4.png"/>
                    <pic:cNvPicPr/>
                  </pic:nvPicPr>
                  <pic:blipFill>
                    <a:blip r:embed="rId61"/>
                    <a:stretch>
                      <a:fillRect/>
                    </a:stretch>
                  </pic:blipFill>
                  <pic:spPr>
                    <a:xfrm>
                      <a:off x="0" y="0"/>
                      <a:ext cx="6191250" cy="5251544"/>
                    </a:xfrm>
                    <a:prstGeom prst="rect"/>
                  </pic:spPr>
                </pic:pic>
              </a:graphicData>
            </a:graphic>
          </wp:inline>
        </w:drawing>
      </w:r>
    </w:p>
    <w:p>
      <w:pPr>
        <w:spacing w:after="120"/>
        <w:jc w:val="center"/>
      </w:pPr>
      <w:r>
        <w:rPr>
          <w:rFonts w:ascii="Arial" w:hAnsi="Arial"/>
          <w:b w:val="0"/>
          <w:i/>
          <w:color w:val="6B7280"/>
          <w:sz w:val="16"/>
        </w:rPr>
        <w:t>Figure 51  Financial statements and balances (part 4 of 8)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w:t>
            </w:r>
          </w:p>
        </w:tc>
        <w:tc>
          <w:tcPr>
            <w:tcW w:type="dxa" w:w="6690"/>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948"/>
          </w:tcPr>
          <w:p>
            <w:pPr>
              <w:spacing w:after="0" w:before="0"/>
            </w:pPr>
            <w:r/>
            <w:r>
              <w:rPr>
                <w:rFonts w:ascii="Arial" w:hAnsi="Arial"/>
                <w:b w:val="0"/>
                <w:sz w:val="15"/>
              </w:rPr>
              <w:t>CreditAssessmentId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CompanyId, 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CompanyId, 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UsedPriorStatementId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FinancialGradeId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IndicatedGradeId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CapGradeId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StandaloneGradeId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5 of 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88100" cy="5856105"/>
            <wp:docPr id="52" name="Picture 52"/>
            <wp:cNvGraphicFramePr>
              <a:graphicFrameLocks noChangeAspect="1"/>
            </wp:cNvGraphicFramePr>
            <a:graphic>
              <a:graphicData uri="http://schemas.openxmlformats.org/drawingml/2006/picture">
                <pic:pic>
                  <pic:nvPicPr>
                    <pic:cNvPr id="0" name="m5_financials_5.png"/>
                    <pic:cNvPicPr/>
                  </pic:nvPicPr>
                  <pic:blipFill>
                    <a:blip r:embed="rId62"/>
                    <a:stretch>
                      <a:fillRect/>
                    </a:stretch>
                  </pic:blipFill>
                  <pic:spPr>
                    <a:xfrm>
                      <a:off x="0" y="0"/>
                      <a:ext cx="6388100" cy="5856105"/>
                    </a:xfrm>
                    <a:prstGeom prst="rect"/>
                  </pic:spPr>
                </pic:pic>
              </a:graphicData>
            </a:graphic>
          </wp:inline>
        </w:drawing>
      </w:r>
    </w:p>
    <w:p>
      <w:pPr>
        <w:spacing w:after="120"/>
        <w:jc w:val="center"/>
      </w:pPr>
      <w:r>
        <w:rPr>
          <w:rFonts w:ascii="Arial" w:hAnsi="Arial"/>
          <w:b w:val="0"/>
          <w:i/>
          <w:color w:val="6B7280"/>
          <w:sz w:val="16"/>
        </w:rPr>
        <w:t>Figure 52  Financial statements and balances (part 5 of 8)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fin.CreditAssessmentFactor</w:t>
            </w:r>
          </w:p>
        </w:tc>
        <w:tc>
          <w:tcPr>
            <w:tcW w:type="dxa" w:w="6690"/>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2948"/>
          </w:tcPr>
          <w:p>
            <w:pPr>
              <w:spacing w:after="0" w:before="0"/>
            </w:pPr>
            <w:r/>
            <w:r>
              <w:rPr>
                <w:rFonts w:ascii="Arial" w:hAnsi="Arial"/>
                <w:b w:val="0"/>
                <w:sz w:val="15"/>
              </w:rPr>
              <w:t>CreditAssessmentFactorId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fin.CreditAssessmentFinding</w:t>
            </w:r>
          </w:p>
        </w:tc>
        <w:tc>
          <w:tcPr>
            <w:tcW w:type="dxa" w:w="6690"/>
            <w:shd w:val="clear" w:color="auto" w:fill="E8EEF6"/>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948"/>
            <w:shd w:val="clear" w:color="auto" w:fill="E8EEF6"/>
          </w:tcPr>
          <w:p>
            <w:pPr>
              <w:spacing w:after="0" w:before="0"/>
            </w:pPr>
            <w:r/>
            <w:r>
              <w:rPr>
                <w:rFonts w:ascii="Arial" w:hAnsi="Arial"/>
                <w:b w:val="0"/>
                <w:sz w:val="15"/>
              </w:rPr>
              <w:t>CreditAssessmentFindingId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fin.CreditAssessmentInput</w:t>
            </w:r>
          </w:p>
        </w:tc>
        <w:tc>
          <w:tcPr>
            <w:tcW w:type="dxa" w:w="6690"/>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2948"/>
          </w:tcPr>
          <w:p>
            <w:pPr>
              <w:spacing w:after="0" w:before="0"/>
            </w:pPr>
            <w:r/>
            <w:r>
              <w:rPr>
                <w:rFonts w:ascii="Arial" w:hAnsi="Arial"/>
                <w:b w:val="0"/>
                <w:sz w:val="15"/>
              </w:rPr>
              <w:t>CreditAssessmentInputId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fin.CreditAssessmentFactor</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fin.CreditAssessmentFactor</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fin.CreditAssessmentFactor</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fin.CreditAssessmentFinding</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ParentAssessmentId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6 of 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06160" cy="5046207"/>
            <wp:docPr id="53" name="Picture 53"/>
            <wp:cNvGraphicFramePr>
              <a:graphicFrameLocks noChangeAspect="1"/>
            </wp:cNvGraphicFramePr>
            <a:graphic>
              <a:graphicData uri="http://schemas.openxmlformats.org/drawingml/2006/picture">
                <pic:pic>
                  <pic:nvPicPr>
                    <pic:cNvPr id="0" name="m5_financials_6.png"/>
                    <pic:cNvPicPr/>
                  </pic:nvPicPr>
                  <pic:blipFill>
                    <a:blip r:embed="rId63"/>
                    <a:stretch>
                      <a:fillRect/>
                    </a:stretch>
                  </pic:blipFill>
                  <pic:spPr>
                    <a:xfrm>
                      <a:off x="0" y="0"/>
                      <a:ext cx="6106160" cy="5046207"/>
                    </a:xfrm>
                    <a:prstGeom prst="rect"/>
                  </pic:spPr>
                </pic:pic>
              </a:graphicData>
            </a:graphic>
          </wp:inline>
        </w:drawing>
      </w:r>
    </w:p>
    <w:p>
      <w:pPr>
        <w:spacing w:after="120"/>
        <w:jc w:val="center"/>
      </w:pPr>
      <w:r>
        <w:rPr>
          <w:rFonts w:ascii="Arial" w:hAnsi="Arial"/>
          <w:b w:val="0"/>
          <w:i/>
          <w:color w:val="6B7280"/>
          <w:sz w:val="16"/>
        </w:rPr>
        <w:t>Figure 53  Financial statements and balances (part 6 of 8)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fin.CreditMetric</w:t>
            </w:r>
          </w:p>
        </w:tc>
        <w:tc>
          <w:tcPr>
            <w:tcW w:type="dxa" w:w="6690"/>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2948"/>
          </w:tcPr>
          <w:p>
            <w:pPr>
              <w:spacing w:after="0" w:before="0"/>
            </w:pPr>
            <w:r/>
            <w:r>
              <w:rPr>
                <w:rFonts w:ascii="Arial" w:hAnsi="Arial"/>
                <w:b w:val="0"/>
                <w:sz w:val="15"/>
              </w:rPr>
              <w:t>CreditMetricId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fin.FinancialStatement</w:t>
            </w:r>
          </w:p>
        </w:tc>
        <w:tc>
          <w:tcPr>
            <w:tcW w:type="dxa" w:w="6690"/>
            <w:shd w:val="clear" w:color="auto" w:fill="E8EEF6"/>
          </w:tcPr>
          <w:p>
            <w:pPr>
              <w:spacing w:after="0" w:before="0"/>
            </w:pPr>
            <w:r/>
            <w:r>
              <w:rPr>
                <w:rFonts w:ascii="Arial" w:hAnsi="Arial"/>
                <w:b w:val="0"/>
                <w:sz w:val="15"/>
              </w:rPr>
              <w:t>Financial statement header; highly confidential (FR-FIN-002/005/006, BR-FIN-001..004, section 8)</w:t>
            </w:r>
          </w:p>
        </w:tc>
        <w:tc>
          <w:tcPr>
            <w:tcW w:type="dxa" w:w="2948"/>
            <w:shd w:val="clear" w:color="auto" w:fill="E8EEF6"/>
          </w:tcPr>
          <w:p>
            <w:pPr>
              <w:spacing w:after="0" w:before="0"/>
            </w:pPr>
            <w:r/>
            <w:r>
              <w:rPr>
                <w:rFonts w:ascii="Arial" w:hAnsi="Arial"/>
                <w:b w:val="0"/>
                <w:sz w:val="15"/>
              </w:rPr>
              <w:t>FinancialStatementId</w:t>
            </w:r>
          </w:p>
        </w:tc>
        <w:tc>
          <w:tcPr>
            <w:tcW w:type="dxa" w:w="794"/>
            <w:shd w:val="clear" w:color="auto" w:fill="E8EEF6"/>
          </w:tcPr>
          <w:p>
            <w:pPr>
              <w:spacing w:after="0" w:before="0"/>
            </w:pPr>
            <w:r/>
            <w:r>
              <w:rPr>
                <w:rFonts w:ascii="Arial" w:hAnsi="Arial"/>
                <w:b w:val="0"/>
                <w:sz w:val="15"/>
              </w:rPr>
              <w:t>8</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fin.LineCatalogItem</w:t>
            </w:r>
          </w:p>
        </w:tc>
        <w:tc>
          <w:tcPr>
            <w:tcW w:type="dxa" w:w="6690"/>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2948"/>
          </w:tcPr>
          <w:p>
            <w:pPr>
              <w:spacing w:after="0" w:before="0"/>
            </w:pPr>
            <w:r/>
            <w:r>
              <w:rPr>
                <w:rFonts w:ascii="Arial" w:hAnsi="Arial"/>
                <w:b w:val="0"/>
                <w:sz w:val="15"/>
              </w:rPr>
              <w:t>LineCatalogItemId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fin.LineCatalogItemAlias</w:t>
            </w:r>
          </w:p>
        </w:tc>
        <w:tc>
          <w:tcPr>
            <w:tcW w:type="dxa" w:w="6690"/>
            <w:shd w:val="clear" w:color="auto" w:fill="E8EEF6"/>
          </w:tcPr>
          <w:p>
            <w:pPr>
              <w:spacing w:after="0" w:before="0"/>
            </w:pPr>
            <w:r/>
            <w:r>
              <w:rPr>
                <w:rFonts w:ascii="Arial" w:hAnsi="Arial"/>
                <w:b w:val="0"/>
                <w:sz w:val="15"/>
              </w:rPr>
              <w:t>Alternative names (aliases) for a line item, used for paste and matching</w:t>
            </w:r>
          </w:p>
        </w:tc>
        <w:tc>
          <w:tcPr>
            <w:tcW w:type="dxa" w:w="2948"/>
            <w:shd w:val="clear" w:color="auto" w:fill="E8EEF6"/>
          </w:tcPr>
          <w:p>
            <w:pPr>
              <w:spacing w:after="0" w:before="0"/>
            </w:pPr>
            <w:r/>
            <w:r>
              <w:rPr>
                <w:rFonts w:ascii="Arial" w:hAnsi="Arial"/>
                <w:b w:val="0"/>
                <w:sz w:val="15"/>
              </w:rPr>
              <w:t>LineCatalogItemAliasId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7 of 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55360" cy="5839245"/>
            <wp:docPr id="54" name="Picture 54"/>
            <wp:cNvGraphicFramePr>
              <a:graphicFrameLocks noChangeAspect="1"/>
            </wp:cNvGraphicFramePr>
            <a:graphic>
              <a:graphicData uri="http://schemas.openxmlformats.org/drawingml/2006/picture">
                <pic:pic>
                  <pic:nvPicPr>
                    <pic:cNvPr id="0" name="m5_financials_7.png"/>
                    <pic:cNvPicPr/>
                  </pic:nvPicPr>
                  <pic:blipFill>
                    <a:blip r:embed="rId64"/>
                    <a:stretch>
                      <a:fillRect/>
                    </a:stretch>
                  </pic:blipFill>
                  <pic:spPr>
                    <a:xfrm>
                      <a:off x="0" y="0"/>
                      <a:ext cx="6055360" cy="5839245"/>
                    </a:xfrm>
                    <a:prstGeom prst="rect"/>
                  </pic:spPr>
                </pic:pic>
              </a:graphicData>
            </a:graphic>
          </wp:inline>
        </w:drawing>
      </w:r>
    </w:p>
    <w:p>
      <w:pPr>
        <w:spacing w:after="120"/>
        <w:jc w:val="center"/>
      </w:pPr>
      <w:r>
        <w:rPr>
          <w:rFonts w:ascii="Arial" w:hAnsi="Arial"/>
          <w:b w:val="0"/>
          <w:i/>
          <w:color w:val="6B7280"/>
          <w:sz w:val="16"/>
        </w:rPr>
        <w:t>Figure 54  Financial statements and balances (part 7 of 8)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fin.MeasureFormula</w:t>
            </w:r>
          </w:p>
        </w:tc>
        <w:tc>
          <w:tcPr>
            <w:tcW w:type="dxa" w:w="6690"/>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tcPr>
          <w:p>
            <w:pPr>
              <w:spacing w:after="0" w:before="0"/>
            </w:pPr>
            <w:r/>
            <w:r>
              <w:rPr>
                <w:rFonts w:ascii="Arial" w:hAnsi="Arial"/>
                <w:b w:val="0"/>
                <w:sz w:val="15"/>
              </w:rPr>
              <w:t>MeasureFormulaId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fin.RatingGrade</w:t>
            </w:r>
          </w:p>
        </w:tc>
        <w:tc>
          <w:tcPr>
            <w:tcW w:type="dxa" w:w="6690"/>
            <w:shd w:val="clear" w:color="auto" w:fill="E8EEF6"/>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2948"/>
            <w:shd w:val="clear" w:color="auto" w:fill="E8EEF6"/>
          </w:tcPr>
          <w:p>
            <w:pPr>
              <w:spacing w:after="0" w:before="0"/>
            </w:pPr>
            <w:r/>
            <w:r>
              <w:rPr>
                <w:rFonts w:ascii="Arial" w:hAnsi="Arial"/>
                <w:b w:val="0"/>
                <w:sz w:val="15"/>
              </w:rPr>
              <w:t>RatingGradeId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fin.RevenueEstimate</w:t>
            </w:r>
          </w:p>
        </w:tc>
        <w:tc>
          <w:tcPr>
            <w:tcW w:type="dxa" w:w="6690"/>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2948"/>
          </w:tcPr>
          <w:p>
            <w:pPr>
              <w:spacing w:after="0" w:before="0"/>
            </w:pPr>
            <w:r/>
            <w:r>
              <w:rPr>
                <w:rFonts w:ascii="Arial" w:hAnsi="Arial"/>
                <w:b w:val="0"/>
                <w:sz w:val="15"/>
              </w:rPr>
              <w:t>RevenueEstimateId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BaseTemplateId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PreparedBy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8 of 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9648190" cy="6351759"/>
            <wp:docPr id="55" name="Picture 55"/>
            <wp:cNvGraphicFramePr>
              <a:graphicFrameLocks noChangeAspect="1"/>
            </wp:cNvGraphicFramePr>
            <a:graphic>
              <a:graphicData uri="http://schemas.openxmlformats.org/drawingml/2006/picture">
                <pic:pic>
                  <pic:nvPicPr>
                    <pic:cNvPr id="0" name="m5_financials_8.png"/>
                    <pic:cNvPicPr/>
                  </pic:nvPicPr>
                  <pic:blipFill>
                    <a:blip r:embed="rId65"/>
                    <a:stretch>
                      <a:fillRect/>
                    </a:stretch>
                  </pic:blipFill>
                  <pic:spPr>
                    <a:xfrm>
                      <a:off x="0" y="0"/>
                      <a:ext cx="9648190" cy="6351759"/>
                    </a:xfrm>
                    <a:prstGeom prst="rect"/>
                  </pic:spPr>
                </pic:pic>
              </a:graphicData>
            </a:graphic>
          </wp:inline>
        </w:drawing>
      </w:r>
    </w:p>
    <w:p>
      <w:pPr>
        <w:spacing w:after="120"/>
        <w:jc w:val="center"/>
      </w:pPr>
      <w:r>
        <w:rPr>
          <w:rFonts w:ascii="Arial" w:hAnsi="Arial"/>
          <w:b w:val="0"/>
          <w:i/>
          <w:color w:val="6B7280"/>
          <w:sz w:val="16"/>
        </w:rPr>
        <w:t>Figure 55  Financial statements and balances (part 8 of 8)  ·  6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fin.Scorecard</w:t>
            </w:r>
          </w:p>
        </w:tc>
        <w:tc>
          <w:tcPr>
            <w:tcW w:type="dxa" w:w="6690"/>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2948"/>
          </w:tcPr>
          <w:p>
            <w:pPr>
              <w:spacing w:after="0" w:before="0"/>
            </w:pPr>
            <w:r/>
            <w:r>
              <w:rPr>
                <w:rFonts w:ascii="Arial" w:hAnsi="Arial"/>
                <w:b w:val="0"/>
                <w:sz w:val="15"/>
              </w:rPr>
              <w:t>ScorecardId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fin.ScorecardAdjustment</w:t>
            </w:r>
          </w:p>
        </w:tc>
        <w:tc>
          <w:tcPr>
            <w:tcW w:type="dxa" w:w="6690"/>
            <w:shd w:val="clear" w:color="auto" w:fill="E8EEF6"/>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2948"/>
            <w:shd w:val="clear" w:color="auto" w:fill="E8EEF6"/>
          </w:tcPr>
          <w:p>
            <w:pPr>
              <w:spacing w:after="0" w:before="0"/>
            </w:pPr>
            <w:r/>
            <w:r>
              <w:rPr>
                <w:rFonts w:ascii="Arial" w:hAnsi="Arial"/>
                <w:b w:val="0"/>
                <w:sz w:val="15"/>
              </w:rPr>
              <w:t>ScorecardAdjustmentId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fin.ScorecardItemRule</w:t>
            </w:r>
          </w:p>
        </w:tc>
        <w:tc>
          <w:tcPr>
            <w:tcW w:type="dxa" w:w="6690"/>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2948"/>
          </w:tcPr>
          <w:p>
            <w:pPr>
              <w:spacing w:after="0" w:before="0"/>
            </w:pPr>
            <w:r/>
            <w:r>
              <w:rPr>
                <w:rFonts w:ascii="Arial" w:hAnsi="Arial"/>
                <w:b w:val="0"/>
                <w:sz w:val="15"/>
              </w:rPr>
              <w:t>ScorecardItemRuleId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fin.ScorecardMetric</w:t>
            </w:r>
          </w:p>
        </w:tc>
        <w:tc>
          <w:tcPr>
            <w:tcW w:type="dxa" w:w="6690"/>
            <w:shd w:val="clear" w:color="auto" w:fill="E8EEF6"/>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2948"/>
            <w:shd w:val="clear" w:color="auto" w:fill="E8EEF6"/>
          </w:tcPr>
          <w:p>
            <w:pPr>
              <w:spacing w:after="0" w:before="0"/>
            </w:pPr>
            <w:r/>
            <w:r>
              <w:rPr>
                <w:rFonts w:ascii="Arial" w:hAnsi="Arial"/>
                <w:b w:val="0"/>
                <w:sz w:val="15"/>
              </w:rPr>
              <w:t>ScorecardMetricId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fin.StatementRatio</w:t>
            </w:r>
          </w:p>
        </w:tc>
        <w:tc>
          <w:tcPr>
            <w:tcW w:type="dxa" w:w="6690"/>
            <w:shd w:val="clear" w:color="auto" w:fill="E8EEF6"/>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2948"/>
            <w:shd w:val="clear" w:color="auto" w:fill="E8EEF6"/>
          </w:tcPr>
          <w:p>
            <w:pPr>
              <w:spacing w:after="0" w:before="0"/>
            </w:pPr>
            <w:r/>
            <w:r>
              <w:rPr>
                <w:rFonts w:ascii="Arial" w:hAnsi="Arial"/>
                <w:b w:val="0"/>
                <w:sz w:val="15"/>
              </w:rPr>
              <w:t>StatementRatioId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fin.ScorecardAdjustment</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fin.ScorecardAdjustment</w:t>
            </w:r>
          </w:p>
        </w:tc>
        <w:tc>
          <w:tcPr>
            <w:tcW w:type="dxa" w:w="2948"/>
          </w:tcPr>
          <w:p>
            <w:pPr>
              <w:spacing w:after="0" w:before="0"/>
            </w:pPr>
            <w:r/>
            <w:r>
              <w:rPr>
                <w:rFonts w:ascii="Arial" w:hAnsi="Arial"/>
                <w:b w:val="0"/>
                <w:sz w:val="15"/>
              </w:rPr>
              <w:t>CapGradeId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fin.ScorecardItemRule</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fin.ScorecardItemRule</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fin.ScorecardMetric</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fin.ScorecardMetric</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fin.StatementRatio</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fin.StatementRatio</w:t>
            </w:r>
          </w:p>
        </w:tc>
        <w:tc>
          <w:tcPr>
            <w:tcW w:type="dxa" w:w="2948"/>
          </w:tcPr>
          <w:p>
            <w:pPr>
              <w:spacing w:after="0" w:before="0"/>
            </w:pPr>
            <w:r/>
            <w:r>
              <w:rPr>
                <w:rFonts w:ascii="Arial" w:hAnsi="Arial"/>
                <w:b w:val="0"/>
                <w:sz w:val="15"/>
              </w:rPr>
              <w:t>FormulaId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6" name="Picture 56"/>
            <wp:cNvGraphicFramePr>
              <a:graphicFrameLocks noChangeAspect="1"/>
            </wp:cNvGraphicFramePr>
            <a:graphic>
              <a:graphicData uri="http://schemas.openxmlformats.org/drawingml/2006/picture">
                <pic:pic>
                  <pic:nvPicPr>
                    <pic:cNvPr id="0" name="m6_wf_templates_1.png"/>
                    <pic:cNvPicPr/>
                  </pic:nvPicPr>
                  <pic:blipFill>
                    <a:blip r:embed="rId66"/>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56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7</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7" name="Picture 57"/>
            <wp:cNvGraphicFramePr>
              <a:graphicFrameLocks noChangeAspect="1"/>
            </wp:cNvGraphicFramePr>
            <a:graphic>
              <a:graphicData uri="http://schemas.openxmlformats.org/drawingml/2006/picture">
                <pic:pic>
                  <pic:nvPicPr>
                    <pic:cNvPr id="0" name="m6_wf_templates_2.png"/>
                    <pic:cNvPicPr/>
                  </pic:nvPicPr>
                  <pic:blipFill>
                    <a:blip r:embed="rId67"/>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57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8" name="Picture 58"/>
            <wp:cNvGraphicFramePr>
              <a:graphicFrameLocks noChangeAspect="1"/>
            </wp:cNvGraphicFramePr>
            <a:graphic>
              <a:graphicData uri="http://schemas.openxmlformats.org/drawingml/2006/picture">
                <pic:pic>
                  <pic:nvPicPr>
                    <pic:cNvPr id="0" name="m6_wf_templates_3.png"/>
                    <pic:cNvPicPr/>
                  </pic:nvPicPr>
                  <pic:blipFill>
                    <a:blip r:embed="rId68"/>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58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9" name="Picture 59"/>
            <wp:cNvGraphicFramePr>
              <a:graphicFrameLocks noChangeAspect="1"/>
            </wp:cNvGraphicFramePr>
            <a:graphic>
              <a:graphicData uri="http://schemas.openxmlformats.org/drawingml/2006/picture">
                <pic:pic>
                  <pic:nvPicPr>
                    <pic:cNvPr id="0" name="m6_wf_templates_4.png"/>
                    <pic:cNvPicPr/>
                  </pic:nvPicPr>
                  <pic:blipFill>
                    <a:blip r:embed="rId69"/>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59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4385596"/>
            <wp:docPr id="60" name="Picture 60"/>
            <wp:cNvGraphicFramePr>
              <a:graphicFrameLocks noChangeAspect="1"/>
            </wp:cNvGraphicFramePr>
            <a:graphic>
              <a:graphicData uri="http://schemas.openxmlformats.org/drawingml/2006/picture">
                <pic:pic>
                  <pic:nvPicPr>
                    <pic:cNvPr id="0" name="m6_requests_1.png"/>
                    <pic:cNvPicPr/>
                  </pic:nvPicPr>
                  <pic:blipFill>
                    <a:blip r:embed="rId70"/>
                    <a:stretch>
                      <a:fillRect/>
                    </a:stretch>
                  </pic:blipFill>
                  <pic:spPr>
                    <a:xfrm>
                      <a:off x="0" y="0"/>
                      <a:ext cx="6405880" cy="4385596"/>
                    </a:xfrm>
                    <a:prstGeom prst="rect"/>
                  </pic:spPr>
                </pic:pic>
              </a:graphicData>
            </a:graphic>
          </wp:inline>
        </w:drawing>
      </w:r>
    </w:p>
    <w:p>
      <w:pPr>
        <w:spacing w:after="120"/>
        <w:jc w:val="center"/>
      </w:pPr>
      <w:r>
        <w:rPr>
          <w:rFonts w:ascii="Arial" w:hAnsi="Arial"/>
          <w:b w:val="0"/>
          <w:i/>
          <w:color w:val="6B7280"/>
          <w:sz w:val="16"/>
        </w:rPr>
        <w:t>Figure 60  Requests, approvals and actions (part 1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ParentRequestId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CopiedFromRequestId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5816600" cy="4199261"/>
            <wp:docPr id="61" name="Picture 61"/>
            <wp:cNvGraphicFramePr>
              <a:graphicFrameLocks noChangeAspect="1"/>
            </wp:cNvGraphicFramePr>
            <a:graphic>
              <a:graphicData uri="http://schemas.openxmlformats.org/drawingml/2006/picture">
                <pic:pic>
                  <pic:nvPicPr>
                    <pic:cNvPr id="0" name="m6_requests_2.png"/>
                    <pic:cNvPicPr/>
                  </pic:nvPicPr>
                  <pic:blipFill>
                    <a:blip r:embed="rId71"/>
                    <a:stretch>
                      <a:fillRect/>
                    </a:stretch>
                  </pic:blipFill>
                  <pic:spPr>
                    <a:xfrm>
                      <a:off x="0" y="0"/>
                      <a:ext cx="5816600" cy="4199261"/>
                    </a:xfrm>
                    <a:prstGeom prst="rect"/>
                  </pic:spPr>
                </pic:pic>
              </a:graphicData>
            </a:graphic>
          </wp:inline>
        </w:drawing>
      </w:r>
    </w:p>
    <w:p>
      <w:pPr>
        <w:spacing w:after="120"/>
        <w:jc w:val="center"/>
      </w:pPr>
      <w:r>
        <w:rPr>
          <w:rFonts w:ascii="Arial" w:hAnsi="Arial"/>
          <w:b w:val="0"/>
          <w:i/>
          <w:color w:val="6B7280"/>
          <w:sz w:val="16"/>
        </w:rPr>
        <w:t>Figure 61  Requests, approvals and actions (part 2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LetterOfCreditId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34150" cy="8092870"/>
            <wp:docPr id="62" name="Picture 62"/>
            <wp:cNvGraphicFramePr>
              <a:graphicFrameLocks noChangeAspect="1"/>
            </wp:cNvGraphicFramePr>
            <a:graphic>
              <a:graphicData uri="http://schemas.openxmlformats.org/drawingml/2006/picture">
                <pic:pic>
                  <pic:nvPicPr>
                    <pic:cNvPr id="0" name="m6_requests_3.png"/>
                    <pic:cNvPicPr/>
                  </pic:nvPicPr>
                  <pic:blipFill>
                    <a:blip r:embed="rId72"/>
                    <a:stretch>
                      <a:fillRect/>
                    </a:stretch>
                  </pic:blipFill>
                  <pic:spPr>
                    <a:xfrm>
                      <a:off x="0" y="0"/>
                      <a:ext cx="6534150" cy="8092870"/>
                    </a:xfrm>
                    <a:prstGeom prst="rect"/>
                  </pic:spPr>
                </pic:pic>
              </a:graphicData>
            </a:graphic>
          </wp:inline>
        </w:drawing>
      </w:r>
    </w:p>
    <w:p>
      <w:pPr>
        <w:spacing w:after="120"/>
        <w:jc w:val="center"/>
      </w:pPr>
      <w:r>
        <w:rPr>
          <w:rFonts w:ascii="Arial" w:hAnsi="Arial"/>
          <w:b w:val="0"/>
          <w:i/>
          <w:color w:val="6B7280"/>
          <w:sz w:val="16"/>
        </w:rPr>
        <w:t>Figure 62  Requests, approvals and actions (part 3 of 7)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63" name="Picture 63"/>
            <wp:cNvGraphicFramePr>
              <a:graphicFrameLocks noChangeAspect="1"/>
            </wp:cNvGraphicFramePr>
            <a:graphic>
              <a:graphicData uri="http://schemas.openxmlformats.org/drawingml/2006/picture">
                <pic:pic>
                  <pic:nvPicPr>
                    <pic:cNvPr id="0" name="m6_requests_4.png"/>
                    <pic:cNvPicPr/>
                  </pic:nvPicPr>
                  <pic:blipFill>
                    <a:blip r:embed="rId73"/>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63  Requests, approvals and actions (part 4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64" name="Picture 64"/>
            <wp:cNvGraphicFramePr>
              <a:graphicFrameLocks noChangeAspect="1"/>
            </wp:cNvGraphicFramePr>
            <a:graphic>
              <a:graphicData uri="http://schemas.openxmlformats.org/drawingml/2006/picture">
                <pic:pic>
                  <pic:nvPicPr>
                    <pic:cNvPr id="0" name="m6_requests_5.png"/>
                    <pic:cNvPicPr/>
                  </pic:nvPicPr>
                  <pic:blipFill>
                    <a:blip r:embed="rId74"/>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64  Requests, approvals and actions (part 5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65" name="Picture 65"/>
            <wp:cNvGraphicFramePr>
              <a:graphicFrameLocks noChangeAspect="1"/>
            </wp:cNvGraphicFramePr>
            <a:graphic>
              <a:graphicData uri="http://schemas.openxmlformats.org/drawingml/2006/picture">
                <pic:pic>
                  <pic:nvPicPr>
                    <pic:cNvPr id="0" name="m6_requests_6.png"/>
                    <pic:cNvPicPr/>
                  </pic:nvPicPr>
                  <pic:blipFill>
                    <a:blip r:embed="rId75"/>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65  Requests, approvals and actions (part 6 of 7)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7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66" name="Picture 66"/>
            <wp:cNvGraphicFramePr>
              <a:graphicFrameLocks noChangeAspect="1"/>
            </wp:cNvGraphicFramePr>
            <a:graphic>
              <a:graphicData uri="http://schemas.openxmlformats.org/drawingml/2006/picture">
                <pic:pic>
                  <pic:nvPicPr>
                    <pic:cNvPr id="0" name="m6_requests_7.png"/>
                    <pic:cNvPicPr/>
                  </pic:nvPicPr>
                  <pic:blipFill>
                    <a:blip r:embed="rId76"/>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66  Requests, approvals and actions (part 7 of 7)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7" name="Picture 67"/>
            <wp:cNvGraphicFramePr>
              <a:graphicFrameLocks noChangeAspect="1"/>
            </wp:cNvGraphicFramePr>
            <a:graphic>
              <a:graphicData uri="http://schemas.openxmlformats.org/drawingml/2006/picture">
                <pic:pic>
                  <pic:nvPicPr>
                    <pic:cNvPr id="0" name="m6_notifications.png"/>
                    <pic:cNvPicPr/>
                  </pic:nvPicPr>
                  <pic:blipFill>
                    <a:blip r:embed="rId77"/>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67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8" name="Picture 68"/>
            <wp:cNvGraphicFramePr>
              <a:graphicFrameLocks noChangeAspect="1"/>
            </wp:cNvGraphicFramePr>
            <a:graphic>
              <a:graphicData uri="http://schemas.openxmlformats.org/drawingml/2006/picture">
                <pic:pic>
                  <pic:nvPicPr>
                    <pic:cNvPr id="0" name="m7_8_lc_terms_1.png"/>
                    <pic:cNvPicPr/>
                  </pic:nvPicPr>
                  <pic:blipFill>
                    <a:blip r:embed="rId78"/>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68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69" name="Picture 69"/>
            <wp:cNvGraphicFramePr>
              <a:graphicFrameLocks noChangeAspect="1"/>
            </wp:cNvGraphicFramePr>
            <a:graphic>
              <a:graphicData uri="http://schemas.openxmlformats.org/drawingml/2006/picture">
                <pic:pic>
                  <pic:nvPicPr>
                    <pic:cNvPr id="0" name="m7_8_lc_terms_2.png"/>
                    <pic:cNvPicPr/>
                  </pic:nvPicPr>
                  <pic:blipFill>
                    <a:blip r:embed="rId79"/>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69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70" name="Picture 70"/>
            <wp:cNvGraphicFramePr>
              <a:graphicFrameLocks noChangeAspect="1"/>
            </wp:cNvGraphicFramePr>
            <a:graphic>
              <a:graphicData uri="http://schemas.openxmlformats.org/drawingml/2006/picture">
                <pic:pic>
                  <pic:nvPicPr>
                    <pic:cNvPr id="0" name="m7_8_lc_terms_3.png"/>
                    <pic:cNvPicPr/>
                  </pic:nvPicPr>
                  <pic:blipFill>
                    <a:blip r:embed="rId80"/>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70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71" name="Picture 71"/>
            <wp:cNvGraphicFramePr>
              <a:graphicFrameLocks noChangeAspect="1"/>
            </wp:cNvGraphicFramePr>
            <a:graphic>
              <a:graphicData uri="http://schemas.openxmlformats.org/drawingml/2006/picture">
                <pic:pic>
                  <pic:nvPicPr>
                    <pic:cNvPr id="0" name="m7_8_lc_terms_4.png"/>
                    <pic:cNvPicPr/>
                  </pic:nvPicPr>
                  <pic:blipFill>
                    <a:blip r:embed="rId81"/>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71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72" name="Picture 72"/>
            <wp:cNvGraphicFramePr>
              <a:graphicFrameLocks noChangeAspect="1"/>
            </wp:cNvGraphicFramePr>
            <a:graphic>
              <a:graphicData uri="http://schemas.openxmlformats.org/drawingml/2006/picture">
                <pic:pic>
                  <pic:nvPicPr>
                    <pic:cNvPr id="0" name="m7_8_lc_terms_5.png"/>
                    <pic:cNvPicPr/>
                  </pic:nvPicPr>
                  <pic:blipFill>
                    <a:blip r:embed="rId82"/>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72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835816"/>
            <wp:docPr id="73" name="Picture 73"/>
            <wp:cNvGraphicFramePr>
              <a:graphicFrameLocks noChangeAspect="1"/>
            </wp:cNvGraphicFramePr>
            <a:graphic>
              <a:graphicData uri="http://schemas.openxmlformats.org/drawingml/2006/picture">
                <pic:pic>
                  <pic:nvPicPr>
                    <pic:cNvPr id="0" name="m7_8_lc_ops_1.png"/>
                    <pic:cNvPicPr/>
                  </pic:nvPicPr>
                  <pic:blipFill>
                    <a:blip r:embed="rId83"/>
                    <a:stretch>
                      <a:fillRect/>
                    </a:stretch>
                  </pic:blipFill>
                  <pic:spPr>
                    <a:xfrm>
                      <a:off x="0" y="0"/>
                      <a:ext cx="5919470" cy="7835816"/>
                    </a:xfrm>
                    <a:prstGeom prst="rect"/>
                  </pic:spPr>
                </pic:pic>
              </a:graphicData>
            </a:graphic>
          </wp:inline>
        </w:drawing>
      </w:r>
    </w:p>
    <w:p>
      <w:pPr>
        <w:spacing w:after="120"/>
        <w:jc w:val="center"/>
      </w:pPr>
      <w:r>
        <w:rPr>
          <w:rFonts w:ascii="Arial" w:hAnsi="Arial"/>
          <w:b w:val="0"/>
          <w:i/>
          <w:color w:val="6B7280"/>
          <w:sz w:val="16"/>
        </w:rPr>
        <w:t>Figure 73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CompanyId,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CompanyId,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6795893"/>
            <wp:docPr id="74" name="Picture 74"/>
            <wp:cNvGraphicFramePr>
              <a:graphicFrameLocks noChangeAspect="1"/>
            </wp:cNvGraphicFramePr>
            <a:graphic>
              <a:graphicData uri="http://schemas.openxmlformats.org/drawingml/2006/picture">
                <pic:pic>
                  <pic:nvPicPr>
                    <pic:cNvPr id="0" name="m7_8_lc_ops_2.png"/>
                    <pic:cNvPicPr/>
                  </pic:nvPicPr>
                  <pic:blipFill>
                    <a:blip r:embed="rId84"/>
                    <a:stretch>
                      <a:fillRect/>
                    </a:stretch>
                  </pic:blipFill>
                  <pic:spPr>
                    <a:xfrm>
                      <a:off x="0" y="0"/>
                      <a:ext cx="6550659" cy="6795893"/>
                    </a:xfrm>
                    <a:prstGeom prst="rect"/>
                  </pic:spPr>
                </pic:pic>
              </a:graphicData>
            </a:graphic>
          </wp:inline>
        </w:drawing>
      </w:r>
    </w:p>
    <w:p>
      <w:pPr>
        <w:spacing w:after="120"/>
        <w:jc w:val="center"/>
      </w:pPr>
      <w:r>
        <w:rPr>
          <w:rFonts w:ascii="Arial" w:hAnsi="Arial"/>
          <w:b w:val="0"/>
          <w:i/>
          <w:color w:val="6B7280"/>
          <w:sz w:val="16"/>
        </w:rPr>
        <w:t>Figure 74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LcClass, CurrencyId, TolerancePlusPct, ToleranceMinusPct, 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LcClass, CurrencyId, TolerancePlusPct, ToleranceMinusPct,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75" name="Picture 75"/>
            <wp:cNvGraphicFramePr>
              <a:graphicFrameLocks noChangeAspect="1"/>
            </wp:cNvGraphicFramePr>
            <a:graphic>
              <a:graphicData uri="http://schemas.openxmlformats.org/drawingml/2006/picture">
                <pic:pic>
                  <pic:nvPicPr>
                    <pic:cNvPr id="0" name="m7_8_lc_ops_3.png"/>
                    <pic:cNvPicPr/>
                  </pic:nvPicPr>
                  <pic:blipFill>
                    <a:blip r:embed="rId85"/>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75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92850" cy="7149077"/>
            <wp:docPr id="76" name="Picture 76"/>
            <wp:cNvGraphicFramePr>
              <a:graphicFrameLocks noChangeAspect="1"/>
            </wp:cNvGraphicFramePr>
            <a:graphic>
              <a:graphicData uri="http://schemas.openxmlformats.org/drawingml/2006/picture">
                <pic:pic>
                  <pic:nvPicPr>
                    <pic:cNvPr id="0" name="m7_8_lc_ops_4.png"/>
                    <pic:cNvPicPr/>
                  </pic:nvPicPr>
                  <pic:blipFill>
                    <a:blip r:embed="rId86"/>
                    <a:stretch>
                      <a:fillRect/>
                    </a:stretch>
                  </pic:blipFill>
                  <pic:spPr>
                    <a:xfrm>
                      <a:off x="0" y="0"/>
                      <a:ext cx="6292850" cy="7149077"/>
                    </a:xfrm>
                    <a:prstGeom prst="rect"/>
                  </pic:spPr>
                </pic:pic>
              </a:graphicData>
            </a:graphic>
          </wp:inline>
        </w:drawing>
      </w:r>
    </w:p>
    <w:p>
      <w:pPr>
        <w:spacing w:after="120"/>
        <w:jc w:val="center"/>
      </w:pPr>
      <w:r>
        <w:rPr>
          <w:rFonts w:ascii="Arial" w:hAnsi="Arial"/>
          <w:b w:val="0"/>
          <w:i/>
          <w:color w:val="6B7280"/>
          <w:sz w:val="16"/>
        </w:rPr>
        <w:t>Figure 76  Letters of credit and proforma invoices (part 4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TermsPurpose, CurrencyId, 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Purpose, CurrencyId, 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WithdrawalDocumentId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7" name="Picture 77"/>
            <wp:cNvGraphicFramePr>
              <a:graphicFrameLocks noChangeAspect="1"/>
            </wp:cNvGraphicFramePr>
            <a:graphic>
              <a:graphicData uri="http://schemas.openxmlformats.org/drawingml/2006/picture">
                <pic:pic>
                  <pic:nvPicPr>
                    <pic:cNvPr id="0" name="m7_8_lc_ops_5.png"/>
                    <pic:cNvPicPr/>
                  </pic:nvPicPr>
                  <pic:blipFill>
                    <a:blip r:embed="rId87"/>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77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8" name="Picture 78"/>
            <wp:cNvGraphicFramePr>
              <a:graphicFrameLocks noChangeAspect="1"/>
            </wp:cNvGraphicFramePr>
            <a:graphic>
              <a:graphicData uri="http://schemas.openxmlformats.org/drawingml/2006/picture">
                <pic:pic>
                  <pic:nvPicPr>
                    <pic:cNvPr id="0" name="m7_8_lc_ops_6.png"/>
                    <pic:cNvPicPr/>
                  </pic:nvPicPr>
                  <pic:blipFill>
                    <a:blip r:embed="rId88"/>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78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7149196"/>
            <wp:docPr id="79" name="Picture 79"/>
            <wp:cNvGraphicFramePr>
              <a:graphicFrameLocks noChangeAspect="1"/>
            </wp:cNvGraphicFramePr>
            <a:graphic>
              <a:graphicData uri="http://schemas.openxmlformats.org/drawingml/2006/picture">
                <pic:pic>
                  <pic:nvPicPr>
                    <pic:cNvPr id="0" name="m7_8_lc_ops_7.png"/>
                    <pic:cNvPicPr/>
                  </pic:nvPicPr>
                  <pic:blipFill>
                    <a:blip r:embed="rId89"/>
                    <a:stretch>
                      <a:fillRect/>
                    </a:stretch>
                  </pic:blipFill>
                  <pic:spPr>
                    <a:xfrm>
                      <a:off x="0" y="0"/>
                      <a:ext cx="6550659" cy="7149196"/>
                    </a:xfrm>
                    <a:prstGeom prst="rect"/>
                  </pic:spPr>
                </pic:pic>
              </a:graphicData>
            </a:graphic>
          </wp:inline>
        </w:drawing>
      </w:r>
    </w:p>
    <w:p>
      <w:pPr>
        <w:spacing w:after="120"/>
        <w:jc w:val="center"/>
      </w:pPr>
      <w:r>
        <w:rPr>
          <w:rFonts w:ascii="Arial" w:hAnsi="Arial"/>
          <w:b w:val="0"/>
          <w:i/>
          <w:color w:val="6B7280"/>
          <w:sz w:val="16"/>
        </w:rPr>
        <w:t>Figure 79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TermsPurpose, CurrencyId, 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Purpose, CurrencyId,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80" name="Picture 80"/>
            <wp:cNvGraphicFramePr>
              <a:graphicFrameLocks noChangeAspect="1"/>
            </wp:cNvGraphicFramePr>
            <a:graphic>
              <a:graphicData uri="http://schemas.openxmlformats.org/drawingml/2006/picture">
                <pic:pic>
                  <pic:nvPicPr>
                    <pic:cNvPr id="0" name="m7_8_lc_ops_8.png"/>
                    <pic:cNvPicPr/>
                  </pic:nvPicPr>
                  <pic:blipFill>
                    <a:blip r:embed="rId90"/>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80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81" name="Picture 81"/>
            <wp:cNvGraphicFramePr>
              <a:graphicFrameLocks noChangeAspect="1"/>
            </wp:cNvGraphicFramePr>
            <a:graphic>
              <a:graphicData uri="http://schemas.openxmlformats.org/drawingml/2006/picture">
                <pic:pic>
                  <pic:nvPicPr>
                    <pic:cNvPr id="0" name="m7_8_lc_ops_9.png"/>
                    <pic:cNvPicPr/>
                  </pic:nvPicPr>
                  <pic:blipFill>
                    <a:blip r:embed="rId91"/>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81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the way CI already does since docs/adr/0010-deployment-as-db-owner.md: an administrator prepares the empty database once (tools/deploy/prepare_database.sh), and the deployment login bankfas_migrator, a member of db_owner only, runs it inside an open window. Before the first deployment the administrator starts SQL Server Audit (tools/deploy/server_audit.sh apply, docs/adr/0012-server-audit.md), so the deployment itself is recorded and every step declares its window. After it the monitoring login bankfas_monitor, which reads definitions and no row, runs tools/dbgen/check_deployed.py (docs/adr/0013-monitor-login-and-deployment-checks.md); no deployment tool trusts the server certificate by itself. deploy.sh refuses sa or any sysadmin, a database that is not empty, and a server whose SQL Server build or Ubuntu release differs from treasury-platform/versions.json, whose image CI runs (gate G4, docs/adr/0014-deployment-preflight.md).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 and the platform seed holds the 39 articles as UNVERIFIED platform rows (db/seed/103_lc_reference.sql, ADR 0005), so the badge and the print footnote show until they are checked.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Owner decision 2026-10-12 (DQ-B09-2): add owner, needed-by and review-date columns to section 14 of each specification and to tools/gen_indexes.py; resolve the critical questions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Closed. Decided by the owner (2026-10-12, docs/31-owner-decisions.md): numbers of requests and proformas are gap-free (Q-PLT-08, DQ-B02-4); other series may have gaps. Built in docs/adr/0005-document-numbering-and-reference-seeds.md: cfg.usp_AllocateNumber takes the counter row under an update lock inside the business transaction, so a rollback returns the number and the next request waits for the commit; a gap-free sequence is refused outside a transaction; a number is voided with a reason, never reused (db/static/039_numbering.sql). Tests N1 to N8 (db/tests/numbering_tests.sql, including AC-PLT-3) and a concurrency test (tools/ci/numbering_concurrency.sh: six connections, a quarter of the transactions rolled back, numbers 1 to N with no duplicate and no gap).</w:t>
            </w:r>
          </w:p>
        </w:tc>
        <w:tc>
          <w:tcPr>
            <w:tcW w:type="dxa" w:w="2721"/>
            <w:shd w:val="clear" w:color="auto" w:fill="E8EEF6"/>
          </w:tcPr>
          <w:p>
            <w:pPr>
              <w:spacing w:after="0" w:before="0"/>
            </w:pPr>
            <w:r/>
            <w:r>
              <w:rPr>
                <w:rFonts w:ascii="Arial" w:hAnsi="Arial"/>
                <w:b w:val="0"/>
                <w:sz w:val="15"/>
              </w:rPr>
              <w:t>Accepted cost: requests on one gap-free sequence are serialised until each commits, so the business transaction that takes a number must stay short (take the number last). Measure under load in S1.</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Closed (docs/adr/0006-kyc-history-and-cascade-deletes.md). The cascade from org.CompanyWealthSource to the KYC financial profile is removed: a profile is dated history and its removal is an explicit retention step. The cascade from pty.KycProfileItemLegalForm to its item stays, since a condition is part of its item, and items and conditions now change only while the profile is a DRAFT (db/static/041_kyc_profile_versions.sql, 50033). Rule R11 in tools/dbgen/check_grants.py refuses any other cascade. Tests K1 to K4 (db/tests/kyc_history_tests.sql).</w:t>
            </w:r>
          </w:p>
        </w:tc>
        <w:tc>
          <w:tcPr>
            <w:tcW w:type="dxa" w:w="2721"/>
          </w:tcPr>
          <w:p>
            <w:pPr>
              <w:spacing w:after="0" w:before="0"/>
            </w:pPr>
            <w:r/>
            <w:r>
              <w:rPr>
                <w:rFonts w:ascii="Arial" w:hAnsi="Arial"/>
                <w:b w:val="0"/>
                <w:sz w:val="15"/>
              </w:rPr>
              <w:t>None. A new cascade needs a review and an entry in CASCADE_ALLOWED.</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R6 is closed by docs/adr/0007-audit-written-by-the-database.md (DQ-F03-10): a trigger copies every login attempt into aud.AuditLog, so deleting attempts no longer removes the trace (test AU2).</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Operator roles cannot be changed. The ISO seed sets the dial code and weekend for the six GCC states only; the other dial codes need an ITU source, and the GCC weekends are proposals to verify (Q-CAT-12).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 The procedures now write their own audit rows: onboarding, status changes, support and job bindings, and operator logins and accounts (docs/adr/0007-audit-written-by-the-database.md, tests AU1 to AU7, P11, J7). The ISO country and currency lists (DQ-B05-5) and the 138 permission codes (DQ-F07-1, DQ-F09-1) are now seeded (docs/adr/0005-document-numbering-and-reference-seeds.md). The export writes needed in SUSPENDED and CLOSED go through procedures, with the new job JOB-PLT-EXPORT (DQ-F04-8, docs/adr/0008-data-export-in-read-only-states.md, tests X1 to X6). The worker, the support connection, the web application and the operator panel have their own logins and secrets, one role each (docs/adr/0009-service-logins.md, checks LG1 to LG6).</w:t>
            </w:r>
          </w:p>
        </w:tc>
        <w:tc>
          <w:tcPr>
            <w:tcW w:type="dxa" w:w="2721"/>
          </w:tcPr>
          <w:p>
            <w:pPr>
              <w:spacing w:after="0" w:before="0"/>
            </w:pPr>
            <w:r/>
            <w:r>
              <w:rPr>
                <w:rFonts w:ascii="Arial" w:hAnsi="Arial"/>
                <w:b w:val="0"/>
                <w:sz w:val="15"/>
              </w:rPr>
              <w:t>Chain the audit rows when FR-PLT-025 is built (S2); add the other dial codes from an ITU source; build the export package in the application and then lift the closing guard (FR-PLT-039, DQ-F05-7).</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213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 the pair respects the Shariah classification (DR-30)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cfg.ExpiryAlertRuleRole</w:t>
            </w:r>
          </w:p>
        </w:tc>
        <w:tc>
          <w:tcPr>
            <w:tcW w:type="dxa" w:w="10205"/>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cfg.JobDefinition</w:t>
            </w:r>
          </w:p>
        </w:tc>
        <w:tc>
          <w:tcPr>
            <w:tcW w:type="dxa" w:w="10205"/>
          </w:tcPr>
          <w:p>
            <w:pPr>
              <w:spacing w:after="0" w:before="0"/>
            </w:pPr>
            <w:r/>
            <w:r>
              <w:rPr>
                <w:rFonts w:ascii="Arial" w:hAnsi="Arial"/>
                <w:b w:val="0"/>
                <w:sz w:val="15"/>
              </w:rPr>
              <w:t>Background job catalogue: the only JobKey values a job connection may bind with (FR-PLT-044)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fac.FacilityRevision</w:t>
            </w:r>
          </w:p>
        </w:tc>
        <w:tc>
          <w:tcPr>
            <w:tcW w:type="dxa" w:w="10205"/>
            <w:shd w:val="clear" w:color="auto" w:fill="E8EEF6"/>
          </w:tcPr>
          <w:p>
            <w:pPr>
              <w:spacing w:after="0" w:before="0"/>
            </w:pPr>
            <w:r/>
            <w:r>
              <w:rPr>
                <w:rFonts w:ascii="Arial" w:hAnsi="Arial"/>
                <w:b w:val="0"/>
                <w:sz w:val="15"/>
              </w:rPr>
              <w:t>Preparer and approver revision of facility terms (FR-FAC-024, BR-FAC-003/004, section 8)</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fac.Limit</w:t>
            </w:r>
          </w:p>
        </w:tc>
        <w:tc>
          <w:tcPr>
            <w:tcW w:type="dxa" w:w="10205"/>
          </w:tcPr>
          <w:p>
            <w:pPr>
              <w:spacing w:after="0" w:before="0"/>
            </w:pPr>
            <w:r/>
            <w:r>
              <w:rPr>
                <w:rFonts w:ascii="Arial" w:hAnsi="Arial"/>
                <w:b w:val="0"/>
                <w:sz w:val="15"/>
              </w:rPr>
              <w:t>Limit-tree node (FR-FAC-010/011, BR-FAC-009/010, V-FAC-04..07)</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fac.LimitCompanyRule</w:t>
            </w:r>
          </w:p>
        </w:tc>
        <w:tc>
          <w:tcPr>
            <w:tcW w:type="dxa" w:w="10205"/>
            <w:shd w:val="clear" w:color="auto" w:fill="E8EEF6"/>
          </w:tcPr>
          <w:p>
            <w:pPr>
              <w:spacing w:after="0" w:before="0"/>
            </w:pPr>
            <w:r/>
            <w:r>
              <w:rPr>
                <w:rFonts w:ascii="Arial" w:hAnsi="Arial"/>
                <w:b w:val="0"/>
                <w:sz w:val="15"/>
              </w:rPr>
              <w:t>Company rule on a limit: allowed, excluded or allocated (FR-FAC-013, BR-FAC-012, V-FAC-09)</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fac.LimitMovement</w:t>
            </w:r>
          </w:p>
        </w:tc>
        <w:tc>
          <w:tcPr>
            <w:tcW w:type="dxa" w:w="10205"/>
          </w:tcPr>
          <w:p>
            <w:pPr>
              <w:spacing w:after="0" w:before="0"/>
            </w:pPr>
            <w:r/>
            <w:r>
              <w:rPr>
                <w:rFonts w:ascii="Arial" w:hAnsi="Arial"/>
                <w:b w:val="0"/>
                <w:sz w:val="15"/>
              </w:rPr>
              <w:t>Movement record on a reservation or usage; no update or delete; duplicate-prevention key (BR-FAC-015, BR-FAC-020)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fac.LimitProductLine</w:t>
            </w:r>
          </w:p>
        </w:tc>
        <w:tc>
          <w:tcPr>
            <w:tcW w:type="dxa" w:w="10205"/>
            <w:shd w:val="clear" w:color="auto" w:fill="E8EEF6"/>
          </w:tcPr>
          <w:p>
            <w:pPr>
              <w:spacing w:after="0" w:before="0"/>
            </w:pPr>
            <w:r/>
            <w:r>
              <w:rPr>
                <w:rFonts w:ascii="Arial" w:hAnsi="Arial"/>
                <w:b w:val="0"/>
                <w:sz w:val="15"/>
              </w:rPr>
              <w:t>Product line within a limit, with an optional SHARED_CAP ceiling (FR-FAC-012, V-FAC-08)</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fac.LimitReservation</w:t>
            </w:r>
          </w:p>
        </w:tc>
        <w:tc>
          <w:tcPr>
            <w:tcW w:type="dxa" w:w="10205"/>
          </w:tcPr>
          <w:p>
            <w:pPr>
              <w:spacing w:after="0" w:before="0"/>
            </w:pPr>
            <w:r/>
            <w:r>
              <w:rPr>
                <w:rFonts w:ascii="Arial" w:hAnsi="Arial"/>
                <w:b w:val="0"/>
                <w:sz w:val="15"/>
              </w:rPr>
              <w:t>Amount reserved for a request, equal to ExposureAmount (FR-FAC-017/018/020, BR-FAC-015)</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fac.OutstandingSnapshot</w:t>
            </w:r>
          </w:p>
        </w:tc>
        <w:tc>
          <w:tcPr>
            <w:tcW w:type="dxa" w:w="10205"/>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fac.ProductLineTerm</w:t>
            </w:r>
          </w:p>
        </w:tc>
        <w:tc>
          <w:tcPr>
            <w:tcW w:type="dxa" w:w="10205"/>
          </w:tcPr>
          <w:p>
            <w:pPr>
              <w:spacing w:after="0" w:before="0"/>
            </w:pPr>
            <w:r/>
            <w:r>
              <w:rPr>
                <w:rFonts w:ascii="Arial" w:hAnsi="Arial"/>
                <w:b w:val="0"/>
                <w:sz w:val="15"/>
              </w:rPr>
              <w:t>Operational terms of a product line with effective dates; NULL means 'not specified', not zero (FR-FAC-014, BR-FAC-016)</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fac.Utilization</w:t>
            </w:r>
          </w:p>
        </w:tc>
        <w:tc>
          <w:tcPr>
            <w:tcW w:type="dxa" w:w="10205"/>
            <w:shd w:val="clear" w:color="auto" w:fill="E8EEF6"/>
          </w:tcPr>
          <w:p>
            <w:pPr>
              <w:spacing w:after="0" w:before="0"/>
            </w:pPr>
            <w:r/>
            <w:r>
              <w:rPr>
                <w:rFonts w:ascii="Arial" w:hAnsi="Arial"/>
                <w:b w:val="0"/>
                <w:sz w:val="15"/>
              </w:rPr>
              <w:t>Active utilisation item: manual or linked to a letter of credit; never deleted (FR-FAC-016/030, BR-FAC-013/020)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fac.ValueConflict</w:t>
            </w:r>
          </w:p>
        </w:tc>
        <w:tc>
          <w:tcPr>
            <w:tcW w:type="dxa" w:w="10205"/>
          </w:tcPr>
          <w:p>
            <w:pPr>
              <w:spacing w:after="0" w:before="0"/>
            </w:pPr>
            <w:r/>
            <w:r>
              <w:rPr>
                <w:rFonts w:ascii="Arial" w:hAnsi="Arial"/>
                <w:b w:val="0"/>
                <w:sz w:val="15"/>
              </w:rPr>
              <w:t>Conflict between two values of one field, and its resolution (FR-FAC-026, BR-FAC-019, BR-FAC-008)</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fin.AccountMonthlyStat</w:t>
            </w:r>
          </w:p>
        </w:tc>
        <w:tc>
          <w:tcPr>
            <w:tcW w:type="dxa" w:w="10205"/>
            <w:shd w:val="clear" w:color="auto" w:fill="E8EEF6"/>
          </w:tcPr>
          <w:p>
            <w:pPr>
              <w:spacing w:after="0" w:before="0"/>
            </w:pPr>
            <w:r/>
            <w:r>
              <w:rPr>
                <w:rFonts w:ascii="Arial" w:hAnsi="Arial"/>
                <w:b w:val="0"/>
                <w:sz w:val="15"/>
              </w:rPr>
              <w:t>Monthly balance of an account in the account currency (FR-FIN-008, BR-FIN-005/006, V-FIN-02)</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m5_financials_2</w:t>
            </w:r>
          </w:p>
        </w:tc>
      </w:tr>
      <w:tr>
        <w:trPr>
          <w:cantSplit w:val="true"/>
        </w:trPr>
        <w:tc>
          <w:tcPr>
            <w:tcW w:type="dxa" w:w="3515"/>
            <w:shd w:val="clear" w:color="auto" w:fill="E8EEF6"/>
          </w:tcPr>
          <w:p>
            <w:pPr>
              <w:spacing w:after="0" w:before="0"/>
            </w:pPr>
            <w:r/>
            <w:r>
              <w:rPr>
                <w:rFonts w:ascii="Arial" w:hAnsi="Arial"/>
                <w:b w:val="0"/>
                <w:sz w:val="15"/>
              </w:rPr>
              <w:t>fin.ConsolidationMember</w:t>
            </w:r>
          </w:p>
        </w:tc>
        <w:tc>
          <w:tcPr>
            <w:tcW w:type="dxa" w:w="10205"/>
            <w:shd w:val="clear" w:color="auto" w:fill="E8EEF6"/>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fin.CreditAssessment</w:t>
            </w:r>
          </w:p>
        </w:tc>
        <w:tc>
          <w:tcPr>
            <w:tcW w:type="dxa" w:w="10205"/>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fin.CreditAssessmentFactor</w:t>
            </w:r>
          </w:p>
        </w:tc>
        <w:tc>
          <w:tcPr>
            <w:tcW w:type="dxa" w:w="10205"/>
            <w:shd w:val="clear" w:color="auto" w:fill="E8EEF6"/>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1701"/>
            <w:shd w:val="clear" w:color="auto" w:fill="E8EEF6"/>
          </w:tcPr>
          <w:p>
            <w:pPr>
              <w:spacing w:after="0" w:before="0"/>
            </w:pPr>
            <w:r/>
            <w:r>
              <w:rPr>
                <w:rFonts w:ascii="Arial" w:hAnsi="Arial"/>
                <w:b w:val="0"/>
                <w:sz w:val="15"/>
              </w:rPr>
              <w:t>m5_financials_5</w:t>
            </w:r>
          </w:p>
        </w:tc>
      </w:tr>
      <w:tr>
        <w:trPr>
          <w:cantSplit w:val="true"/>
        </w:trPr>
        <w:tc>
          <w:tcPr>
            <w:tcW w:type="dxa" w:w="3515"/>
          </w:tcPr>
          <w:p>
            <w:pPr>
              <w:spacing w:after="0" w:before="0"/>
            </w:pPr>
            <w:r/>
            <w:r>
              <w:rPr>
                <w:rFonts w:ascii="Arial" w:hAnsi="Arial"/>
                <w:b w:val="0"/>
                <w:sz w:val="15"/>
              </w:rPr>
              <w:t>fin.CreditAssessmentFinding</w:t>
            </w:r>
          </w:p>
        </w:tc>
        <w:tc>
          <w:tcPr>
            <w:tcW w:type="dxa" w:w="10205"/>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1701"/>
          </w:tcPr>
          <w:p>
            <w:pPr>
              <w:spacing w:after="0" w:before="0"/>
            </w:pPr>
            <w:r/>
            <w:r>
              <w:rPr>
                <w:rFonts w:ascii="Arial" w:hAnsi="Arial"/>
                <w:b w:val="0"/>
                <w:sz w:val="15"/>
              </w:rPr>
              <w:t>m5_financials_5</w:t>
            </w:r>
          </w:p>
        </w:tc>
      </w:tr>
      <w:tr>
        <w:trPr>
          <w:cantSplit w:val="true"/>
        </w:trPr>
        <w:tc>
          <w:tcPr>
            <w:tcW w:type="dxa" w:w="3515"/>
            <w:shd w:val="clear" w:color="auto" w:fill="E8EEF6"/>
          </w:tcPr>
          <w:p>
            <w:pPr>
              <w:spacing w:after="0" w:before="0"/>
            </w:pPr>
            <w:r/>
            <w:r>
              <w:rPr>
                <w:rFonts w:ascii="Arial" w:hAnsi="Arial"/>
                <w:b w:val="0"/>
                <w:sz w:val="15"/>
              </w:rPr>
              <w:t>fin.CreditAssessmentInput</w:t>
            </w:r>
          </w:p>
        </w:tc>
        <w:tc>
          <w:tcPr>
            <w:tcW w:type="dxa" w:w="10205"/>
            <w:shd w:val="clear" w:color="auto" w:fill="E8EEF6"/>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1701"/>
            <w:shd w:val="clear" w:color="auto" w:fill="E8EEF6"/>
          </w:tcPr>
          <w:p>
            <w:pPr>
              <w:spacing w:after="0" w:before="0"/>
            </w:pPr>
            <w:r/>
            <w:r>
              <w:rPr>
                <w:rFonts w:ascii="Arial" w:hAnsi="Arial"/>
                <w:b w:val="0"/>
                <w:sz w:val="15"/>
              </w:rPr>
              <w:t>m5_financials_5</w:t>
            </w:r>
          </w:p>
        </w:tc>
      </w:tr>
      <w:tr>
        <w:trPr>
          <w:cantSplit w:val="true"/>
        </w:trPr>
        <w:tc>
          <w:tcPr>
            <w:tcW w:type="dxa" w:w="3515"/>
          </w:tcPr>
          <w:p>
            <w:pPr>
              <w:spacing w:after="0" w:before="0"/>
            </w:pPr>
            <w:r/>
            <w:r>
              <w:rPr>
                <w:rFonts w:ascii="Arial" w:hAnsi="Arial"/>
                <w:b w:val="0"/>
                <w:sz w:val="15"/>
              </w:rPr>
              <w:t>fin.CreditMetric</w:t>
            </w:r>
          </w:p>
        </w:tc>
        <w:tc>
          <w:tcPr>
            <w:tcW w:type="dxa" w:w="10205"/>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1701"/>
          </w:tcPr>
          <w:p>
            <w:pPr>
              <w:spacing w:after="0" w:before="0"/>
            </w:pPr>
            <w:r/>
            <w:r>
              <w:rPr>
                <w:rFonts w:ascii="Arial" w:hAnsi="Arial"/>
                <w:b w:val="0"/>
                <w:sz w:val="15"/>
              </w:rPr>
              <w:t>m5_financials_6</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m5_financials_6</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1701"/>
          </w:tcPr>
          <w:p>
            <w:pPr>
              <w:spacing w:after="0" w:before="0"/>
            </w:pPr>
            <w:r/>
            <w:r>
              <w:rPr>
                <w:rFonts w:ascii="Arial" w:hAnsi="Arial"/>
                <w:b w:val="0"/>
                <w:sz w:val="15"/>
              </w:rPr>
              <w:t>m5_financials_6</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m5_financials_6</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m5_financials_7</w:t>
            </w:r>
          </w:p>
        </w:tc>
      </w:tr>
      <w:tr>
        <w:trPr>
          <w:cantSplit w:val="true"/>
        </w:trPr>
        <w:tc>
          <w:tcPr>
            <w:tcW w:type="dxa" w:w="3515"/>
            <w:shd w:val="clear" w:color="auto" w:fill="E8EEF6"/>
          </w:tcPr>
          <w:p>
            <w:pPr>
              <w:spacing w:after="0" w:before="0"/>
            </w:pPr>
            <w:r/>
            <w:r>
              <w:rPr>
                <w:rFonts w:ascii="Arial" w:hAnsi="Arial"/>
                <w:b w:val="0"/>
                <w:sz w:val="15"/>
              </w:rPr>
              <w:t>fin.RatingGrade</w:t>
            </w:r>
          </w:p>
        </w:tc>
        <w:tc>
          <w:tcPr>
            <w:tcW w:type="dxa" w:w="10205"/>
            <w:shd w:val="clear" w:color="auto" w:fill="E8EEF6"/>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1701"/>
            <w:shd w:val="clear" w:color="auto" w:fill="E8EEF6"/>
          </w:tcPr>
          <w:p>
            <w:pPr>
              <w:spacing w:after="0" w:before="0"/>
            </w:pPr>
            <w:r/>
            <w:r>
              <w:rPr>
                <w:rFonts w:ascii="Arial" w:hAnsi="Arial"/>
                <w:b w:val="0"/>
                <w:sz w:val="15"/>
              </w:rPr>
              <w:t>m5_financials_7</w:t>
            </w:r>
          </w:p>
        </w:tc>
      </w:tr>
      <w:tr>
        <w:trPr>
          <w:cantSplit w:val="true"/>
        </w:trPr>
        <w:tc>
          <w:tcPr>
            <w:tcW w:type="dxa" w:w="3515"/>
          </w:tcPr>
          <w:p>
            <w:pPr>
              <w:spacing w:after="0" w:before="0"/>
            </w:pPr>
            <w:r/>
            <w:r>
              <w:rPr>
                <w:rFonts w:ascii="Arial" w:hAnsi="Arial"/>
                <w:b w:val="0"/>
                <w:sz w:val="15"/>
              </w:rPr>
              <w:t>fin.RevenueEstimate</w:t>
            </w:r>
          </w:p>
        </w:tc>
        <w:tc>
          <w:tcPr>
            <w:tcW w:type="dxa" w:w="10205"/>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1701"/>
          </w:tcPr>
          <w:p>
            <w:pPr>
              <w:spacing w:after="0" w:before="0"/>
            </w:pPr>
            <w:r/>
            <w:r>
              <w:rPr>
                <w:rFonts w:ascii="Arial" w:hAnsi="Arial"/>
                <w:b w:val="0"/>
                <w:sz w:val="15"/>
              </w:rPr>
              <w:t>m5_financials_7</w:t>
            </w:r>
          </w:p>
        </w:tc>
      </w:tr>
      <w:tr>
        <w:trPr>
          <w:cantSplit w:val="true"/>
        </w:trPr>
        <w:tc>
          <w:tcPr>
            <w:tcW w:type="dxa" w:w="3515"/>
            <w:shd w:val="clear" w:color="auto" w:fill="E8EEF6"/>
          </w:tcPr>
          <w:p>
            <w:pPr>
              <w:spacing w:after="0" w:before="0"/>
            </w:pPr>
            <w:r/>
            <w:r>
              <w:rPr>
                <w:rFonts w:ascii="Arial" w:hAnsi="Arial"/>
                <w:b w:val="0"/>
                <w:sz w:val="15"/>
              </w:rPr>
              <w:t>fin.Scorecard</w:t>
            </w:r>
          </w:p>
        </w:tc>
        <w:tc>
          <w:tcPr>
            <w:tcW w:type="dxa" w:w="10205"/>
            <w:shd w:val="clear" w:color="auto" w:fill="E8EEF6"/>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1701"/>
            <w:shd w:val="clear" w:color="auto" w:fill="E8EEF6"/>
          </w:tcPr>
          <w:p>
            <w:pPr>
              <w:spacing w:after="0" w:before="0"/>
            </w:pPr>
            <w:r/>
            <w:r>
              <w:rPr>
                <w:rFonts w:ascii="Arial" w:hAnsi="Arial"/>
                <w:b w:val="0"/>
                <w:sz w:val="15"/>
              </w:rPr>
              <w:t>m5_financials_8</w:t>
            </w:r>
          </w:p>
        </w:tc>
      </w:tr>
      <w:tr>
        <w:trPr>
          <w:cantSplit w:val="true"/>
        </w:trPr>
        <w:tc>
          <w:tcPr>
            <w:tcW w:type="dxa" w:w="3515"/>
          </w:tcPr>
          <w:p>
            <w:pPr>
              <w:spacing w:after="0" w:before="0"/>
            </w:pPr>
            <w:r/>
            <w:r>
              <w:rPr>
                <w:rFonts w:ascii="Arial" w:hAnsi="Arial"/>
                <w:b w:val="0"/>
                <w:sz w:val="15"/>
              </w:rPr>
              <w:t>fin.ScorecardAdjustment</w:t>
            </w:r>
          </w:p>
        </w:tc>
        <w:tc>
          <w:tcPr>
            <w:tcW w:type="dxa" w:w="10205"/>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1701"/>
          </w:tcPr>
          <w:p>
            <w:pPr>
              <w:spacing w:after="0" w:before="0"/>
            </w:pPr>
            <w:r/>
            <w:r>
              <w:rPr>
                <w:rFonts w:ascii="Arial" w:hAnsi="Arial"/>
                <w:b w:val="0"/>
                <w:sz w:val="15"/>
              </w:rPr>
              <w:t>m5_financials_8</w:t>
            </w:r>
          </w:p>
        </w:tc>
      </w:tr>
      <w:tr>
        <w:trPr>
          <w:cantSplit w:val="true"/>
        </w:trPr>
        <w:tc>
          <w:tcPr>
            <w:tcW w:type="dxa" w:w="3515"/>
            <w:shd w:val="clear" w:color="auto" w:fill="E8EEF6"/>
          </w:tcPr>
          <w:p>
            <w:pPr>
              <w:spacing w:after="0" w:before="0"/>
            </w:pPr>
            <w:r/>
            <w:r>
              <w:rPr>
                <w:rFonts w:ascii="Arial" w:hAnsi="Arial"/>
                <w:b w:val="0"/>
                <w:sz w:val="15"/>
              </w:rPr>
              <w:t>fin.ScorecardItemRule</w:t>
            </w:r>
          </w:p>
        </w:tc>
        <w:tc>
          <w:tcPr>
            <w:tcW w:type="dxa" w:w="10205"/>
            <w:shd w:val="clear" w:color="auto" w:fill="E8EEF6"/>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1701"/>
            <w:shd w:val="clear" w:color="auto" w:fill="E8EEF6"/>
          </w:tcPr>
          <w:p>
            <w:pPr>
              <w:spacing w:after="0" w:before="0"/>
            </w:pPr>
            <w:r/>
            <w:r>
              <w:rPr>
                <w:rFonts w:ascii="Arial" w:hAnsi="Arial"/>
                <w:b w:val="0"/>
                <w:sz w:val="15"/>
              </w:rPr>
              <w:t>m5_financials_8</w:t>
            </w:r>
          </w:p>
        </w:tc>
      </w:tr>
      <w:tr>
        <w:trPr>
          <w:cantSplit w:val="true"/>
        </w:trPr>
        <w:tc>
          <w:tcPr>
            <w:tcW w:type="dxa" w:w="3515"/>
          </w:tcPr>
          <w:p>
            <w:pPr>
              <w:spacing w:after="0" w:before="0"/>
            </w:pPr>
            <w:r/>
            <w:r>
              <w:rPr>
                <w:rFonts w:ascii="Arial" w:hAnsi="Arial"/>
                <w:b w:val="0"/>
                <w:sz w:val="15"/>
              </w:rPr>
              <w:t>fin.ScorecardMetric</w:t>
            </w:r>
          </w:p>
        </w:tc>
        <w:tc>
          <w:tcPr>
            <w:tcW w:type="dxa" w:w="10205"/>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1701"/>
          </w:tcPr>
          <w:p>
            <w:pPr>
              <w:spacing w:after="0" w:before="0"/>
            </w:pPr>
            <w:r/>
            <w:r>
              <w:rPr>
                <w:rFonts w:ascii="Arial" w:hAnsi="Arial"/>
                <w:b w:val="0"/>
                <w:sz w:val="15"/>
              </w:rPr>
              <w:t>m5_financials_8</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m5_financials_8</w:t>
            </w:r>
          </w:p>
        </w:tc>
      </w:tr>
      <w:tr>
        <w:trPr>
          <w:cantSplit w:val="true"/>
        </w:trPr>
        <w:tc>
          <w:tcPr>
            <w:tcW w:type="dxa" w:w="3515"/>
          </w:tcPr>
          <w:p>
            <w:pPr>
              <w:spacing w:after="0" w:before="0"/>
            </w:pPr>
            <w:r/>
            <w:r>
              <w:rPr>
                <w:rFonts w:ascii="Arial" w:hAnsi="Arial"/>
                <w:b w:val="0"/>
                <w:sz w:val="15"/>
              </w:rPr>
              <w:t>fin.StatementRatio</w:t>
            </w:r>
          </w:p>
        </w:tc>
        <w:tc>
          <w:tcPr>
            <w:tcW w:type="dxa" w:w="10205"/>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1701"/>
          </w:tcPr>
          <w:p>
            <w:pPr>
              <w:spacing w:after="0" w:before="0"/>
            </w:pPr>
            <w:r/>
            <w:r>
              <w:rPr>
                <w:rFonts w:ascii="Arial" w:hAnsi="Arial"/>
                <w:b w:val="0"/>
                <w:sz w:val="15"/>
              </w:rPr>
              <w:t>m5_financials_8</w:t>
            </w:r>
          </w:p>
        </w:tc>
      </w:tr>
      <w:tr>
        <w:trPr>
          <w:cantSplit w:val="true"/>
        </w:trPr>
        <w:tc>
          <w:tcPr>
            <w:tcW w:type="dxa" w:w="3515"/>
            <w:shd w:val="clear" w:color="auto" w:fill="E8EEF6"/>
          </w:tcPr>
          <w:p>
            <w:pPr>
              <w:spacing w:after="0" w:before="0"/>
            </w:pPr>
            <w:r/>
            <w:r>
              <w:rPr>
                <w:rFonts w:ascii="Arial" w:hAnsi="Arial"/>
                <w:b w:val="0"/>
                <w:sz w:val="15"/>
              </w:rPr>
              <w:t>ins.Contact</w:t>
            </w:r>
          </w:p>
        </w:tc>
        <w:tc>
          <w:tcPr>
            <w:tcW w:type="dxa" w:w="10205"/>
            <w:shd w:val="clear" w:color="auto" w:fill="E8EEF6"/>
          </w:tcPr>
          <w:p>
            <w:pPr>
              <w:spacing w:after="0" w:before="0"/>
            </w:pPr>
            <w:r/>
            <w:r>
              <w:rPr>
                <w:rFonts w:ascii="Arial" w:hAnsi="Arial"/>
                <w:b w:val="0"/>
                <w:sz w:val="15"/>
              </w:rPr>
              <w:t>Contact at a bank: a lightweight record with no identity; PartyId is optional, for promotion (FR-INS-007/008, BR-INS-005/006/014)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w:t>
            </w:r>
          </w:p>
        </w:tc>
        <w:tc>
          <w:tcPr>
            <w:tcW w:type="dxa" w:w="10205"/>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ins.InstitutionUnit</w:t>
            </w:r>
          </w:p>
        </w:tc>
        <w:tc>
          <w:tcPr>
            <w:tcW w:type="dxa" w:w="10205"/>
            <w:shd w:val="clear" w:color="auto" w:fill="E8EEF6"/>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ins.Relationship</w:t>
            </w:r>
          </w:p>
        </w:tc>
        <w:tc>
          <w:tcPr>
            <w:tcW w:type="dxa" w:w="10205"/>
          </w:tcPr>
          <w:p>
            <w:pPr>
              <w:spacing w:after="0" w:before="0"/>
            </w:pPr>
            <w:r/>
            <w:r>
              <w:rPr>
                <w:rFonts w:ascii="Arial" w:hAnsi="Arial"/>
                <w:b w:val="0"/>
                <w:sz w:val="15"/>
              </w:rPr>
              <w:t>Company–institution relationship (D-4); unique regardless of status (FR-INS-009, BR-INS-007/011)</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ins.RelationshipContact</w:t>
            </w:r>
          </w:p>
        </w:tc>
        <w:tc>
          <w:tcPr>
            <w:tcW w:type="dxa" w:w="10205"/>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ins.RelationshipProduct</w:t>
            </w:r>
          </w:p>
        </w:tc>
        <w:tc>
          <w:tcPr>
            <w:tcW w:type="dxa" w:w="10205"/>
          </w:tcPr>
          <w:p>
            <w:pPr>
              <w:spacing w:after="0" w:before="0"/>
            </w:pPr>
            <w:r/>
            <w:r>
              <w:rPr>
                <w:rFonts w:ascii="Arial" w:hAnsi="Arial"/>
                <w:b w:val="0"/>
                <w:sz w:val="15"/>
              </w:rPr>
              <w:t>Product handled within a relationship, with a default contact and channel (FR-INS-011..013, BR-INS-010)</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lc.Counterparty</w:t>
            </w:r>
          </w:p>
        </w:tc>
        <w:tc>
          <w:tcPr>
            <w:tcW w:type="dxa" w:w="10205"/>
            <w:shd w:val="clear" w:color="auto" w:fill="E8EEF6"/>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lc.LcAmendment</w:t>
            </w:r>
          </w:p>
        </w:tc>
        <w:tc>
          <w:tcPr>
            <w:tcW w:type="dxa" w:w="10205"/>
          </w:tcPr>
          <w:p>
            <w:pPr>
              <w:spacing w:after="0" w:before="0"/>
            </w:pPr>
            <w:r/>
            <w:r>
              <w:rPr>
                <w:rFonts w:ascii="Arial" w:hAnsi="Arial"/>
                <w:b w:val="0"/>
                <w:sz w:val="15"/>
              </w:rPr>
              <w:t>Amendment to an issued or received letter of credit (FR-LCI-018/019, FR-LCE-020, BR-LCI-011/012, BR-LCE-014); statuses in section 8</w:t>
            </w:r>
          </w:p>
        </w:tc>
        <w:tc>
          <w:tcPr>
            <w:tcW w:type="dxa" w:w="1701"/>
          </w:tcPr>
          <w:p>
            <w:pPr>
              <w:spacing w:after="0" w:before="0"/>
            </w:pPr>
            <w:r/>
            <w:r>
              <w:rPr>
                <w:rFonts w:ascii="Arial" w:hAnsi="Arial"/>
                <w:b w:val="0"/>
                <w:sz w:val="15"/>
              </w:rPr>
              <w:t>m7_8_lc_ops_4</w:t>
            </w:r>
          </w:p>
        </w:tc>
      </w:tr>
      <w:tr>
        <w:trPr>
          <w:cantSplit w:val="true"/>
        </w:trPr>
        <w:tc>
          <w:tcPr>
            <w:tcW w:type="dxa" w:w="3515"/>
            <w:shd w:val="clear" w:color="auto" w:fill="E8EEF6"/>
          </w:tcPr>
          <w:p>
            <w:pPr>
              <w:spacing w:after="0" w:before="0"/>
            </w:pPr>
            <w:r/>
            <w:r>
              <w:rPr>
                <w:rFonts w:ascii="Arial" w:hAnsi="Arial"/>
                <w:b w:val="0"/>
                <w:sz w:val="15"/>
              </w:rPr>
              <w:t>lc.LcChargesMatrix</w:t>
            </w:r>
          </w:p>
        </w:tc>
        <w:tc>
          <w:tcPr>
            <w:tcW w:type="dxa" w:w="10205"/>
            <w:shd w:val="clear" w:color="auto" w:fill="E8EEF6"/>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1701"/>
            <w:shd w:val="clear" w:color="auto" w:fill="E8EEF6"/>
          </w:tcPr>
          <w:p>
            <w:pPr>
              <w:spacing w:after="0" w:before="0"/>
            </w:pPr>
            <w:r/>
            <w:r>
              <w:rPr>
                <w:rFonts w:ascii="Arial" w:hAnsi="Arial"/>
                <w:b w:val="0"/>
                <w:sz w:val="15"/>
              </w:rPr>
              <w:t>m7_8_lc_terms_4</w:t>
            </w:r>
          </w:p>
        </w:tc>
      </w:tr>
      <w:tr>
        <w:trPr>
          <w:cantSplit w:val="true"/>
        </w:trPr>
        <w:tc>
          <w:tcPr>
            <w:tcW w:type="dxa" w:w="3515"/>
          </w:tcPr>
          <w:p>
            <w:pPr>
              <w:spacing w:after="0" w:before="0"/>
            </w:pPr>
            <w:r/>
            <w:r>
              <w:rPr>
                <w:rFonts w:ascii="Arial" w:hAnsi="Arial"/>
                <w:b w:val="0"/>
                <w:sz w:val="15"/>
              </w:rPr>
              <w:t>lc.LcDiscrepancy</w:t>
            </w:r>
          </w:p>
        </w:tc>
        <w:tc>
          <w:tcPr>
            <w:tcW w:type="dxa" w:w="10205"/>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tcPr>
          <w:p>
            <w:pPr>
              <w:spacing w:after="0" w:before="0"/>
            </w:pPr>
            <w:r/>
            <w:r>
              <w:rPr>
                <w:rFonts w:ascii="Arial" w:hAnsi="Arial"/>
                <w:b w:val="0"/>
                <w:sz w:val="15"/>
              </w:rPr>
              <w:t>m7_8_lc_ops_6</w:t>
            </w:r>
          </w:p>
        </w:tc>
      </w:tr>
      <w:tr>
        <w:trPr>
          <w:cantSplit w:val="true"/>
        </w:trPr>
        <w:tc>
          <w:tcPr>
            <w:tcW w:type="dxa" w:w="3515"/>
            <w:shd w:val="clear" w:color="auto" w:fill="E8EEF6"/>
          </w:tcPr>
          <w:p>
            <w:pPr>
              <w:spacing w:after="0" w:before="0"/>
            </w:pPr>
            <w:r/>
            <w:r>
              <w:rPr>
                <w:rFonts w:ascii="Arial" w:hAnsi="Arial"/>
                <w:b w:val="0"/>
                <w:sz w:val="15"/>
              </w:rPr>
              <w:t>lc.LcDocumentClause</w:t>
            </w:r>
          </w:p>
        </w:tc>
        <w:tc>
          <w:tcPr>
            <w:tcW w:type="dxa" w:w="10205"/>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lc.LcDocumentClauseUcpRef</w:t>
            </w:r>
          </w:p>
        </w:tc>
        <w:tc>
          <w:tcPr>
            <w:tcW w:type="dxa" w:w="10205"/>
          </w:tcPr>
          <w:p>
            <w:pPr>
              <w:spacing w:after="0" w:before="0"/>
            </w:pPr>
            <w:r/>
            <w:r>
              <w:rPr>
                <w:rFonts w:ascii="Arial" w:hAnsi="Arial"/>
                <w:b w:val="0"/>
                <w:sz w:val="15"/>
              </w:rPr>
              <w:t>UCP 600 reference for a document clause: article and paragraph (UcpRefs in specification)</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lc.LcDrawing</w:t>
            </w:r>
          </w:p>
        </w:tc>
        <w:tc>
          <w:tcPr>
            <w:tcW w:type="dxa" w:w="10205"/>
            <w:shd w:val="clear" w:color="auto" w:fill="E8EEF6"/>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lc.LcDrawingAllocation</w:t>
            </w:r>
          </w:p>
        </w:tc>
        <w:tc>
          <w:tcPr>
            <w:tcW w:type="dxa" w:w="10205"/>
          </w:tcPr>
          <w:p>
            <w:pPr>
              <w:spacing w:after="0" w:before="0"/>
            </w:pPr>
            <w:r/>
            <w:r>
              <w:rPr>
                <w:rFonts w:ascii="Arial" w:hAnsi="Arial"/>
                <w:b w:val="0"/>
                <w:sz w:val="15"/>
              </w:rPr>
              <w:t>Allocation of an export drawing across sales orders (FR-LCE-016/017, BR-LCE-011/013)</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lc.LcExternalRef</w:t>
            </w:r>
          </w:p>
        </w:tc>
        <w:tc>
          <w:tcPr>
            <w:tcW w:type="dxa" w:w="10205"/>
            <w:shd w:val="clear" w:color="auto" w:fill="E8EEF6"/>
          </w:tcPr>
          <w:p>
            <w:pPr>
              <w:spacing w:after="0" w:before="0"/>
            </w:pPr>
            <w:r/>
            <w:r>
              <w:rPr>
                <w:rFonts w:ascii="Arial" w:hAnsi="Arial"/>
                <w:b w:val="0"/>
                <w:sz w:val="15"/>
              </w:rPr>
              <w:t>External reference for a credit (ERP and similar); no uniqueness; search on the normalised value (FR-LCI-013, BR-REQ-006)</w:t>
            </w:r>
          </w:p>
        </w:tc>
        <w:tc>
          <w:tcPr>
            <w:tcW w:type="dxa" w:w="1701"/>
            <w:shd w:val="clear" w:color="auto" w:fill="E8EEF6"/>
          </w:tcPr>
          <w:p>
            <w:pPr>
              <w:spacing w:after="0" w:before="0"/>
            </w:pPr>
            <w:r/>
            <w:r>
              <w:rPr>
                <w:rFonts w:ascii="Arial" w:hAnsi="Arial"/>
                <w:b w:val="0"/>
                <w:sz w:val="15"/>
              </w:rPr>
              <w:t>m7_8_lc_ops_3</w:t>
            </w:r>
          </w:p>
        </w:tc>
      </w:tr>
      <w:tr>
        <w:trPr>
          <w:cantSplit w:val="true"/>
        </w:trPr>
        <w:tc>
          <w:tcPr>
            <w:tcW w:type="dxa" w:w="3515"/>
          </w:tcPr>
          <w:p>
            <w:pPr>
              <w:spacing w:after="0" w:before="0"/>
            </w:pPr>
            <w:r/>
            <w:r>
              <w:rPr>
                <w:rFonts w:ascii="Arial" w:hAnsi="Arial"/>
                <w:b w:val="0"/>
                <w:sz w:val="15"/>
              </w:rPr>
              <w:t>lc.LcFieldDefinition</w:t>
            </w:r>
          </w:p>
        </w:tc>
        <w:tc>
          <w:tcPr>
            <w:tcW w:type="dxa" w:w="10205"/>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lc.LcFieldUcpRef</w:t>
            </w:r>
          </w:p>
        </w:tc>
        <w:tc>
          <w:tcPr>
            <w:tcW w:type="dxa" w:w="10205"/>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lc.LcFormFieldMap</w:t>
            </w:r>
          </w:p>
        </w:tc>
        <w:tc>
          <w:tcPr>
            <w:tcW w:type="dxa" w:w="10205"/>
          </w:tcPr>
          <w:p>
            <w:pPr>
              <w:spacing w:after="0" w:before="0"/>
            </w:pPr>
            <w:r/>
            <w:r>
              <w:rPr>
                <w:rFonts w:ascii="Arial" w:hAnsi="Arial"/>
                <w:b w:val="0"/>
                <w:sz w:val="15"/>
              </w:rPr>
              <w:t>Mapping of a system field to a PDF field or a portal-form item (FR-LCT-027, BR-LCT-020)</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lc.LcFormTemplate</w:t>
            </w:r>
          </w:p>
        </w:tc>
        <w:tc>
          <w:tcPr>
            <w:tcW w:type="dxa" w:w="10205"/>
            <w:shd w:val="clear" w:color="auto" w:fill="E8EEF6"/>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lc.LcSalesOrder</w:t>
            </w:r>
          </w:p>
        </w:tc>
        <w:tc>
          <w:tcPr>
            <w:tcW w:type="dxa" w:w="10205"/>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lc.LcTerms</w:t>
            </w:r>
          </w:p>
        </w:tc>
        <w:tc>
          <w:tcPr>
            <w:tcW w:type="dxa" w:w="10205"/>
            <w:shd w:val="clear" w:color="auto" w:fill="E8EEF6"/>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1701"/>
            <w:shd w:val="clear" w:color="auto" w:fill="E8EEF6"/>
          </w:tcPr>
          <w:p>
            <w:pPr>
              <w:spacing w:after="0" w:before="0"/>
            </w:pPr>
            <w:r/>
            <w:r>
              <w:rPr>
                <w:rFonts w:ascii="Arial" w:hAnsi="Arial"/>
                <w:b w:val="0"/>
                <w:sz w:val="15"/>
              </w:rPr>
              <w:t>m7_8_lc_terms_2</w:t>
            </w:r>
          </w:p>
        </w:tc>
      </w:tr>
      <w:tr>
        <w:trPr>
          <w:cantSplit w:val="true"/>
        </w:trPr>
        <w:tc>
          <w:tcPr>
            <w:tcW w:type="dxa" w:w="3515"/>
          </w:tcPr>
          <w:p>
            <w:pPr>
              <w:spacing w:after="0" w:before="0"/>
            </w:pPr>
            <w:r/>
            <w:r>
              <w:rPr>
                <w:rFonts w:ascii="Arial" w:hAnsi="Arial"/>
                <w:b w:val="0"/>
                <w:sz w:val="15"/>
              </w:rPr>
              <w:t>lc.LcTermsComparison</w:t>
            </w:r>
          </w:p>
        </w:tc>
        <w:tc>
          <w:tcPr>
            <w:tcW w:type="dxa" w:w="10205"/>
          </w:tcPr>
          <w:p>
            <w:pPr>
              <w:spacing w:after="0" w:before="0"/>
            </w:pPr>
            <w:r/>
            <w:r>
              <w:rPr>
                <w:rFonts w:ascii="Arial" w:hAnsi="Arial"/>
                <w:b w:val="0"/>
                <w:sz w:val="15"/>
              </w:rPr>
              <w:t>Result of comparing received credit terms with the proforma (FR-LCT-031, FR-LCE-023,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lc.LcTermsComparisonLine</w:t>
            </w:r>
          </w:p>
        </w:tc>
        <w:tc>
          <w:tcPr>
            <w:tcW w:type="dxa" w:w="10205"/>
            <w:shd w:val="clear" w:color="auto" w:fill="E8EEF6"/>
          </w:tcPr>
          <w:p>
            <w:pPr>
              <w:spacing w:after="0" w:before="0"/>
            </w:pPr>
            <w:r/>
            <w:r>
              <w:rPr>
                <w:rFonts w:ascii="Arial" w:hAnsi="Arial"/>
                <w:b w:val="0"/>
                <w:sz w:val="15"/>
              </w:rPr>
              <w:t>One field difference, its verdict and the treasury decision (FR-LCT-031,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lc.LcTermsDocument</w:t>
            </w:r>
          </w:p>
        </w:tc>
        <w:tc>
          <w:tcPr>
            <w:tcW w:type="dxa" w:w="10205"/>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1701"/>
          </w:tcPr>
          <w:p>
            <w:pPr>
              <w:spacing w:after="0" w:before="0"/>
            </w:pPr>
            <w:r/>
            <w:r>
              <w:rPr>
                <w:rFonts w:ascii="Arial" w:hAnsi="Arial"/>
                <w:b w:val="0"/>
                <w:sz w:val="15"/>
              </w:rPr>
              <w:t>m7_8_lc_terms_3</w:t>
            </w:r>
          </w:p>
        </w:tc>
      </w:tr>
      <w:tr>
        <w:trPr>
          <w:cantSplit w:val="true"/>
        </w:trPr>
        <w:tc>
          <w:tcPr>
            <w:tcW w:type="dxa" w:w="3515"/>
            <w:shd w:val="clear" w:color="auto" w:fill="E8EEF6"/>
          </w:tcPr>
          <w:p>
            <w:pPr>
              <w:spacing w:after="0" w:before="0"/>
            </w:pPr>
            <w:r/>
            <w:r>
              <w:rPr>
                <w:rFonts w:ascii="Arial" w:hAnsi="Arial"/>
                <w:b w:val="0"/>
                <w:sz w:val="15"/>
              </w:rPr>
              <w:t>lc.LetterOfCredit</w:t>
            </w:r>
          </w:p>
        </w:tc>
        <w:tc>
          <w:tcPr>
            <w:tcW w:type="dxa" w:w="10205"/>
            <w:shd w:val="clear" w:color="auto" w:fill="E8EEF6"/>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shd w:val="clear" w:color="auto" w:fill="E8EEF6"/>
          </w:tcPr>
          <w:p>
            <w:pPr>
              <w:spacing w:after="0" w:before="0"/>
            </w:pPr>
            <w:r/>
            <w:r>
              <w:rPr>
                <w:rFonts w:ascii="Arial" w:hAnsi="Arial"/>
                <w:b w:val="0"/>
                <w:sz w:val="15"/>
              </w:rPr>
              <w:t>m7_8_lc_ops_2</w:t>
            </w:r>
          </w:p>
        </w:tc>
      </w:tr>
      <w:tr>
        <w:trPr>
          <w:cantSplit w:val="true"/>
        </w:trPr>
        <w:tc>
          <w:tcPr>
            <w:tcW w:type="dxa" w:w="3515"/>
          </w:tcPr>
          <w:p>
            <w:pPr>
              <w:spacing w:after="0" w:before="0"/>
            </w:pPr>
            <w:r/>
            <w:r>
              <w:rPr>
                <w:rFonts w:ascii="Arial" w:hAnsi="Arial"/>
                <w:b w:val="0"/>
                <w:sz w:val="15"/>
              </w:rPr>
              <w:t>lc.ProformaInvoice</w:t>
            </w:r>
          </w:p>
        </w:tc>
        <w:tc>
          <w:tcPr>
            <w:tcW w:type="dxa" w:w="10205"/>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1701"/>
          </w:tcPr>
          <w:p>
            <w:pPr>
              <w:spacing w:after="0" w:before="0"/>
            </w:pPr>
            <w:r/>
            <w:r>
              <w:rPr>
                <w:rFonts w:ascii="Arial" w:hAnsi="Arial"/>
                <w:b w:val="0"/>
                <w:sz w:val="15"/>
              </w:rPr>
              <w:t>m7_8_lc_ops_7</w:t>
            </w:r>
          </w:p>
        </w:tc>
      </w:tr>
      <w:tr>
        <w:trPr>
          <w:cantSplit w:val="true"/>
        </w:trPr>
        <w:tc>
          <w:tcPr>
            <w:tcW w:type="dxa" w:w="3515"/>
            <w:shd w:val="clear" w:color="auto" w:fill="E8EEF6"/>
          </w:tcPr>
          <w:p>
            <w:pPr>
              <w:spacing w:after="0" w:before="0"/>
            </w:pPr>
            <w:r/>
            <w:r>
              <w:rPr>
                <w:rFonts w:ascii="Arial" w:hAnsi="Arial"/>
                <w:b w:val="0"/>
                <w:sz w:val="15"/>
              </w:rPr>
              <w:t>lc.ProformaLine</w:t>
            </w:r>
          </w:p>
        </w:tc>
        <w:tc>
          <w:tcPr>
            <w:tcW w:type="dxa" w:w="10205"/>
            <w:shd w:val="clear" w:color="auto" w:fill="E8EEF6"/>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1701"/>
            <w:shd w:val="clear" w:color="auto" w:fill="E8EEF6"/>
          </w:tcPr>
          <w:p>
            <w:pPr>
              <w:spacing w:after="0" w:before="0"/>
            </w:pPr>
            <w:r/>
            <w:r>
              <w:rPr>
                <w:rFonts w:ascii="Arial" w:hAnsi="Arial"/>
                <w:b w:val="0"/>
                <w:sz w:val="15"/>
              </w:rPr>
              <w:t>m7_8_lc_ops_8</w:t>
            </w:r>
          </w:p>
        </w:tc>
      </w:tr>
      <w:tr>
        <w:trPr>
          <w:cantSplit w:val="true"/>
        </w:trPr>
        <w:tc>
          <w:tcPr>
            <w:tcW w:type="dxa" w:w="3515"/>
          </w:tcPr>
          <w:p>
            <w:pPr>
              <w:spacing w:after="0" w:before="0"/>
            </w:pPr>
            <w:r/>
            <w:r>
              <w:rPr>
                <w:rFonts w:ascii="Arial" w:hAnsi="Arial"/>
                <w:b w:val="0"/>
                <w:sz w:val="15"/>
              </w:rPr>
              <w:t>ntf.DigestBatch</w:t>
            </w:r>
          </w:p>
        </w:tc>
        <w:tc>
          <w:tcPr>
            <w:tcW w:type="dxa" w:w="10205"/>
          </w:tcPr>
          <w:p>
            <w:pPr>
              <w:spacing w:after="0" w:before="0"/>
            </w:pPr>
            <w:r/>
            <w:r>
              <w:rPr>
                <w:rFonts w:ascii="Arial" w:hAnsi="Arial"/>
                <w:b w:val="0"/>
                <w:sz w:val="15"/>
              </w:rPr>
              <w:t>Digest batch for a user, channel and period; never sent empty (FR-NTF-014, BR-NTF-004, JOB-NTF-DIGEST)</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w:t>
            </w:r>
          </w:p>
        </w:tc>
        <w:tc>
          <w:tcPr>
            <w:tcW w:type="dxa" w:w="10205"/>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ntf.NotificationDelivery</w:t>
            </w:r>
          </w:p>
        </w:tc>
        <w:tc>
          <w:tcPr>
            <w:tcW w:type="dxa" w:w="10205"/>
          </w:tcPr>
          <w:p>
            <w:pPr>
              <w:spacing w:after="0" w:before="0"/>
            </w:pPr>
            <w:r/>
            <w:r>
              <w:rPr>
                <w:rFonts w:ascii="Arial" w:hAnsi="Arial"/>
                <w:b w:val="0"/>
                <w:sz w:val="15"/>
              </w:rPr>
              <w:t>Delivery of a notification per channel, with status and retries (FR-NTF-019, BR-NTF-009, section 8)</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ntf.NotificationEventType</w:t>
            </w:r>
          </w:p>
        </w:tc>
        <w:tc>
          <w:tcPr>
            <w:tcW w:type="dxa" w:w="10205"/>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ntf.NotificationPreference</w:t>
            </w:r>
          </w:p>
        </w:tc>
        <w:tc>
          <w:tcPr>
            <w:tcW w:type="dxa" w:w="10205"/>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ntf.NotificationRule</w:t>
            </w:r>
          </w:p>
        </w:tc>
        <w:tc>
          <w:tcPr>
            <w:tcW w:type="dxa" w:w="10205"/>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ntf.NotificationTemplate</w:t>
            </w:r>
          </w:p>
        </w:tc>
        <w:tc>
          <w:tcPr>
            <w:tcW w:type="dxa" w:w="10205"/>
          </w:tcPr>
          <w:p>
            <w:pPr>
              <w:spacing w:after="0" w:before="0"/>
            </w:pPr>
            <w:r/>
            <w:r>
              <w:rPr>
                <w:rFonts w:ascii="Arial" w:hAnsi="Arial"/>
                <w:b w:val="0"/>
                <w:sz w:val="15"/>
              </w:rPr>
              <w:t>Message template per (event, channel, language); deleting it reverts to the seed template (FR-NTF-012, FR-NTF-025)</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obl.Covenant</w:t>
            </w:r>
          </w:p>
        </w:tc>
        <w:tc>
          <w:tcPr>
            <w:tcW w:type="dxa" w:w="10205"/>
            <w:shd w:val="clear" w:color="auto" w:fill="E8EEF6"/>
          </w:tcPr>
          <w:p>
            <w:pPr>
              <w:spacing w:after="0" w:before="0"/>
            </w:pPr>
            <w:r/>
            <w:r>
              <w:rPr>
                <w:rFonts w:ascii="Arial" w:hAnsi="Arial"/>
                <w:b w:val="0"/>
                <w:sz w:val="15"/>
              </w:rPr>
              <w:t>Covenant revision with dates; graduated limits are several revisions (FR-OBL-006, BR-OBL-001/005/006, Q-OBL-01)</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obl.CovenantAccount</w:t>
            </w:r>
          </w:p>
        </w:tc>
        <w:tc>
          <w:tcPr>
            <w:tcW w:type="dxa" w:w="10205"/>
          </w:tcPr>
          <w:p>
            <w:pPr>
              <w:spacing w:after="0" w:before="0"/>
            </w:pPr>
            <w:r/>
            <w:r>
              <w:rPr>
                <w:rFonts w:ascii="Arial" w:hAnsi="Arial"/>
                <w:b w:val="0"/>
                <w:sz w:val="15"/>
              </w:rPr>
              <w:t>Accounts covered by a covenant when specific accounts are selected (AccountIds)</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obl.CovenantTest</w:t>
            </w:r>
          </w:p>
        </w:tc>
        <w:tc>
          <w:tcPr>
            <w:tcW w:type="dxa" w:w="10205"/>
            <w:shd w:val="clear" w:color="auto" w:fill="E8EEF6"/>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obl.CovenantTestStatement</w:t>
            </w:r>
          </w:p>
        </w:tc>
        <w:tc>
          <w:tcPr>
            <w:tcW w:type="dxa" w:w="10205"/>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m5_obligations_2</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m1_company_3</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plat.OperatorSession</w:t>
            </w:r>
          </w:p>
        </w:tc>
        <w:tc>
          <w:tcPr>
            <w:tcW w:type="dxa" w:w="10205"/>
          </w:tcPr>
          <w:p>
            <w:pPr>
              <w:spacing w:after="0" w:before="0"/>
            </w:pPr>
            <w:r/>
            <w:r>
              <w:rPr>
                <w:rFonts w:ascii="Arial" w:hAnsi="Arial"/>
                <w:b w:val="0"/>
                <w:sz w:val="15"/>
              </w:rPr>
              <w:t>Platform operator sessions: 15-minute idle and 8-hour absolute timeout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plat.OperatorToken</w:t>
            </w:r>
          </w:p>
        </w:tc>
        <w:tc>
          <w:tcPr>
            <w:tcW w:type="dxa" w:w="10205"/>
            <w:shd w:val="clear" w:color="auto" w:fill="E8EEF6"/>
          </w:tcPr>
          <w:p>
            <w:pPr>
              <w:spacing w:after="0" w:before="0"/>
            </w:pPr>
            <w:r/>
            <w:r>
              <w:rPr>
                <w:rFonts w:ascii="Arial" w:hAnsi="Arial"/>
                <w:b w:val="0"/>
                <w:sz w:val="15"/>
              </w:rPr>
              <w:t>One-time operator set-up links: password and MFA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plat.SupportAccessGrant</w:t>
            </w:r>
          </w:p>
        </w:tc>
        <w:tc>
          <w:tcPr>
            <w:tcW w:type="dxa" w:w="10205"/>
          </w:tcPr>
          <w:p>
            <w:pPr>
              <w:spacing w:after="0" w:before="0"/>
            </w:pPr>
            <w:r/>
            <w:r>
              <w:rPr>
                <w:rFonts w:ascii="Arial" w:hAnsi="Arial"/>
                <w:b w:val="0"/>
                <w:sz w:val="15"/>
              </w:rPr>
              <w:t>Temporary support access, activated by the tenant's account administrator (FR-PLT-007, BR-PLT-017)</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w:t>
            </w:r>
          </w:p>
        </w:tc>
        <w:tc>
          <w:tcPr>
            <w:tcW w:type="dxa" w:w="10205"/>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plat.TenantModule</w:t>
            </w:r>
          </w:p>
        </w:tc>
        <w:tc>
          <w:tcPr>
            <w:tcW w:type="dxa" w:w="10205"/>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prc.PricingRule</w:t>
            </w:r>
          </w:p>
        </w:tc>
        <w:tc>
          <w:tcPr>
            <w:tcW w:type="dxa" w:w="10205"/>
            <w:shd w:val="clear" w:color="auto" w:fill="E8EEF6"/>
          </w:tcPr>
          <w:p>
            <w:pPr>
              <w:spacing w:after="0" w:before="0"/>
            </w:pPr>
            <w:r/>
            <w:r>
              <w:rPr>
                <w:rFonts w:ascii="Arial" w:hAnsi="Arial"/>
                <w:b w:val="0"/>
                <w:sz w:val="15"/>
              </w:rPr>
              <w:t>Pricing rule with scope, inheritance and methods (FR-PRC-006..017, BR-PRC-006..012, V-PRC-02)</w:t>
            </w:r>
          </w:p>
        </w:tc>
        <w:tc>
          <w:tcPr>
            <w:tcW w:type="dxa" w:w="1701"/>
            <w:shd w:val="clear" w:color="auto" w:fill="E8EEF6"/>
          </w:tcPr>
          <w:p>
            <w:pPr>
              <w:spacing w:after="0" w:before="0"/>
            </w:pPr>
            <w:r/>
            <w:r>
              <w:rPr>
                <w:rFonts w:ascii="Arial" w:hAnsi="Arial"/>
                <w:b w:val="0"/>
                <w:sz w:val="15"/>
              </w:rPr>
              <w:t>m5_pricing_2</w:t>
            </w:r>
          </w:p>
        </w:tc>
      </w:tr>
      <w:tr>
        <w:trPr>
          <w:cantSplit w:val="true"/>
        </w:trPr>
        <w:tc>
          <w:tcPr>
            <w:tcW w:type="dxa" w:w="3515"/>
          </w:tcPr>
          <w:p>
            <w:pPr>
              <w:spacing w:after="0" w:before="0"/>
            </w:pPr>
            <w:r/>
            <w:r>
              <w:rPr>
                <w:rFonts w:ascii="Arial" w:hAnsi="Arial"/>
                <w:b w:val="0"/>
                <w:sz w:val="15"/>
              </w:rPr>
              <w:t>prc.PricingTier</w:t>
            </w:r>
          </w:p>
        </w:tc>
        <w:tc>
          <w:tcPr>
            <w:tcW w:type="dxa" w:w="10205"/>
          </w:tcPr>
          <w:p>
            <w:pPr>
              <w:spacing w:after="0" w:before="0"/>
            </w:pPr>
            <w:r/>
            <w:r>
              <w:rPr>
                <w:rFonts w:ascii="Arial" w:hAnsi="Arial"/>
                <w:b w:val="0"/>
                <w:sz w:val="15"/>
              </w:rPr>
              <w:t>Tier of a TIERED rule by amount and/or term (FR-PRC-003, BR-PRC-002)</w:t>
            </w:r>
          </w:p>
        </w:tc>
        <w:tc>
          <w:tcPr>
            <w:tcW w:type="dxa" w:w="1701"/>
          </w:tcPr>
          <w:p>
            <w:pPr>
              <w:spacing w:after="0" w:before="0"/>
            </w:pPr>
            <w:r/>
            <w:r>
              <w:rPr>
                <w:rFonts w:ascii="Arial" w:hAnsi="Arial"/>
                <w:b w:val="0"/>
                <w:sz w:val="15"/>
              </w:rPr>
              <w:t>m5_pricing_3</w:t>
            </w:r>
          </w:p>
        </w:tc>
      </w:tr>
      <w:tr>
        <w:trPr>
          <w:cantSplit w:val="true"/>
        </w:trPr>
        <w:tc>
          <w:tcPr>
            <w:tcW w:type="dxa" w:w="3515"/>
            <w:shd w:val="clear" w:color="auto" w:fill="E8EEF6"/>
          </w:tcPr>
          <w:p>
            <w:pPr>
              <w:spacing w:after="0" w:before="0"/>
            </w:pPr>
            <w:r/>
            <w:r>
              <w:rPr>
                <w:rFonts w:ascii="Arial" w:hAnsi="Arial"/>
                <w:b w:val="0"/>
                <w:sz w:val="15"/>
              </w:rPr>
              <w:t>prc.TariffItem</w:t>
            </w:r>
          </w:p>
        </w:tc>
        <w:tc>
          <w:tcPr>
            <w:tcW w:type="dxa" w:w="10205"/>
            <w:shd w:val="clear" w:color="auto" w:fill="E8EEF6"/>
          </w:tcPr>
          <w:p>
            <w:pPr>
              <w:spacing w:after="0" w:before="0"/>
            </w:pPr>
            <w:r/>
            <w:r>
              <w:rPr>
                <w:rFonts w:ascii="Arial" w:hAnsi="Arial"/>
                <w:b w:val="0"/>
                <w:sz w:val="15"/>
              </w:rPr>
              <w:t>Fee item in a tariff schedule (FR-PRC-002, BR-PRC-002..005)</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prc.TariffSchedule</w:t>
            </w:r>
          </w:p>
        </w:tc>
        <w:tc>
          <w:tcPr>
            <w:tcW w:type="dxa" w:w="10205"/>
          </w:tcPr>
          <w:p>
            <w:pPr>
              <w:spacing w:after="0" w:before="0"/>
            </w:pPr>
            <w:r/>
            <w:r>
              <w:rPr>
                <w:rFonts w:ascii="Arial" w:hAnsi="Arial"/>
                <w:b w:val="0"/>
                <w:sz w:val="15"/>
              </w:rPr>
              <w:t>Bank tariff schedule version; optionally specific to a facility (FR-PRC-001, BR-PRC-001, V-PRC-01)</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prc.TariffTier</w:t>
            </w:r>
          </w:p>
        </w:tc>
        <w:tc>
          <w:tcPr>
            <w:tcW w:type="dxa" w:w="10205"/>
            <w:shd w:val="clear" w:color="auto" w:fill="E8EEF6"/>
          </w:tcPr>
          <w:p>
            <w:pPr>
              <w:spacing w:after="0" w:before="0"/>
            </w:pPr>
            <w:r/>
            <w:r>
              <w:rPr>
                <w:rFonts w:ascii="Arial" w:hAnsi="Arial"/>
                <w:b w:val="0"/>
                <w:sz w:val="15"/>
              </w:rPr>
              <w:t>Tier of a tariff item by amount and/or term (FR-PRC-003, BR-PRC-002)</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pty.Address</w:t>
            </w:r>
          </w:p>
        </w:tc>
        <w:tc>
          <w:tcPr>
            <w:tcW w:type="dxa" w:w="10205"/>
          </w:tcPr>
          <w:p>
            <w:pPr>
              <w:spacing w:after="0" w:before="0"/>
            </w:pPr>
            <w:r/>
            <w:r>
              <w:rPr>
                <w:rFonts w:ascii="Arial" w:hAnsi="Arial"/>
                <w:b w:val="0"/>
                <w:sz w:val="15"/>
              </w:rPr>
              <w:t>Postal address with an exclusive owner arc: exactly one of Party, Institution, Unit or Contact (FR-PTY-011,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pty.ContactMethod</w:t>
            </w:r>
          </w:p>
        </w:tc>
        <w:tc>
          <w:tcPr>
            <w:tcW w:type="dxa" w:w="10205"/>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pty.CustomFieldDefinition</w:t>
            </w:r>
          </w:p>
        </w:tc>
        <w:tc>
          <w:tcPr>
            <w:tcW w:type="dxa" w:w="10205"/>
          </w:tcPr>
          <w:p>
            <w:pPr>
              <w:spacing w:after="0" w:before="0"/>
            </w:pPr>
            <w:r/>
            <w:r>
              <w:rPr>
                <w:rFonts w:ascii="Arial" w:hAnsi="Arial"/>
                <w:b w:val="0"/>
                <w:sz w:val="15"/>
              </w:rPr>
              <w:t>Custom field definition (FR-PTY-013, BR-PTY-014)</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pty.IdentityDocument</w:t>
            </w:r>
          </w:p>
        </w:tc>
        <w:tc>
          <w:tcPr>
            <w:tcW w:type="dxa" w:w="10205"/>
            <w:shd w:val="clear" w:color="auto" w:fill="E8EEF6"/>
          </w:tcPr>
          <w:p>
            <w:pPr>
              <w:spacing w:after="0" w:before="0"/>
            </w:pPr>
            <w:r/>
            <w:r>
              <w:rPr>
                <w:rFonts w:ascii="Arial" w:hAnsi="Arial"/>
                <w:b w:val="0"/>
                <w:sz w:val="15"/>
              </w:rPr>
              <w:t>Identity document; the number is encrypted and images are restricted documents (FR-PTY-004..009, FR-PTY-020..022, BR-PTY-002..008)</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w:t>
            </w:r>
          </w:p>
        </w:tc>
        <w:tc>
          <w:tcPr>
            <w:tcW w:type="dxa" w:w="10205"/>
          </w:tcPr>
          <w:p>
            <w:pPr>
              <w:spacing w:after="0" w:before="0"/>
            </w:pPr>
            <w:r/>
            <w:r>
              <w:rPr>
                <w:rFonts w:ascii="Arial" w:hAnsi="Arial"/>
                <w:b w:val="0"/>
                <w:sz w:val="15"/>
              </w:rPr>
              <w:t>KYC completeness checklist per bank and role (FR-PTY-023, BR-PTY-012..013, G-8,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w:t>
            </w:r>
          </w:p>
        </w:tc>
        <w:tc>
          <w:tcPr>
            <w:tcW w:type="dxa" w:w="10205"/>
            <w:shd w:val="clear" w:color="auto" w:fill="E8EEF6"/>
          </w:tcPr>
          <w:p>
            <w:pPr>
              <w:spacing w:after="0" w:before="0"/>
            </w:pPr>
            <w:r/>
            <w:r>
              <w:rPr>
                <w:rFonts w:ascii="Arial" w:hAnsi="Arial"/>
                <w:b w:val="0"/>
                <w:sz w:val="15"/>
              </w:rPr>
              <w:t>Completeness item (FR-PTY-023, FR-PTY-024,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pty.KycProfileItemLegalForm</w:t>
            </w:r>
          </w:p>
        </w:tc>
        <w:tc>
          <w:tcPr>
            <w:tcW w:type="dxa" w:w="10205"/>
          </w:tcPr>
          <w:p>
            <w:pPr>
              <w:spacing w:after="0" w:before="0"/>
            </w:pPr>
            <w:r/>
            <w:r>
              <w:rPr>
                <w:rFonts w:ascii="Arial" w:hAnsi="Arial"/>
                <w:b w:val="0"/>
                <w:sz w:val="15"/>
              </w:rPr>
              <w:t>Conditions for an item to apply, by legal form; no rows = applies to all (G-15)</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w:t>
            </w:r>
          </w:p>
        </w:tc>
        <w:tc>
          <w:tcPr>
            <w:tcW w:type="dxa" w:w="10205"/>
            <w:shd w:val="clear" w:color="auto" w:fill="E8EEF6"/>
          </w:tcPr>
          <w:p>
            <w:pPr>
              <w:spacing w:after="0" w:before="0"/>
            </w:pPr>
            <w:r/>
            <w:r>
              <w:rPr>
                <w:rFonts w:ascii="Arial" w:hAnsi="Arial"/>
                <w:b w:val="0"/>
                <w:sz w:val="15"/>
              </w:rPr>
              <w:t>Person or entity; no stored role (FR-PTY-001..003, BR-PTY-001..004, BR-PTY-016..018)</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pty.PartyCompliance</w:t>
            </w:r>
          </w:p>
        </w:tc>
        <w:tc>
          <w:tcPr>
            <w:tcW w:type="dxa" w:w="10205"/>
          </w:tcPr>
          <w:p>
            <w:pPr>
              <w:spacing w:after="0" w:before="0"/>
            </w:pPr>
            <w:r/>
            <w:r>
              <w:rPr>
                <w:rFonts w:ascii="Arial" w:hAnsi="Arial"/>
                <w:b w:val="0"/>
                <w:sz w:val="15"/>
              </w:rPr>
              <w:t>Dated compliance declarations per person in their capacity: PEP, sanctions, investigations, immunity (G-9)</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pty.PartyCustomField</w:t>
            </w:r>
          </w:p>
        </w:tc>
        <w:tc>
          <w:tcPr>
            <w:tcW w:type="dxa" w:w="10205"/>
            <w:shd w:val="clear" w:color="auto" w:fill="E8EEF6"/>
          </w:tcPr>
          <w:p>
            <w:pPr>
              <w:spacing w:after="0" w:before="0"/>
            </w:pPr>
            <w:r/>
            <w:r>
              <w:rPr>
                <w:rFonts w:ascii="Arial" w:hAnsi="Arial"/>
                <w:b w:val="0"/>
                <w:sz w:val="15"/>
              </w:rPr>
              <w:t>Custom-field value for a party (FR-PTY-013, FR-PTY-014)</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pty.TaxIdentity</w:t>
            </w:r>
          </w:p>
        </w:tc>
        <w:tc>
          <w:tcPr>
            <w:tcW w:type="dxa" w:w="10205"/>
          </w:tcPr>
          <w:p>
            <w:pPr>
              <w:spacing w:after="0" w:before="0"/>
            </w:pPr>
            <w:r/>
            <w:r>
              <w:rPr>
                <w:rFonts w:ascii="Arial" w:hAnsi="Arial"/>
                <w:b w:val="0"/>
                <w:sz w:val="15"/>
              </w:rPr>
              <w:t>Tax identity and FATCA/CRS tax declaration (G-13)</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ref.Country</w:t>
            </w:r>
          </w:p>
        </w:tc>
        <w:tc>
          <w:tcPr>
            <w:tcW w:type="dxa" w:w="10205"/>
            <w:shd w:val="clear" w:color="auto" w:fill="E8EEF6"/>
          </w:tcPr>
          <w:p>
            <w:pPr>
              <w:spacing w:after="0" w:before="0"/>
            </w:pPr>
            <w:r/>
            <w:r>
              <w:rPr>
                <w:rFonts w:ascii="Arial" w:hAnsi="Arial"/>
                <w:b w:val="0"/>
                <w:sz w:val="15"/>
              </w:rPr>
              <w:t>Country: global reference, read-only, managed by the platform operator (FR-CAT-026, BR-CAT-018,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ref.Currency</w:t>
            </w:r>
          </w:p>
        </w:tc>
        <w:tc>
          <w:tcPr>
            <w:tcW w:type="dxa" w:w="10205"/>
          </w:tcPr>
          <w:p>
            <w:pPr>
              <w:spacing w:after="0" w:before="0"/>
            </w:pPr>
            <w:r/>
            <w:r>
              <w:rPr>
                <w:rFonts w:ascii="Arial" w:hAnsi="Arial"/>
                <w:b w:val="0"/>
                <w:sz w:val="15"/>
              </w:rPr>
              <w:t>Currency: global ISO 4217 reference, read-only (FR-CAT-021, Q-CAT-08)</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ref.Incoterm</w:t>
            </w:r>
          </w:p>
        </w:tc>
        <w:tc>
          <w:tcPr>
            <w:tcW w:type="dxa" w:w="10205"/>
            <w:shd w:val="clear" w:color="auto" w:fill="E8EEF6"/>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sec.SessionBinding</w:t>
            </w:r>
          </w:p>
        </w:tc>
        <w:tc>
          <w:tcPr>
            <w:tcW w:type="dxa" w:w="10205"/>
            <w:shd w:val="clear" w:color="auto" w:fill="E8EEF6"/>
          </w:tcPr>
          <w:p>
            <w:pPr>
              <w:spacing w:after="0" w:before="0"/>
            </w:pPr>
            <w:r/>
            <w:r>
              <w:rPr>
                <w:rFonts w:ascii="Arial" w:hAnsi="Arial"/>
                <w:b w:val="0"/>
                <w:sz w:val="15"/>
              </w:rPr>
              <w:t>Connection binding for the row filters (O-16)</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sec.TenantKey</w:t>
            </w:r>
          </w:p>
        </w:tc>
        <w:tc>
          <w:tcPr>
            <w:tcW w:type="dxa" w:w="10205"/>
          </w:tcPr>
          <w:p>
            <w:pPr>
              <w:spacing w:after="0" w:before="0"/>
            </w:pPr>
            <w:r/>
            <w:r>
              <w:rPr>
                <w:rFonts w:ascii="Arial" w:hAnsi="Arial"/>
                <w:b w:val="0"/>
                <w:sz w:val="15"/>
              </w:rPr>
              <w:t>Tenant key register; each key is wrapped by a master key held outside the database (FR-PLT-037, BR-PLT-015)</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sec.UserCompanyScope</w:t>
            </w:r>
          </w:p>
        </w:tc>
        <w:tc>
          <w:tcPr>
            <w:tcW w:type="dxa" w:w="10205"/>
            <w:shd w:val="clear" w:color="auto" w:fill="E8EEF6"/>
          </w:tcPr>
          <w:p>
            <w:pPr>
              <w:spacing w:after="0" w:before="0"/>
            </w:pPr>
            <w:r/>
            <w:r>
              <w:rPr>
                <w:rFonts w:ascii="Arial" w:hAnsi="Arial"/>
                <w:b w:val="0"/>
                <w:sz w:val="15"/>
              </w:rPr>
              <w:t>Companies a user can see; ignored when CompanyScopeMode = ALL (FR-PLT-020)</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sec.UserPasswordHistory</w:t>
            </w:r>
          </w:p>
        </w:tc>
        <w:tc>
          <w:tcPr>
            <w:tcW w:type="dxa" w:w="10205"/>
          </w:tcPr>
          <w:p>
            <w:pPr>
              <w:spacing w:after="0" w:before="0"/>
            </w:pPr>
            <w:r/>
            <w:r>
              <w:rPr>
                <w:rFonts w:ascii="Arial" w:hAnsi="Arial"/>
                <w:b w:val="0"/>
                <w:sz w:val="15"/>
              </w:rPr>
              <w:t>Last five passwords, to prevent reuse (BR-PLT-004)</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sec.UserRole</w:t>
            </w:r>
          </w:p>
        </w:tc>
        <w:tc>
          <w:tcPr>
            <w:tcW w:type="dxa" w:w="10205"/>
            <w:shd w:val="clear" w:color="auto" w:fill="E8EEF6"/>
          </w:tcPr>
          <w:p>
            <w:pPr>
              <w:spacing w:after="0" w:before="0"/>
            </w:pPr>
            <w:r/>
            <w:r>
              <w:rPr>
                <w:rFonts w:ascii="Arial" w:hAnsi="Arial"/>
                <w:b w:val="0"/>
                <w:sz w:val="15"/>
              </w:rPr>
              <w:t>User–role link; permissions are the union of the roles (BR-PLT-007,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sec.UserSession</w:t>
            </w:r>
          </w:p>
        </w:tc>
        <w:tc>
          <w:tcPr>
            <w:tcW w:type="dxa" w:w="10205"/>
          </w:tcPr>
          <w:p>
            <w:pPr>
              <w:spacing w:after="0" w:before="0"/>
            </w:pPr>
            <w:r/>
            <w:r>
              <w:rPr>
                <w:rFonts w:ascii="Arial" w:hAnsi="Arial"/>
                <w:b w:val="0"/>
                <w:sz w:val="15"/>
              </w:rPr>
              <w:t>User sessions: 30-minute idle timeout and 12-hour absolute timeout (FR-PLT-014)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sec.UserToken</w:t>
            </w:r>
          </w:p>
        </w:tc>
        <w:tc>
          <w:tcPr>
            <w:tcW w:type="dxa" w:w="10205"/>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wfl.ExternalPhase</w:t>
            </w:r>
          </w:p>
        </w:tc>
        <w:tc>
          <w:tcPr>
            <w:tcW w:type="dxa" w:w="10205"/>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wfl.HookExecution</w:t>
            </w:r>
          </w:p>
        </w:tc>
        <w:tc>
          <w:tcPr>
            <w:tcW w:type="dxa" w:w="10205"/>
            <w:shd w:val="clear" w:color="auto" w:fill="E8EEF6"/>
          </w:tcPr>
          <w:p>
            <w:pPr>
              <w:spacing w:after="0" w:before="0"/>
            </w:pPr>
            <w:r/>
            <w:r>
              <w:rPr>
                <w:rFonts w:ascii="Arial" w:hAnsi="Arial"/>
                <w:b w:val="0"/>
                <w:sz w:val="15"/>
              </w:rPr>
              <w:t>Execution of a hook with an idempotency key; a repeat returns the stored result (FR-WFL-021, BR-WFL-015)</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w:t>
            </w:r>
          </w:p>
        </w:tc>
        <w:tc>
          <w:tcPr>
            <w:tcW w:type="dxa" w:w="10205"/>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tcPr>
          <w:p>
            <w:pPr>
              <w:spacing w:after="0" w:before="0"/>
            </w:pPr>
            <w:r/>
            <w:r>
              <w:rPr>
                <w:rFonts w:ascii="Arial" w:hAnsi="Arial"/>
                <w:b w:val="0"/>
                <w:sz w:val="15"/>
              </w:rPr>
              <w:t>m6_requests_3</w:t>
            </w:r>
          </w:p>
        </w:tc>
      </w:tr>
      <w:tr>
        <w:trPr>
          <w:cantSplit w:val="true"/>
        </w:trPr>
        <w:tc>
          <w:tcPr>
            <w:tcW w:type="dxa" w:w="3515"/>
            <w:shd w:val="clear" w:color="auto" w:fill="E8EEF6"/>
          </w:tcPr>
          <w:p>
            <w:pPr>
              <w:spacing w:after="0" w:before="0"/>
            </w:pPr>
            <w:r/>
            <w:r>
              <w:rPr>
                <w:rFonts w:ascii="Arial" w:hAnsi="Arial"/>
                <w:b w:val="0"/>
                <w:sz w:val="15"/>
              </w:rPr>
              <w:t>wfl.RequestAction</w:t>
            </w:r>
          </w:p>
        </w:tc>
        <w:tc>
          <w:tcPr>
            <w:tcW w:type="dxa" w:w="10205"/>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wfl.RequestApproval</w:t>
            </w:r>
          </w:p>
        </w:tc>
        <w:tc>
          <w:tcPr>
            <w:tcW w:type="dxa" w:w="10205"/>
          </w:tcPr>
          <w:p>
            <w:pPr>
              <w:spacing w:after="0" w:before="0"/>
            </w:pPr>
            <w:r/>
            <w:r>
              <w:rPr>
                <w:rFonts w:ascii="Arial" w:hAnsi="Arial"/>
                <w:b w:val="0"/>
                <w:sz w:val="15"/>
              </w:rPr>
              <w:t>Approval slot created per entry and cycle; a new cycle creates new slots (BR-WFL-003, FR-WFL-007/008/011)</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wfl.RequestAttachment</w:t>
            </w:r>
          </w:p>
        </w:tc>
        <w:tc>
          <w:tcPr>
            <w:tcW w:type="dxa" w:w="10205"/>
            <w:shd w:val="clear" w:color="auto" w:fill="E8EEF6"/>
          </w:tcPr>
          <w:p>
            <w:pPr>
              <w:spacing w:after="0" w:before="0"/>
            </w:pPr>
            <w:r/>
            <w:r>
              <w:rPr>
                <w:rFonts w:ascii="Arial" w:hAnsi="Arial"/>
                <w:b w:val="0"/>
                <w:sz w:val="15"/>
              </w:rPr>
              <w:t>Links a document to a request and creates a DocumentLink (EntityType = Request) (FR-REQ-006, BR-REQ-005)</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wfl.RequestComment</w:t>
            </w:r>
          </w:p>
        </w:tc>
        <w:tc>
          <w:tcPr>
            <w:tcW w:type="dxa" w:w="10205"/>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wfl.RequestExternalRef</w:t>
            </w:r>
          </w:p>
        </w:tc>
        <w:tc>
          <w:tcPr>
            <w:tcW w:type="dxa" w:w="10205"/>
            <w:shd w:val="clear" w:color="auto" w:fill="E8EEF6"/>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wfl.RequestStageInstance</w:t>
            </w:r>
          </w:p>
        </w:tc>
        <w:tc>
          <w:tcPr>
            <w:tcW w:type="dxa" w:w="10205"/>
          </w:tcPr>
          <w:p>
            <w:pPr>
              <w:spacing w:after="0" w:before="0"/>
            </w:pPr>
            <w:r/>
            <w:r>
              <w:rPr>
                <w:rFonts w:ascii="Arial" w:hAnsi="Arial"/>
                <w:b w:val="0"/>
                <w:sz w:val="15"/>
              </w:rPr>
              <w:t>Entry of a request into a stage; source of the cycle-time, withdrawal and SLA metrics (BR-WFL-002/007/012, section 8)</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wfl.RequestType</w:t>
            </w:r>
          </w:p>
        </w:tc>
        <w:tc>
          <w:tcPr>
            <w:tcW w:type="dxa" w:w="10205"/>
            <w:shd w:val="clear" w:color="auto" w:fill="E8EEF6"/>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wfl.RequestTypeAudience</w:t>
            </w:r>
          </w:p>
        </w:tc>
        <w:tc>
          <w:tcPr>
            <w:tcW w:type="dxa" w:w="10205"/>
          </w:tcPr>
          <w:p>
            <w:pPr>
              <w:spacing w:after="0" w:before="0"/>
            </w:pPr>
            <w:r/>
            <w:r>
              <w:rPr>
                <w:rFonts w:ascii="Arial" w:hAnsi="Arial"/>
                <w:b w:val="0"/>
                <w:sz w:val="15"/>
              </w:rPr>
              <w:t>Audience of a request type: who may raise it; no rows = nobody (fail closed) (FR-REQ-007)</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wfl.StageApprover</w:t>
            </w:r>
          </w:p>
        </w:tc>
        <w:tc>
          <w:tcPr>
            <w:tcW w:type="dxa" w:w="10205"/>
            <w:shd w:val="clear" w:color="auto" w:fill="E8EEF6"/>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wfl.TemplateAttachmentRule</w:t>
            </w:r>
          </w:p>
        </w:tc>
        <w:tc>
          <w:tcPr>
            <w:tcW w:type="dxa" w:w="10205"/>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wfl.TemplateField</w:t>
            </w:r>
          </w:p>
        </w:tc>
        <w:tc>
          <w:tcPr>
            <w:tcW w:type="dxa" w:w="10205"/>
            <w:shd w:val="clear" w:color="auto" w:fill="E8EEF6"/>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wfl.UserDelegation</w:t>
            </w:r>
          </w:p>
        </w:tc>
        <w:tc>
          <w:tcPr>
            <w:tcW w:type="dxa" w:w="10205"/>
          </w:tcPr>
          <w:p>
            <w:pPr>
              <w:spacing w:after="0" w:before="0"/>
            </w:pPr>
            <w:r/>
            <w:r>
              <w:rPr>
                <w:rFonts w:ascii="Arial" w:hAnsi="Arial"/>
                <w:b w:val="0"/>
                <w:sz w:val="15"/>
              </w:rPr>
              <w:t>Task delegation with a period and scope; no chained delegation (FR-WFL-020, BR-WFL-021, V-WFL-06)</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wfl.WorkflowStage</w:t>
            </w:r>
          </w:p>
        </w:tc>
        <w:tc>
          <w:tcPr>
            <w:tcW w:type="dxa" w:w="10205"/>
            <w:shd w:val="clear" w:color="auto" w:fill="E8EEF6"/>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wfl.WorkflowStageHook</w:t>
            </w:r>
          </w:p>
        </w:tc>
        <w:tc>
          <w:tcPr>
            <w:tcW w:type="dxa" w:w="10205"/>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1701"/>
          </w:tcPr>
          <w:p>
            <w:pPr>
              <w:spacing w:after="0" w:before="0"/>
            </w:pPr>
            <w:r/>
            <w:r>
              <w:rPr>
                <w:rFonts w:ascii="Arial" w:hAnsi="Arial"/>
                <w:b w:val="0"/>
                <w:sz w:val="15"/>
              </w:rPr>
              <w:t>m6_wf_templates_3</w:t>
            </w:r>
          </w:p>
        </w:tc>
      </w:tr>
      <w:tr>
        <w:trPr>
          <w:cantSplit w:val="true"/>
        </w:trPr>
        <w:tc>
          <w:tcPr>
            <w:tcW w:type="dxa" w:w="3515"/>
            <w:shd w:val="clear" w:color="auto" w:fill="E8EEF6"/>
          </w:tcPr>
          <w:p>
            <w:pPr>
              <w:spacing w:after="0" w:before="0"/>
            </w:pPr>
            <w:r/>
            <w:r>
              <w:rPr>
                <w:rFonts w:ascii="Arial" w:hAnsi="Arial"/>
                <w:b w:val="0"/>
                <w:sz w:val="15"/>
              </w:rPr>
              <w:t>wfl.WorkflowTemplate</w:t>
            </w:r>
          </w:p>
        </w:tc>
        <w:tc>
          <w:tcPr>
            <w:tcW w:type="dxa" w:w="10205"/>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wfl.WorkflowTransition</w:t>
            </w:r>
          </w:p>
        </w:tc>
        <w:tc>
          <w:tcPr>
            <w:tcW w:type="dxa" w:w="10205"/>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1701"/>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213</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829</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193</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636</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561</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596</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772</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81</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