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 </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وظيفة مستقلة عن خط الإعداد والاعتماد، يقرأ ما يقرأه المدقق ويصدّق التقييم للاستعمال خارج الشركة ويصله الإنذار الأحمر (قرار المالك 35).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9"/>
        <w:gridCol w:w="1946"/>
        <w:gridCol w:w="611"/>
        <w:gridCol w:w="611"/>
        <w:gridCol w:w="611"/>
        <w:gridCol w:w="611"/>
        <w:gridCol w:w="611"/>
        <w:gridCol w:w="611"/>
        <w:gridCol w:w="611"/>
        <w:gridCol w:w="611"/>
        <w:gridCol w:w="611"/>
      </w:tblGrid>
      <w:tr>
        <w:trPr>
          <w:cantSplit/>
          <w:tblHeader/>
        </w:trPr>
        <w:tc>
          <w:tcPr>
            <w:tcW w:type="dxa" w:w="2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القوائم والأرقام الشهرية لشركة · إعادة فتحها (المقفل ≠ من يعيد الفتح؛ ADR 0031)</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‎fin.period.lock‎</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المعتمد لاستعماله خارج الشركة (من خارج الإعداد والاعتماد؛ ADR 0029)</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086"/>
        <w:gridCol w:w="957"/>
        <w:gridCol w:w="957"/>
        <w:gridCol w:w="1192"/>
        <w:gridCol w:w="3679"/>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تصديق التقييم لاستعماله خارج الشركة.</w:t>
            </w:r>
            <w:r>
              <w:rPr>
                <w:rFonts w:ascii="Arial" w:cs="Arial" w:eastAsia="Arial" w:hAnsi="Arial"/>
                <w:b w:val="false"/>
                <w:bCs w:val="false"/>
                <w:sz w:val="18"/>
                <w:szCs w:val="18"/>
                <w:rtl/>
              </w:rPr>
              <w:t xml:space="preserve"> التقييم المعتمد رأي داخلي للشركة، ولا يُعرض على جهة تمويل أو شريك أو مجلس إلا بعد أن يصدّقه شخص من خارج خط الإعداد والاعتماد (المدقق الداخلي افتراضًا) بسبب ونطاق؛ ويبيّن التقرير هل التقييم مصدَّق أم داخلي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‎UseScope‎</w:t>
            </w:r>
            <w:r>
              <w:rPr>
                <w:rFonts w:ascii="Arial" w:cs="Arial" w:eastAsia="Arial" w:hAnsi="Arial"/>
                <w:b w:val="false"/>
                <w:bCs w:val="false"/>
                <w:sz w:val="18"/>
                <w:szCs w:val="18"/>
                <w:rtl/>
              </w:rPr>
              <w:t xml:space="preserve">؛ CA25؛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المتراكمة مع جهات التمويل.</w:t>
            </w:r>
            <w:r>
              <w:rPr>
                <w:rFonts w:ascii="Arial" w:cs="Arial" w:eastAsia="Arial" w:hAnsi="Arial"/>
                <w:b w:val="false"/>
                <w:bCs w:val="false"/>
                <w:sz w:val="18"/>
                <w:szCs w:val="18"/>
                <w:rtl/>
              </w:rPr>
              <w:t xml:space="preserve"> لكل شركة، ولكل جهة تمويل، متوسط الفرق بين تقييمها وتصنيفات جهاتها عبر الزمن وآخره، وميلها: متفائلة أو متحفظة أو متوافقة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‎fin.v_LenderRatingCalibration‎</w:t>
            </w:r>
            <w:r>
              <w:rPr>
                <w:rFonts w:ascii="Arial" w:cs="Arial" w:eastAsia="Arial" w:hAnsi="Arial"/>
                <w:b w:val="false"/>
                <w:bCs w:val="false"/>
                <w:sz w:val="18"/>
                <w:szCs w:val="18"/>
                <w:rtl/>
              </w:rPr>
              <w:t xml:space="preserve">؛ CA26؛ ADR 0029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 اختيار نسخة العرض.</w:t>
            </w:r>
            <w:r>
              <w:rPr>
                <w:rFonts w:ascii="Arial" w:cs="Arial" w:eastAsia="Arial" w:hAnsi="Arial"/>
                <w:b w:val="false"/>
                <w:bCs w:val="false"/>
                <w:sz w:val="18"/>
                <w:szCs w:val="18"/>
                <w:rtl/>
              </w:rPr>
              <w:t xml:space="preserve"> لا تُختار نسخة عرض إلا بسبب مكتوب يبقى معها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‎fin.PresentationVersion.ChoiceReason‎</w:t>
            </w:r>
            <w:r>
              <w:rPr>
                <w:rFonts w:ascii="Arial" w:cs="Arial" w:eastAsia="Arial" w:hAnsi="Arial"/>
                <w:b w:val="false"/>
                <w:bCs w:val="false"/>
                <w:sz w:val="18"/>
                <w:szCs w:val="18"/>
                <w:rtl/>
              </w:rPr>
              <w:t xml:space="preserve">؛ CA19؛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الأرقام الشهرية المؤكدة لا تتغير.</w:t>
            </w:r>
            <w:r>
              <w:rPr>
                <w:rFonts w:ascii="Arial" w:cs="Arial" w:eastAsia="Arial" w:hAnsi="Arial"/>
                <w:b w:val="false"/>
                <w:bCs w:val="false"/>
                <w:sz w:val="18"/>
                <w:szCs w:val="18"/>
                <w:rtl/>
              </w:rPr>
              <w:t xml:space="preserve"> الرصيد الشهري والمبلغ المحوَّل للبنك بعد تأكيده لا يُعدَّل ولا يُحذف؛ ويُعاد مسودة بسبب بيد حامل صلاحية التأكيد غير المُدخِل، ويُعدّ ذلك ويُدقَّق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قرار المالك 35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‎TR_AccountMonthlyStat_ConfirmedFrozen‎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‎TR_BankFlowEntry_ConfirmedFrozen‎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‎fin.usp_ReopenMonthlyFigure‎</w:t>
            </w:r>
            <w:r>
              <w:rPr>
                <w:rFonts w:ascii="Arial" w:cs="Arial" w:eastAsia="Arial" w:hAnsi="Arial"/>
                <w:b w:val="false"/>
                <w:bCs w:val="false"/>
                <w:sz w:val="18"/>
                <w:szCs w:val="18"/>
                <w:rtl/>
              </w:rPr>
              <w:t xml:space="preserve">؛ CA27؛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حزمة أدلة التقييم المصدَّق.</w:t>
            </w:r>
            <w:r>
              <w:rPr>
                <w:rFonts w:ascii="Arial" w:cs="Arial" w:eastAsia="Arial" w:hAnsi="Arial"/>
                <w:b w:val="false"/>
                <w:bCs w:val="false"/>
                <w:sz w:val="18"/>
                <w:szCs w:val="18"/>
                <w:rtl/>
              </w:rPr>
              <w:t xml:space="preserve"> وثيقة واحدة للمدقق أو جهة التمويل فيها التقرير ونسخ القائمة وأسطرها والنتائج والتسوية والمعايرة وفحص المخصص وصفوف التدقيق، ببصمة SHA-256 محفوظة وغرض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‎fin.usp_BuildAssessmentEvidencePack‎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CA28؛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في ملف الجاهزية.</w:t>
            </w:r>
            <w:r>
              <w:rPr>
                <w:rFonts w:ascii="Arial" w:cs="Arial" w:eastAsia="Arial" w:hAnsi="Arial"/>
                <w:b w:val="false"/>
                <w:bCs w:val="false"/>
                <w:sz w:val="18"/>
                <w:szCs w:val="18"/>
                <w:rtl/>
              </w:rPr>
              <w:t xml:space="preserve"> تفاؤل الشركة في تقييم نفسها أو قِدم آخر تصنيف لجهة تمويل يجعل موعدها أصفر، ويطلب الملف تصنيفًا جديدًا؛ ويحفظ التصديق ميل يومه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CALIBRATION_OPTIMISTIC وCALIBRATION_STALE؛ CA29؛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مصفوفة مخصص الذمم.</w:t>
            </w:r>
            <w:r>
              <w:rPr>
                <w:rFonts w:ascii="Arial" w:cs="Arial" w:eastAsia="Arial" w:hAnsi="Arial"/>
                <w:b w:val="false"/>
                <w:bCs w:val="false"/>
                <w:sz w:val="18"/>
                <w:szCs w:val="18"/>
                <w:rtl/>
              </w:rPr>
              <w:t xml:space="preserve"> المخصص المتوقع من أعمار الذمم بنسب خسارة تعتمدها الخزينة، بجانب المخصص المسجَّل، والعجز إن وُجد طلبًا في ملف الجاهزية؛ دون أن يغيّر الدرجة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المالك 35 (D4)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حزمة FIN.PROVISION؛ CA30؛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الفترات اختياريًا.</w:t>
            </w:r>
            <w:r>
              <w:rPr>
                <w:rFonts w:ascii="Arial" w:cs="Arial" w:eastAsia="Arial" w:hAnsi="Arial"/>
                <w:b w:val="false"/>
                <w:bCs w:val="false"/>
                <w:sz w:val="18"/>
                <w:szCs w:val="18"/>
                <w:rtl/>
              </w:rPr>
              <w:t xml:space="preserve"> تقفل الشركة فتراتها حتى يوم بعينه بعد اعتماد قوائمها وتأكيد أرقامها الشهرية، فلا يُضاف لتلك الفترات ولا يُعدَّل ولا يُحذف شيء، ولا نسخة جديدة ولا إعادة فتح لرقم، حتى يعيد فتحها غير من أقفلها بسبب</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البند 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‎fin.usp_LockReportingPeriod‎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‎fin.usp_ReopenReportingPeriod‎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CA31؛ ADR 0031</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يُصدَّق التقييم المعتمد لقائمة فعلية، غير التجريبي، مرة واحدة، بسبب ونطاق إلزاميين، بيد من يحمل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ولا يحمل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وليس المُعِدّ ولا المعتمِد؛ ولا يتغير التصديق بعد إعطائه، ولا يكتبه التطبيق مباشرة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مدقق داخلي يصدّق «للعرض على البنك في تجديد 2026»: ENDORSED؛ محلل يحمل صلاحيتي الإعداد والتصديق: مرفوض (50093)</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الاختيار يلزمه سبب غير فارغ، يحفظه الإجراء ولا يكتبه التطبيق</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بلا سبب: مرفوض (50090)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 درجة الجهة − درجة التقييم (الموجب: الجهة أشد)؛ الميل INSUFFICIENT دون ثلاثة تصنيفات، وOPTIMISTIC بمتوسط درجة فأكثر، وCONSERVATIVE بمتوسط سالب درجة فأكثر، وALIGNED فيما بينهما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متوسط 1.67، متفائلة</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صفراء بعد كل الأسباب الأخرى: CALIBRATION_OPTIMISTIC إن كان ميل الشركة OPTIMISTIC، ثم CALIBRATION_STALE إن كان آخر تصنيف لجهة تمويل أقدم من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(12 افتراضًا، من 3 إلى 36)؛ والشركة بلا تصنيف حديث يُطلب لها تصنيف</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أصفر متفائل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المتوقع = مجموع (رصيد كل شريحة عمر × نسبتها)، والحكومي فوق سنة بنسبته؛ النسبة آخر نسبة نافذة في نهاية الفترة والمعتمدة أولًا؛ SHORTFALL إن قل المسجَّل عن 90% من المتوقع؛ والفحص لا يغيّر الدرجة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و30 و20 و10 (منها 4 حكومي) بنسب 1 و5 و20 و50 و10%: المتوقع 9.9، والمسجَّل 2 عجز 7.9</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من الأرصدة الشهرية والمبالغ المحوَّلة لا يُعدَّل ولا يُحذف (50094)؛ وإعادة فتحه بسبب، بيد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ويزيد عدّاد إعادة الفتح ويُكتب حدث تدقيق عالي الشدة</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 يعيد فتح ما أدخله: مرفوض حتى لو حمل صلاحية التأكيد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الأدلة لتقييم مصدَّق فقط، بغرض مكتوب، بيد حامل صلاحية التصديق أو الاعتماد؛ وبصمتها SHA-256 على نصها، ويعطي المحتوى نفسه البصمة نفسها؛ ولا يكتب التطبيق سجلها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معتمد غير مصدَّق: لا حزمة (50095)</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BR-FIN-050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الإقفال حتى يوم مضى وبعد الإقفال القائم، وبسبب، بيد حامل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ولا يجوز وفي الفترة قائمة غير معتمدة أو رقم شهري غير مؤكَّد؛ وبعده تُرفض كل قائمة فعلية تاريخها حتى ذلك اليوم وكل رصيد أو مبلغ محوَّل (50096)، والموازنة خارجه؛ وإعادة الفتح لآخر إقفال فقط، بسبب، بيد غير من أقفل، ويُدقَّق الإقفال وإعادة الفتح</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2025-12-31 ثم مبلغ محوَّل لشهر نوفمبر 2025: مرفوض؛ ولشهر مايو 2026: مقبول</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و</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(قرار المالك 35) لا يعملان في الطلبات، ولكل منهما تفضيلات إشعاراته لأنه يستلم إشعارات §9.2، ومنها الإنذار الأحمر لـ RK (قرار المالك 36).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
        <w:gridCol w:w="2299"/>
        <w:gridCol w:w="1856"/>
        <w:gridCol w:w="519"/>
        <w:gridCol w:w="519"/>
        <w:gridCol w:w="519"/>
        <w:gridCol w:w="519"/>
        <w:gridCol w:w="519"/>
        <w:gridCol w:w="519"/>
        <w:gridCol w:w="519"/>
        <w:gridCol w:w="519"/>
        <w:gridCol w:w="519"/>
        <w:gridCol w:w="519"/>
      </w:tblGrid>
      <w:tr>
        <w:trPr>
          <w:cantSplit/>
          <w:tblHeader/>
        </w:trPr>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
        <w:gridCol w:w="2242"/>
        <w:gridCol w:w="2238"/>
        <w:gridCol w:w="673"/>
        <w:gridCol w:w="673"/>
        <w:gridCol w:w="673"/>
        <w:gridCol w:w="673"/>
        <w:gridCol w:w="673"/>
        <w:gridCol w:w="673"/>
        <w:gridCol w:w="673"/>
      </w:tblGrid>
      <w:tr>
        <w:trPr>
          <w:cantSplit/>
          <w:tblHeader/>
        </w:trPr>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9527cfc56aab6294b2ca2bd82a5dd2e6e1e8a8f7.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2026-10-21T12:10:35.406Z</dcterms:created>
  <dcterms:modified xsi:type="dcterms:W3CDTF">2026-10-21T12:10:35.407Z</dcterms:modified>
</cp:coreProperties>
</file>

<file path=docProps/custom.xml><?xml version="1.0" encoding="utf-8"?>
<Properties xmlns="http://schemas.openxmlformats.org/officeDocument/2006/custom-properties" xmlns:vt="http://schemas.openxmlformats.org/officeDocument/2006/docPropsVTypes"/>
</file>