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DOC-B01 — استراتيجية الاختبار وخطته</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DOC-B01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ضمان الجودة (QA lead) مع قائد قاعدة البيانات</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FR-PLT-036، FR-PLT-008، FR-PLT-045، FR-PLT-041، BR-PLT-001، X-SEC-4، X-SEC-5، O-09 وO-03 (erd_open_items)، 00 §8</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DOC-B02، DOC-B03، DOC-B06، DOC-B08، DOC-B11، DOC-S13، DOC-F05</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 docs/10-detailed-analysis/10-m0-m1-platform-organization.md، tools/ci/db_ci.sh، ../.github/workflows/treasury-db-ci.yml (جذر المستودع)، db/tests/tenant_isolation_tests.sql، db/tests/fac_share_rule_tests.sql، tools/dbgen/check_grants.py، tools/dbgen/check_review_fixes.py، tools/dbgen/check_fk_indexes.py، tools/dbgen/check_deployed.py، docs/20-database-design.md، tools/dbgen/erd_open_items.py</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الغرض والنطاق</w:t>
        </w:r>
      </w:hyperlink>
    </w:p>
    <w:p>
      <w:pPr>
        <w:bidi/>
        <w:spacing w:after="50" w:before="0"/>
        <w:ind w:left="0"/>
      </w:pPr>
      <w:hyperlink w:history="1" w:anchor="_sec2">
        <w:r>
          <w:rPr>
            <w:rFonts w:ascii="Arial" w:cs="Arial" w:eastAsia="Arial" w:hAnsi="Arial"/>
            <w:b/>
            <w:bCs/>
            <w:color w:val="1F3A5F"/>
            <w:sz w:val="20"/>
            <w:szCs w:val="20"/>
            <w:rtl/>
          </w:rPr>
          <w:t xml:space="preserve">2. ما يوجد اليوم</w:t>
        </w:r>
      </w:hyperlink>
    </w:p>
    <w:p>
      <w:pPr>
        <w:bidi/>
        <w:spacing w:after="50" w:before="0"/>
        <w:ind w:left="0"/>
      </w:pPr>
      <w:hyperlink w:history="1" w:anchor="_sec7">
        <w:r>
          <w:rPr>
            <w:rFonts w:ascii="Arial" w:cs="Arial" w:eastAsia="Arial" w:hAnsi="Arial"/>
            <w:b/>
            <w:bCs/>
            <w:color w:val="1F3A5F"/>
            <w:sz w:val="20"/>
            <w:szCs w:val="20"/>
            <w:rtl/>
          </w:rPr>
          <w:t xml:space="preserve">3. مستويات الاختبار</w:t>
        </w:r>
      </w:hyperlink>
    </w:p>
    <w:p>
      <w:pPr>
        <w:bidi/>
        <w:spacing w:after="50" w:before="0"/>
        <w:ind w:left="0"/>
      </w:pPr>
      <w:hyperlink w:history="1" w:anchor="_sec8">
        <w:r>
          <w:rPr>
            <w:rFonts w:ascii="Arial" w:cs="Arial" w:eastAsia="Arial" w:hAnsi="Arial"/>
            <w:b/>
            <w:bCs/>
            <w:color w:val="1F3A5F"/>
            <w:sz w:val="20"/>
            <w:szCs w:val="20"/>
            <w:rtl/>
          </w:rPr>
          <w:t xml:space="preserve">4. بيئات الاختبار</w:t>
        </w:r>
      </w:hyperlink>
    </w:p>
    <w:p>
      <w:pPr>
        <w:bidi/>
        <w:spacing w:after="50" w:before="0"/>
        <w:ind w:left="0"/>
      </w:pPr>
      <w:hyperlink w:history="1" w:anchor="_sec9">
        <w:r>
          <w:rPr>
            <w:rFonts w:ascii="Arial" w:cs="Arial" w:eastAsia="Arial" w:hAnsi="Arial"/>
            <w:b/>
            <w:bCs/>
            <w:color w:val="1F3A5F"/>
            <w:sz w:val="20"/>
            <w:szCs w:val="20"/>
            <w:rtl/>
          </w:rPr>
          <w:t xml:space="preserve">5. معايير الدخول والخروج</w:t>
        </w:r>
      </w:hyperlink>
    </w:p>
    <w:p>
      <w:pPr>
        <w:bidi/>
        <w:spacing w:after="50" w:before="0"/>
        <w:ind w:left="0"/>
      </w:pPr>
      <w:hyperlink w:history="1" w:anchor="_sec13">
        <w:r>
          <w:rPr>
            <w:rFonts w:ascii="Arial" w:cs="Arial" w:eastAsia="Arial" w:hAnsi="Arial"/>
            <w:b/>
            <w:bCs/>
            <w:color w:val="1F3A5F"/>
            <w:sz w:val="20"/>
            <w:szCs w:val="20"/>
            <w:rtl/>
          </w:rPr>
          <w:t xml:space="preserve">6. اختبار خروج S0</w:t>
        </w:r>
      </w:hyperlink>
    </w:p>
    <w:p>
      <w:pPr>
        <w:bidi/>
        <w:spacing w:after="50" w:before="0"/>
        <w:ind w:left="0"/>
      </w:pPr>
      <w:hyperlink w:history="1" w:anchor="_sec14">
        <w:r>
          <w:rPr>
            <w:rFonts w:ascii="Arial" w:cs="Arial" w:eastAsia="Arial" w:hAnsi="Arial"/>
            <w:b/>
            <w:bCs/>
            <w:color w:val="1F3A5F"/>
            <w:sz w:val="20"/>
            <w:szCs w:val="20"/>
            <w:rtl/>
          </w:rPr>
          <w:t xml:space="preserve">7. شدة العيوب وفرزها</w:t>
        </w:r>
      </w:hyperlink>
    </w:p>
    <w:p>
      <w:pPr>
        <w:bidi/>
        <w:spacing w:after="50" w:before="0"/>
        <w:ind w:left="0"/>
      </w:pPr>
      <w:hyperlink w:history="1" w:anchor="_sec15">
        <w:r>
          <w:rPr>
            <w:rFonts w:ascii="Arial" w:cs="Arial" w:eastAsia="Arial" w:hAnsi="Arial"/>
            <w:b/>
            <w:bCs/>
            <w:color w:val="1F3A5F"/>
            <w:sz w:val="20"/>
            <w:szCs w:val="20"/>
            <w:rtl/>
          </w:rPr>
          <w:t xml:space="preserve">8. قواعد بيانات الاختبار</w:t>
        </w:r>
      </w:hyperlink>
    </w:p>
    <w:p>
      <w:pPr>
        <w:bidi/>
        <w:spacing w:after="50" w:before="0"/>
        <w:ind w:left="0"/>
      </w:pPr>
      <w:hyperlink w:history="1" w:anchor="_sec16">
        <w:r>
          <w:rPr>
            <w:rFonts w:ascii="Arial" w:cs="Arial" w:eastAsia="Arial" w:hAnsi="Arial"/>
            <w:b/>
            <w:bCs/>
            <w:color w:val="1F3A5F"/>
            <w:sz w:val="20"/>
            <w:szCs w:val="20"/>
            <w:rtl/>
          </w:rPr>
          <w:t xml:space="preserve">9. تسجيل النتائج والتتبع</w:t>
        </w:r>
      </w:hyperlink>
    </w:p>
    <w:p>
      <w:pPr>
        <w:bidi/>
        <w:spacing w:after="50" w:before="0"/>
        <w:ind w:left="0"/>
      </w:pPr>
      <w:hyperlink w:history="1" w:anchor="_sec17">
        <w:r>
          <w:rPr>
            <w:rFonts w:ascii="Arial" w:cs="Arial" w:eastAsia="Arial" w:hAnsi="Arial"/>
            <w:b/>
            <w:bCs/>
            <w:color w:val="1F3A5F"/>
            <w:sz w:val="20"/>
            <w:szCs w:val="20"/>
            <w:rtl/>
          </w:rPr>
          <w:t xml:space="preserve">10. جدول الاختبار لكل شريحة</w:t>
        </w:r>
      </w:hyperlink>
    </w:p>
    <w:p>
      <w:pPr>
        <w:bidi/>
        <w:spacing w:after="50" w:before="0"/>
        <w:ind w:left="0"/>
      </w:pPr>
      <w:hyperlink w:history="1" w:anchor="_sec18">
        <w:r>
          <w:rPr>
            <w:rFonts w:ascii="Arial" w:cs="Arial" w:eastAsia="Arial" w:hAnsi="Arial"/>
            <w:b/>
            <w:bCs/>
            <w:color w:val="1F3A5F"/>
            <w:sz w:val="20"/>
            <w:szCs w:val="20"/>
            <w:rtl/>
          </w:rPr>
          <w:t xml:space="preserve">11. القرارات المطلوبة</w:t>
        </w:r>
      </w:hyperlink>
    </w:p>
    <w:p>
      <w:pPr>
        <w:bidi/>
        <w:spacing w:after="50" w:before="0"/>
        <w:ind w:left="0"/>
      </w:pPr>
      <w:hyperlink w:history="1" w:anchor="_sec19">
        <w:r>
          <w:rPr>
            <w:rFonts w:ascii="Arial" w:cs="Arial" w:eastAsia="Arial" w:hAnsi="Arial"/>
            <w:b/>
            <w:bCs/>
            <w:color w:val="1F3A5F"/>
            <w:sz w:val="20"/>
            <w:szCs w:val="20"/>
            <w:rtl/>
          </w:rPr>
          <w:t xml:space="preserve">12. تعارضات وفجوات في المصادر</w:t>
        </w:r>
      </w:hyperlink>
    </w:p>
    <w:p>
      <w:pPr>
        <w:bidi/>
        <w:spacing w:after="50" w:before="0"/>
        <w:ind w:left="0"/>
      </w:pPr>
      <w:hyperlink w:history="1" w:anchor="_sec20">
        <w:r>
          <w:rPr>
            <w:rFonts w:ascii="Arial" w:cs="Arial" w:eastAsia="Arial" w:hAnsi="Arial"/>
            <w:b/>
            <w:bCs/>
            <w:color w:val="1F3A5F"/>
            <w:sz w:val="20"/>
            <w:szCs w:val="20"/>
            <w:rtl/>
          </w:rPr>
          <w:t xml:space="preserve">13. التتبع</w:t>
        </w:r>
      </w:hyperlink>
    </w:p>
    <w:p>
      <w:r>
        <w:br w:type="page"/>
      </w:r>
    </w:p>
    <w:p>
      <w:pPr>
        <w:pStyle w:val="Heading1"/>
        <w:bidi/>
      </w:pPr>
      <w:bookmarkStart w:name="_sec1" w:id="1"/>
      <w:r>
        <w:rPr>
          <w:rFonts w:ascii="Arial" w:cs="Arial" w:eastAsia="Arial" w:hAnsi="Arial"/>
          <w:b/>
          <w:bCs/>
          <w:color w:val="1F3A5F"/>
          <w:sz w:val="32"/>
          <w:szCs w:val="32"/>
          <w:rtl/>
        </w:rPr>
        <w:t xml:space="preserve">1. الغرض والنطاق</w:t>
      </w:r>
      <w:bookmarkEnd w:id="1"/>
    </w:p>
    <w:p>
      <w:pPr>
        <w:bidi/>
        <w:spacing w:after="110" w:before="0" w:line="312"/>
      </w:pPr>
      <w:r>
        <w:rPr>
          <w:rFonts w:ascii="Arial" w:cs="Arial" w:eastAsia="Arial" w:hAnsi="Arial"/>
          <w:b w:val="false"/>
          <w:bCs w:val="false"/>
          <w:sz w:val="21"/>
          <w:szCs w:val="21"/>
          <w:rtl/>
        </w:rPr>
        <w:t xml:space="preserve">تحدد هذه الوثيقة مستويات الاختبار وأدواتها وبيئاتها، ومعايير الدخول والخروج لكل شريحة من S0 إلى S2، وتصنيف العيوب وفرزها، وقواعد بيانات الاختبار، وإجراء اختبار خروج S0.</w:t>
      </w:r>
    </w:p>
    <w:p>
      <w:pPr>
        <w:pStyle w:val="ListParagraph"/>
        <w:numPr>
          <w:ilvl w:val="0"/>
          <w:numId w:val="2"/>
        </w:numPr>
        <w:bidi/>
        <w:spacing w:after="70" w:before="0" w:line="300"/>
      </w:pPr>
      <w:r>
        <w:rPr>
          <w:rFonts w:ascii="Arial" w:cs="Arial" w:eastAsia="Arial" w:hAnsi="Arial"/>
          <w:b w:val="false"/>
          <w:bCs w:val="false"/>
          <w:sz w:val="21"/>
          <w:szCs w:val="21"/>
          <w:rtl/>
        </w:rPr>
        <w:t xml:space="preserve">تبني على ما هو موجود اليوم: اختبارات قاعدة البيانات والتحقق الثابت في CI.</w:t>
      </w:r>
    </w:p>
    <w:p>
      <w:pPr>
        <w:pStyle w:val="ListParagraph"/>
        <w:numPr>
          <w:ilvl w:val="0"/>
          <w:numId w:val="2"/>
        </w:numPr>
        <w:bidi/>
        <w:spacing w:after="70" w:before="0" w:line="300"/>
      </w:pPr>
      <w:r>
        <w:rPr>
          <w:rFonts w:ascii="Arial" w:cs="Arial" w:eastAsia="Arial" w:hAnsi="Arial"/>
          <w:b w:val="false"/>
          <w:bCs w:val="false"/>
          <w:sz w:val="21"/>
          <w:szCs w:val="21"/>
          <w:rtl/>
        </w:rPr>
        <w:t xml:space="preserve">لا يوجد كود تطبيق في المستودع بعد (docs/30-readiness-documents.md:338)، فكل ما يخص اختبار التطبيق مقترح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تفاصيل الاختبار الأمني (ASVS واختبار الاختراق) في DOC-S13، وسيناريوهات القبول في DOC-B02، وأهداف الأداء والأمن القابلة للقياس في DOC-B03، والبيئات وخط البناء في DOC-B11.</w:t>
      </w:r>
    </w:p>
    <w:p>
      <w:pPr>
        <w:bidi/>
        <w:spacing w:after="60" w:before="0"/>
      </w:pPr>
    </w:p>
    <w:p>
      <w:pPr>
        <w:pStyle w:val="Heading1"/>
        <w:bidi/>
      </w:pPr>
      <w:bookmarkStart w:name="_sec2" w:id="2"/>
      <w:r>
        <w:rPr>
          <w:rFonts w:ascii="Arial" w:cs="Arial" w:eastAsia="Arial" w:hAnsi="Arial"/>
          <w:b/>
          <w:bCs/>
          <w:color w:val="1F3A5F"/>
          <w:sz w:val="32"/>
          <w:szCs w:val="32"/>
          <w:rtl/>
        </w:rPr>
        <w:t xml:space="preserve">2. ما يوجد اليوم</w:t>
      </w:r>
      <w:bookmarkEnd w:id="2"/>
    </w:p>
    <w:p>
      <w:pPr>
        <w:pStyle w:val="Heading2"/>
        <w:bidi/>
      </w:pPr>
      <w:bookmarkStart w:name="_sec3" w:id="3"/>
      <w:r>
        <w:rPr>
          <w:rFonts w:ascii="Arial" w:cs="Arial" w:eastAsia="Arial" w:hAnsi="Arial"/>
          <w:b/>
          <w:bCs/>
          <w:color w:val="2B5C8A"/>
          <w:sz w:val="26"/>
          <w:szCs w:val="26"/>
          <w:rtl/>
        </w:rPr>
        <w:t xml:space="preserve">2.1 خط CI لقاعدة البيانات</w:t>
      </w:r>
      <w:bookmarkEnd w:id="3"/>
    </w:p>
    <w:p>
      <w:pPr>
        <w:bidi/>
        <w:spacing w:after="110" w:before="0" w:line="312"/>
      </w:pPr>
      <w:r>
        <w:rPr>
          <w:rFonts w:ascii="Arial" w:cs="Arial" w:eastAsia="Arial" w:hAnsi="Arial"/>
          <w:b w:val="false"/>
          <w:bCs w:val="false"/>
          <w:sz w:val="21"/>
          <w:szCs w:val="21"/>
          <w:rtl/>
        </w:rPr>
        <w:t xml:space="preserve">ملف الخط في جذر المستودع، ../.github/workflows/treasury-db-ci.yml، لأن GitHub يقرأ الخطوط من الجذر فقط. يعمل على كل دفع إلى main وclaude/** وعلى كل طلب دمج، ولكن فقط عند تغيّر treasury-platform/db/ أو tools/dbgen/ أو tools/ci/ أو tools/deploy/ أو versions.json أو مستندات الجاهزية والتحليل التفصيلي التي تُولَّد منها بذرة الصلاحيات، أو ملف الخط نفسه، ويمكن تشغيله يدويًا، وينفّذ أوامره داخل treasury-platform/، على ubuntu-24.04 مع حاوية mcr.microsoft.com/mssql/server:2025-CU9-GDR1-ubuntu-24.04 مثبّتة ببصمتها (sha256، من versions.json؛ تطابقها الخطوة 3)، والإجراءات مثبّتة بإيداعاتها، والسحب بلا حفظ بيانات الاعتماد (المراجعة الذاتية E13). يثبّت Pillow (pillow==12.3.0) لأن check_fk_indexes.py يستورد erd_layout.py الذي يستورد PIL. </w:t>
      </w:r>
      <w:r>
        <w:rPr>
          <w:rFonts w:ascii="Arial" w:cs="Arial" w:eastAsia="Arial" w:hAnsi="Arial"/>
          <w:b/>
          <w:bCs/>
          <w:sz w:val="21"/>
          <w:szCs w:val="21"/>
          <w:rtl/>
        </w:rPr>
        <w:t xml:space="preserve">يعمل على GitHub ويمر</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أول تشغيل أخضر في 2026-10-12 (https://github.com/thawrasy/smartlines/actions/runs/38283663041) نفّذ الخطوات الثماني يومها، 6 حالات للمشغّلات و41 حالة عزل؛ والتشغيل الذي سبقه، قبل خطوة Pillow، فشل في الخطوة 3 (التشغيل 38267525934) (O-02، tools/dbgen/erd_open_items.py:22؛ docs/adr/0001-schema-work-on-linux.md:11). واليوم 25 خطوة (0 إلى 23 و4b، الجدول أدناه)، والسكربت tools/ci/db_ci.sh نفسه يمر كاملًا في حاوية التطوير أيضًا. وتُطابق كل خطوة سطور PASS وFAIL في أي موضع من السطر، وتعدّ كل حالة مرة واحدة (المراجعة الذاتية C9).</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83"/>
        <w:gridCol w:w="3181"/>
        <w:gridCol w:w="5600"/>
      </w:tblGrid>
      <w:tr>
        <w:trPr>
          <w:cantSplit/>
          <w:tblHeader/>
        </w:trPr>
        <w:tc>
          <w:tcPr>
            <w:tcW w:type="dxa" w:w="10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الخطوة</w:t>
            </w:r>
          </w:p>
        </w:tc>
        <w:tc>
          <w:tcPr>
            <w:tcW w:type="dxa" w:w="31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تفعله</w:t>
            </w:r>
          </w:p>
        </w:tc>
        <w:tc>
          <w:tcPr>
            <w:tcW w:type="dxa" w:w="56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الموضع</w:t>
            </w:r>
          </w:p>
        </w:tc>
      </w:tr>
      <w:tr>
        <w:trPr>
          <w:cantSplit/>
        </w:trPr>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3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انتظار استجابة SQL Server حتى 180 ثانية</w:t>
            </w:r>
          </w:p>
        </w:tc>
        <w:tc>
          <w:tcPr>
            <w:tcW w:type="dxa" w:w="56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tools/ci/db_ci.sh:23-34</w:t>
            </w:r>
          </w:p>
        </w:tc>
      </w:tr>
      <w:tr>
        <w:trPr>
          <w:cantSplit/>
        </w:trPr>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3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النموذج </w:t>
            </w:r>
            <w:r>
              <w:rPr>
                <w:rFonts w:ascii="Courier New" w:cs="Courier New" w:eastAsia="Courier New" w:hAnsi="Courier New"/>
                <w:b w:val="false"/>
                <w:bCs w:val="false"/>
                <w:color w:val="1F2937"/>
                <w:sz w:val="16"/>
                <w:szCs w:val="16"/>
                <w:shd w:fill="F1F3F5" w:color="auto" w:val="clear"/>
                <w:rtl/>
              </w:rPr>
              <w:t xml:space="preserve">‎dbgen.py check‎</w:t>
            </w:r>
          </w:p>
        </w:tc>
        <w:tc>
          <w:tcPr>
            <w:tcW w:type="dxa" w:w="56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tools/ci/db_ci.sh:36-37</w:t>
            </w:r>
          </w:p>
        </w:tc>
      </w:tr>
      <w:tr>
        <w:trPr>
          <w:cantSplit/>
        </w:trPr>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3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مطابقة DDL المولَّد للنموذج</w:t>
            </w:r>
          </w:p>
        </w:tc>
        <w:tc>
          <w:tcPr>
            <w:tcW w:type="dxa" w:w="56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tools/ci/db_ci.sh:39-45</w:t>
            </w:r>
          </w:p>
        </w:tc>
      </w:tr>
      <w:tr>
        <w:trPr>
          <w:cantSplit/>
        </w:trPr>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3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مفتاح أجنبي مفهرس أو موسوم noidx، وقواعد المنح R1-R10</w:t>
            </w:r>
          </w:p>
        </w:tc>
        <w:tc>
          <w:tcPr>
            <w:tcW w:type="dxa" w:w="56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tools/ci/db_ci.sh:47-49</w:t>
            </w:r>
          </w:p>
        </w:tc>
      </w:tr>
      <w:tr>
        <w:trPr>
          <w:cantSplit/>
        </w:trPr>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3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نشر db/deploy.sql على قاعدة جديدة عبر deploy.sh</w:t>
            </w:r>
          </w:p>
        </w:tc>
        <w:tc>
          <w:tcPr>
            <w:tcW w:type="dxa" w:w="56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tools/ci/db_ci.sh:51-54</w:t>
            </w:r>
          </w:p>
        </w:tc>
      </w:tr>
      <w:tr>
        <w:trPr>
          <w:cantSplit/>
        </w:trPr>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3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مطابقة الكائنات المنشورة مع DDL المولَّد</w:t>
            </w:r>
          </w:p>
        </w:tc>
        <w:tc>
          <w:tcPr>
            <w:tcW w:type="dxa" w:w="56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tools/ci/db_ci.sh:56-57</w:t>
            </w:r>
          </w:p>
        </w:tc>
      </w:tr>
      <w:tr>
        <w:trPr>
          <w:cantSplit/>
        </w:trPr>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3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اختبارات المشغّلات: 7 حالات PASS بالضبط (T1 إلى T6 وT2b)</w:t>
            </w:r>
          </w:p>
        </w:tc>
        <w:tc>
          <w:tcPr>
            <w:tcW w:type="dxa" w:w="56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tools/ci/db_ci.sh</w:t>
            </w:r>
          </w:p>
        </w:tc>
      </w:tr>
      <w:tr>
        <w:trPr>
          <w:cantSplit/>
        </w:trPr>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3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اختبارات العزل: 48 حالة PASS بالضبط</w:t>
            </w:r>
          </w:p>
        </w:tc>
        <w:tc>
          <w:tcPr>
            <w:tcW w:type="dxa" w:w="56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tools/ci/db_ci.sh</w:t>
            </w:r>
          </w:p>
        </w:tc>
      </w:tr>
      <w:tr>
        <w:trPr>
          <w:cantSplit/>
        </w:trPr>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 إلى 18</w:t>
            </w:r>
          </w:p>
        </w:tc>
        <w:tc>
          <w:tcPr>
            <w:tcW w:type="dxa" w:w="3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أمن الحساب (20)، المشغّل والدعم (11)، ربط المهام (7، J1 إلى J7)، تهيئة المشترك (5)، الترقيم (8، ومع اتصالات متزامنة 2)، تاريخ KYC (4)، البيانات المرجعية (4)، التدقيق (7)، التصدير (7، X1 إلى X7)، دخولات الخدمة (6)</w:t>
            </w:r>
          </w:p>
        </w:tc>
        <w:tc>
          <w:tcPr>
            <w:tcW w:type="dxa" w:w="56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tools/ci/db_ci.sh</w:t>
            </w:r>
          </w:p>
        </w:tc>
      </w:tr>
      <w:tr>
        <w:trPr>
          <w:cantSplit/>
        </w:trPr>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w:t>
            </w:r>
          </w:p>
        </w:tc>
        <w:tc>
          <w:tcPr>
            <w:tcW w:type="dxa" w:w="3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إصلاحات المراجعة: RF1 إلى RF34 وSR1 إلى SR9 (43)</w:t>
            </w:r>
          </w:p>
        </w:tc>
        <w:tc>
          <w:tcPr>
            <w:tcW w:type="dxa" w:w="56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db/tests/review_fixes_tests.sql</w:t>
            </w:r>
          </w:p>
        </w:tc>
      </w:tr>
      <w:tr>
        <w:trPr>
          <w:cantSplit/>
        </w:trPr>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 إلى 22</w:t>
            </w:r>
          </w:p>
        </w:tc>
        <w:tc>
          <w:tcPr>
            <w:tcW w:type="dxa" w:w="3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SQL Server Audit (SA1 إلى SA9)، دخول المراقبة (MN1 إلى MN6)، فحوص ما قبل النشر (PF1 إلى PF8)</w:t>
            </w:r>
          </w:p>
        </w:tc>
        <w:tc>
          <w:tcPr>
            <w:tcW w:type="dxa" w:w="56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tools/ci/*_check.sh</w:t>
            </w:r>
          </w:p>
        </w:tc>
      </w:tr>
      <w:tr>
        <w:trPr>
          <w:cantSplit/>
        </w:trPr>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w:t>
            </w:r>
          </w:p>
        </w:tc>
        <w:tc>
          <w:tcPr>
            <w:tcW w:type="dxa" w:w="3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قيد غير موثوق ولا مشغّل معطّل ولا مرشح صفوف معطّل ولا مستخدم اختبار ولا مشترك متروك</w:t>
            </w:r>
          </w:p>
        </w:tc>
        <w:tc>
          <w:tcPr>
            <w:tcW w:type="dxa" w:w="56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tools/ci/db_ci.sh</w:t>
            </w:r>
          </w:p>
        </w:tc>
      </w:tr>
    </w:tbl>
    <w:p>
      <w:pPr>
        <w:bidi/>
        <w:spacing w:after="120" w:before="0"/>
      </w:pPr>
    </w:p>
    <w:p>
      <w:pPr>
        <w:pStyle w:val="Heading2"/>
        <w:bidi/>
      </w:pPr>
      <w:bookmarkStart w:name="_sec4" w:id="4"/>
      <w:r>
        <w:rPr>
          <w:rFonts w:ascii="Arial" w:cs="Arial" w:eastAsia="Arial" w:hAnsi="Arial"/>
          <w:b/>
          <w:bCs/>
          <w:color w:val="2B5C8A"/>
          <w:sz w:val="26"/>
          <w:szCs w:val="26"/>
          <w:rtl/>
        </w:rPr>
        <w:t xml:space="preserve">2.2 اختبارات قاعدة البيانات</w:t>
      </w:r>
      <w:bookmarkEnd w:id="4"/>
    </w:p>
    <w:p>
      <w:pPr>
        <w:pStyle w:val="ListParagraph"/>
        <w:numPr>
          <w:ilvl w:val="0"/>
          <w:numId w:val="2"/>
        </w:numPr>
        <w:bidi/>
        <w:spacing w:after="70" w:before="0" w:line="300"/>
      </w:pPr>
      <w:r>
        <w:rPr>
          <w:rFonts w:ascii="Arial" w:cs="Arial" w:eastAsia="Arial" w:hAnsi="Arial"/>
          <w:b w:val="false"/>
          <w:bCs w:val="false"/>
          <w:sz w:val="21"/>
          <w:szCs w:val="21"/>
          <w:rtl/>
        </w:rPr>
        <w:t xml:space="preserve">db/tests/tenant_isolation_tests.sql: 48 حالة (T1 إلى T38 مع T8b وT16b وT16c، وT40 إلى T46؛ لا T39). تُنفَّذ بصفة الدورين tp_app وtp_readonly عبر EXECUTE AS، والتشغيل كله معاملة واحدة تُلغى في النهاية (db/tests/tenant_isolation_tests.sql:2-11).</w:t>
      </w:r>
    </w:p>
    <w:p>
      <w:pPr>
        <w:pStyle w:val="ListParagraph"/>
        <w:numPr>
          <w:ilvl w:val="0"/>
          <w:numId w:val="2"/>
        </w:numPr>
        <w:bidi/>
        <w:spacing w:after="70" w:before="0" w:line="300"/>
      </w:pPr>
      <w:r>
        <w:rPr>
          <w:rFonts w:ascii="Arial" w:cs="Arial" w:eastAsia="Arial" w:hAnsi="Arial"/>
          <w:b w:val="false"/>
          <w:bCs w:val="false"/>
          <w:sz w:val="21"/>
          <w:szCs w:val="21"/>
          <w:rtl/>
        </w:rPr>
        <w:t xml:space="preserve">db/tests/fac_share_rule_tests.sql: 7 حالات لقاعدة حصص المقرضين V-FAC-02، كل حالة في معاملتها: T1 إلى T6، وT2b للقاعدة نفسها والتجميد معطّل داخل المعاملة؛ فمنذ المراجعة الذاتية A1 يرفض تجميد المراجعة المعتمدة (50049، db/static/044_entry_guards.sql) إضافة مقرض إليها قبل القاعدة (T2).</w:t>
      </w:r>
    </w:p>
    <w:p>
      <w:pPr>
        <w:bidi/>
        <w:spacing w:after="6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40"/>
        <w:gridCol w:w="1540"/>
        <w:gridCol w:w="6884"/>
      </w:tblGrid>
      <w:tr>
        <w:trPr>
          <w:cantSplit/>
          <w:tblHeader/>
        </w:trPr>
        <w:tc>
          <w:tcPr>
            <w:tcW w:type="dxa" w:w="14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مجموعة حالات العزل</w:t>
            </w:r>
          </w:p>
        </w:tc>
        <w:tc>
          <w:tcPr>
            <w:tcW w:type="dxa" w:w="15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تثبته</w:t>
            </w:r>
          </w:p>
        </w:tc>
        <w:tc>
          <w:tcPr>
            <w:tcW w:type="dxa" w:w="68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الموضع</w:t>
            </w:r>
          </w:p>
        </w:tc>
      </w:tr>
      <w:tr>
        <w:trPr>
          <w:cantSplit/>
        </w:trPr>
        <w:tc>
          <w:tcPr>
            <w:tcW w:type="dxa" w:w="1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T1-T8b</w:t>
            </w:r>
          </w:p>
        </w:tc>
        <w:tc>
          <w:tcPr>
            <w:tcW w:type="dxa" w:w="1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قراءة ولا إدراج ولا تعديل ولا حذف عبر المشتركين</w:t>
            </w:r>
          </w:p>
        </w:tc>
        <w:tc>
          <w:tcPr>
            <w:tcW w:type="dxa" w:w="6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db/tests/tenant_isolation_tests.sql:114-243</w:t>
            </w:r>
          </w:p>
        </w:tc>
      </w:tr>
      <w:tr>
        <w:trPr>
          <w:cantSplit/>
        </w:trPr>
        <w:tc>
          <w:tcPr>
            <w:tcW w:type="dxa" w:w="14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T9-T12</w:t>
            </w:r>
          </w:p>
        </w:tc>
        <w:tc>
          <w:tcPr>
            <w:tcW w:type="dxa" w:w="1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الصف العام في جدول مختلط يُقرأ ولا يُكتب</w:t>
            </w:r>
          </w:p>
        </w:tc>
        <w:tc>
          <w:tcPr>
            <w:tcW w:type="dxa" w:w="6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db/tests/tenant_isolation_tests.sql:248-297</w:t>
            </w:r>
          </w:p>
        </w:tc>
      </w:tr>
      <w:tr>
        <w:trPr>
          <w:cantSplit/>
        </w:trPr>
        <w:tc>
          <w:tcPr>
            <w:tcW w:type="dxa" w:w="1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T13-T15، T38</w:t>
            </w:r>
          </w:p>
        </w:tc>
        <w:tc>
          <w:tcPr>
            <w:tcW w:type="dxa" w:w="1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 للإدراج فقط ولمشتركه فقط، والمنصة تقرأ أحداثها لا أحداث المشتركين</w:t>
            </w:r>
          </w:p>
        </w:tc>
        <w:tc>
          <w:tcPr>
            <w:tcW w:type="dxa" w:w="6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db/tests/tenant_isolation_tests.sql:302-356</w:t>
            </w:r>
          </w:p>
        </w:tc>
      </w:tr>
      <w:tr>
        <w:trPr>
          <w:cantSplit/>
        </w:trPr>
        <w:tc>
          <w:tcPr>
            <w:tcW w:type="dxa" w:w="14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T16-T16c، T28</w:t>
            </w:r>
          </w:p>
        </w:tc>
        <w:tc>
          <w:tcPr>
            <w:tcW w:type="dxa" w:w="1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TenantId يدويًا أو رمز خاطئ لا يكشف صفًا</w:t>
            </w:r>
          </w:p>
        </w:tc>
        <w:tc>
          <w:tcPr>
            <w:tcW w:type="dxa" w:w="6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db/tests/tenant_isolation_tests.sql:360-424</w:t>
            </w:r>
          </w:p>
        </w:tc>
      </w:tr>
      <w:tr>
        <w:trPr>
          <w:cantSplit/>
        </w:trPr>
        <w:tc>
          <w:tcPr>
            <w:tcW w:type="dxa" w:w="1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T17-T20، T32-T37</w:t>
            </w:r>
          </w:p>
        </w:tc>
        <w:tc>
          <w:tcPr>
            <w:tcW w:type="dxa" w:w="1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الربط والدخول والقفل وMFA والجلسات</w:t>
            </w:r>
          </w:p>
        </w:tc>
        <w:tc>
          <w:tcPr>
            <w:tcW w:type="dxa" w:w="6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db/tests/tenant_isolation_tests.sql:429-562 و643-689</w:t>
            </w:r>
          </w:p>
        </w:tc>
      </w:tr>
      <w:tr>
        <w:trPr>
          <w:cantSplit/>
        </w:trPr>
        <w:tc>
          <w:tcPr>
            <w:tcW w:type="dxa" w:w="14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T25-T27، T30، T31</w:t>
            </w:r>
          </w:p>
        </w:tc>
        <w:tc>
          <w:tcPr>
            <w:tcW w:type="dxa" w:w="1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 الربط عند تعطيل المستخدم أو حذفه أو إغلاق المشترك أو تعليقه</w:t>
            </w:r>
          </w:p>
        </w:tc>
        <w:tc>
          <w:tcPr>
            <w:tcW w:type="dxa" w:w="6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db/tests/tenant_isolation_tests.sql:565-640</w:t>
            </w:r>
          </w:p>
        </w:tc>
      </w:tr>
      <w:tr>
        <w:trPr>
          <w:cantSplit/>
        </w:trPr>
        <w:tc>
          <w:tcPr>
            <w:tcW w:type="dxa" w:w="1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T21-T23، T29</w:t>
            </w:r>
          </w:p>
        </w:tc>
        <w:tc>
          <w:tcPr>
            <w:tcW w:type="dxa" w:w="1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 التقارير لا يقرأ المقيَّد ولا سجل المشتركين</w:t>
            </w:r>
          </w:p>
        </w:tc>
        <w:tc>
          <w:tcPr>
            <w:tcW w:type="dxa" w:w="6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db/tests/tenant_isolation_tests.sql:693-731</w:t>
            </w:r>
          </w:p>
        </w:tc>
      </w:tr>
      <w:tr>
        <w:trPr>
          <w:cantSplit/>
        </w:trPr>
        <w:tc>
          <w:tcPr>
            <w:tcW w:type="dxa" w:w="14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T24</w:t>
            </w:r>
          </w:p>
        </w:tc>
        <w:tc>
          <w:tcPr>
            <w:tcW w:type="dxa" w:w="1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جدول فيه TenantId مُرشَّح وكل سياسة مفعّلة</w:t>
            </w:r>
          </w:p>
        </w:tc>
        <w:tc>
          <w:tcPr>
            <w:tcW w:type="dxa" w:w="6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db/tests/tenant_isolation_tests.sql:735-753</w:t>
            </w:r>
          </w:p>
        </w:tc>
      </w:tr>
    </w:tbl>
    <w:p>
      <w:pPr>
        <w:bidi/>
        <w:spacing w:after="120" w:before="0"/>
      </w:pPr>
    </w:p>
    <w:p>
      <w:pPr>
        <w:pStyle w:val="Heading2"/>
        <w:bidi/>
      </w:pPr>
      <w:bookmarkStart w:name="_sec5" w:id="5"/>
      <w:r>
        <w:rPr>
          <w:rFonts w:ascii="Arial" w:cs="Arial" w:eastAsia="Arial" w:hAnsi="Arial"/>
          <w:b/>
          <w:bCs/>
          <w:color w:val="2B5C8A"/>
          <w:sz w:val="26"/>
          <w:szCs w:val="26"/>
          <w:rtl/>
        </w:rPr>
        <w:t xml:space="preserve">2.3 التحقق الثابت</w:t>
      </w:r>
      <w:bookmarkEnd w:id="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5009"/>
        <w:gridCol w:w="1517"/>
        <w:gridCol w:w="3338"/>
      </w:tblGrid>
      <w:tr>
        <w:trPr>
          <w:cantSplit/>
          <w:tblHeader/>
        </w:trPr>
        <w:tc>
          <w:tcPr>
            <w:tcW w:type="dxa" w:w="50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الأداة</w:t>
            </w:r>
          </w:p>
        </w:tc>
        <w:tc>
          <w:tcPr>
            <w:tcW w:type="dxa" w:w="15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تفحصه</w:t>
            </w:r>
          </w:p>
        </w:tc>
        <w:tc>
          <w:tcPr>
            <w:tcW w:type="dxa" w:w="33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في CI؟</w:t>
            </w:r>
          </w:p>
        </w:tc>
      </w:tr>
      <w:tr>
        <w:trPr>
          <w:cantSplit/>
        </w:trPr>
        <w:tc>
          <w:tcPr>
            <w:tcW w:type="dxa" w:w="5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tools/dbgen/dbgen.py check</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النموذج والمراجع والمفاتيح المركّبة</w:t>
            </w:r>
          </w:p>
        </w:tc>
        <w:tc>
          <w:tcPr>
            <w:tcW w:type="dxa" w:w="33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الخطوة 1</w:t>
            </w:r>
          </w:p>
        </w:tc>
      </w:tr>
      <w:tr>
        <w:trPr>
          <w:cantSplit/>
        </w:trPr>
        <w:tc>
          <w:tcPr>
            <w:tcW w:type="dxa" w:w="5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tools/dbgen/check_fk_indexes.py</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فهرسة المفاتيح الأجنبية (السطور 1-9)</w:t>
            </w:r>
          </w:p>
        </w:tc>
        <w:tc>
          <w:tcPr>
            <w:tcW w:type="dxa" w:w="33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الخطوة 3</w:t>
            </w:r>
          </w:p>
        </w:tc>
      </w:tr>
      <w:tr>
        <w:trPr>
          <w:cantSplit/>
        </w:trPr>
        <w:tc>
          <w:tcPr>
            <w:tcW w:type="dxa" w:w="5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tools/dbgen/check_deployed.py</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أعداد الكائنات المنشورة مقابل DDL (السطور 1-9)</w:t>
            </w:r>
          </w:p>
        </w:tc>
        <w:tc>
          <w:tcPr>
            <w:tcW w:type="dxa" w:w="33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الخطوة 5</w:t>
            </w:r>
          </w:p>
        </w:tc>
      </w:tr>
      <w:tr>
        <w:trPr>
          <w:cantSplit/>
        </w:trPr>
        <w:tc>
          <w:tcPr>
            <w:tcW w:type="dxa" w:w="5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tools/dbgen/check_grants.py</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القواعد R1-R10 للمنح والتشفير (السطور 4-16)</w:t>
            </w:r>
          </w:p>
        </w:tc>
        <w:tc>
          <w:tcPr>
            <w:tcW w:type="dxa" w:w="33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الخطوة 3 (tools/ci/db_ci.sh:49)</w:t>
            </w:r>
          </w:p>
        </w:tc>
      </w:tr>
      <w:tr>
        <w:trPr>
          <w:cantSplit/>
        </w:trPr>
        <w:tc>
          <w:tcPr>
            <w:tcW w:type="dxa" w:w="5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tools/dbgen/check_review_fixes.py</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الإصلاحات الحرجة DR-01 إلى DR-10 (السطر 2)</w:t>
            </w:r>
          </w:p>
        </w:tc>
        <w:tc>
          <w:tcPr>
            <w:tcW w:type="dxa" w:w="33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5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tools/dbgen/pg_validate.sh</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البنية على PostgreSQL فقط، لا T-SQL (السطر 2)</w:t>
            </w:r>
          </w:p>
        </w:tc>
        <w:tc>
          <w:tcPr>
            <w:tcW w:type="dxa" w:w="33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bl>
    <w:p>
      <w:pPr>
        <w:bidi/>
        <w:spacing w:after="120" w:before="0"/>
      </w:pPr>
    </w:p>
    <w:p>
      <w:pPr>
        <w:pStyle w:val="Heading2"/>
        <w:bidi/>
      </w:pPr>
      <w:bookmarkStart w:name="_sec6" w:id="6"/>
      <w:r>
        <w:rPr>
          <w:rFonts w:ascii="Arial" w:cs="Arial" w:eastAsia="Arial" w:hAnsi="Arial"/>
          <w:b/>
          <w:bCs/>
          <w:color w:val="2B5C8A"/>
          <w:sz w:val="26"/>
          <w:szCs w:val="26"/>
          <w:rtl/>
        </w:rPr>
        <w:t xml:space="preserve">2.4 الفجوات</w:t>
      </w:r>
      <w:bookmarkEnd w:id="6"/>
    </w:p>
    <w:p>
      <w:pPr>
        <w:pStyle w:val="ListParagraph"/>
        <w:numPr>
          <w:ilvl w:val="0"/>
          <w:numId w:val="3"/>
        </w:numPr>
        <w:bidi/>
        <w:spacing w:after="70" w:before="0" w:line="300"/>
      </w:pPr>
      <w:r>
        <w:rPr>
          <w:rFonts w:ascii="Arial" w:cs="Arial" w:eastAsia="Arial" w:hAnsi="Arial"/>
          <w:b w:val="false"/>
          <w:bCs w:val="false"/>
          <w:sz w:val="21"/>
          <w:szCs w:val="21"/>
          <w:rtl/>
        </w:rPr>
        <w:t xml:space="preserve">لا اختبارات وحدات ولا تكامل ولا API ولا واجهة، لأن كود التطبيق غير موجود.</w:t>
      </w:r>
    </w:p>
    <w:p>
      <w:pPr>
        <w:pStyle w:val="ListParagraph"/>
        <w:numPr>
          <w:ilvl w:val="0"/>
          <w:numId w:val="3"/>
        </w:numPr>
        <w:bidi/>
        <w:spacing w:after="70" w:before="0" w:line="300"/>
      </w:pPr>
      <w:r>
        <w:rPr>
          <w:rFonts w:ascii="Arial" w:cs="Arial" w:eastAsia="Arial" w:hAnsi="Arial"/>
          <w:b w:val="false"/>
          <w:bCs w:val="false"/>
          <w:sz w:val="21"/>
          <w:szCs w:val="21"/>
          <w:rtl/>
        </w:rPr>
        <w:t xml:space="preserve">check_review_fixes.py لا يعمل في CI، مع أن docs/20-database-design.md:489 يعدّه دليل تحقق من الإصلاحات الحرجة.</w:t>
      </w:r>
    </w:p>
    <w:p>
      <w:pPr>
        <w:pStyle w:val="ListParagraph"/>
        <w:numPr>
          <w:ilvl w:val="0"/>
          <w:numId w:val="3"/>
        </w:numPr>
        <w:bidi/>
        <w:spacing w:after="70" w:before="0" w:line="300"/>
      </w:pPr>
      <w:r>
        <w:rPr>
          <w:rFonts w:ascii="Arial" w:cs="Arial" w:eastAsia="Arial" w:hAnsi="Arial"/>
          <w:b w:val="false"/>
          <w:bCs w:val="false"/>
          <w:sz w:val="21"/>
          <w:szCs w:val="21"/>
          <w:rtl/>
        </w:rPr>
        <w:t xml:space="preserve">لا اختبار لكتابة tp_app على كتالوج عالمي مثل ref.Currency (docs/20-database-design.md:493).</w:t>
      </w:r>
    </w:p>
    <w:p>
      <w:pPr>
        <w:pStyle w:val="ListParagraph"/>
        <w:numPr>
          <w:ilvl w:val="0"/>
          <w:numId w:val="3"/>
        </w:numPr>
        <w:bidi/>
        <w:spacing w:after="70" w:before="0" w:line="300"/>
      </w:pPr>
      <w:r>
        <w:rPr>
          <w:rFonts w:ascii="Arial" w:cs="Arial" w:eastAsia="Arial" w:hAnsi="Arial"/>
          <w:b w:val="false"/>
          <w:bCs w:val="false"/>
          <w:sz w:val="21"/>
          <w:szCs w:val="21"/>
          <w:rtl/>
        </w:rPr>
        <w:t xml:space="preserve">لا اختبار للمخاطر المفتوحة O-19 وO-20 وO-21 (erd_open_items، tools/dbgen/erd_open_items.py:121-138) لأن قراراتها لم تُتخذ.</w:t>
      </w:r>
    </w:p>
    <w:p>
      <w:pPr>
        <w:pStyle w:val="ListParagraph"/>
        <w:numPr>
          <w:ilvl w:val="0"/>
          <w:numId w:val="3"/>
        </w:numPr>
        <w:bidi/>
        <w:spacing w:after="70" w:before="0" w:line="300"/>
      </w:pPr>
      <w:r>
        <w:rPr>
          <w:rFonts w:ascii="Arial" w:cs="Arial" w:eastAsia="Arial" w:hAnsi="Arial"/>
          <w:b w:val="false"/>
          <w:bCs w:val="false"/>
          <w:sz w:val="21"/>
          <w:szCs w:val="21"/>
          <w:rtl/>
        </w:rPr>
        <w:t xml:space="preserve">معرّفات الحالات متصادمة: T1 إلى T6 موجودة في الملفين بمعنيين مختلفين.</w:t>
      </w:r>
    </w:p>
    <w:p>
      <w:pPr>
        <w:pStyle w:val="ListParagraph"/>
        <w:numPr>
          <w:ilvl w:val="0"/>
          <w:numId w:val="3"/>
        </w:numPr>
        <w:bidi/>
        <w:spacing w:after="70" w:before="0" w:line="300"/>
      </w:pPr>
      <w:r>
        <w:rPr>
          <w:rFonts w:ascii="Arial" w:cs="Arial" w:eastAsia="Arial" w:hAnsi="Arial"/>
          <w:b w:val="false"/>
          <w:bCs w:val="false"/>
          <w:sz w:val="21"/>
          <w:szCs w:val="21"/>
          <w:rtl/>
        </w:rPr>
        <w:t xml:space="preserve">عدّاد CI ثابت (6 و41)، فإضافة حالة تتطلب تعديل tools/ci/db_ci.sh:71 و88 يدويًا.</w:t>
      </w:r>
    </w:p>
    <w:p>
      <w:pPr>
        <w:pStyle w:val="ListParagraph"/>
        <w:numPr>
          <w:ilvl w:val="0"/>
          <w:numId w:val="3"/>
        </w:numPr>
        <w:bidi/>
        <w:spacing w:after="70" w:before="0" w:line="300"/>
      </w:pPr>
      <w:r>
        <w:rPr>
          <w:rFonts w:ascii="Arial" w:cs="Arial" w:eastAsia="Arial" w:hAnsi="Arial"/>
          <w:b w:val="false"/>
          <w:bCs w:val="false"/>
          <w:sz w:val="21"/>
          <w:szCs w:val="21"/>
          <w:rtl/>
        </w:rPr>
        <w:t xml:space="preserve">خط CI لا يعمل عند تغيّر كود التطبيق، لأن مرشّح المسارات يقتصر على ملفات القاعدة (../.github/workflows/treasury-db-ci.yml:10-14 و16-20).</w:t>
      </w:r>
    </w:p>
    <w:p>
      <w:pPr>
        <w:pStyle w:val="ListParagraph"/>
        <w:numPr>
          <w:ilvl w:val="0"/>
          <w:numId w:val="3"/>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صُحّح (2026-10-12): يعمل على GitHub من ../.github/workflows/treasury-db-ci.yml (جذر المستودع)، وأول تشغيل أخضر https://github.com/thawrasy/smartlines/actions/runs/38283663041 (O-02، tools/dbgen/erd_open_items.py:22). يبقى أن تشترطه حماية الفرع main قبل الدمج (DOC-B11 §4.1).</w:t>
      </w:r>
    </w:p>
    <w:p>
      <w:pPr>
        <w:bidi/>
        <w:spacing w:after="60" w:before="0"/>
      </w:pPr>
    </w:p>
    <w:p>
      <w:pPr>
        <w:pStyle w:val="Heading1"/>
        <w:bidi/>
      </w:pPr>
      <w:bookmarkStart w:name="_sec7" w:id="7"/>
      <w:r>
        <w:rPr>
          <w:rFonts w:ascii="Arial" w:cs="Arial" w:eastAsia="Arial" w:hAnsi="Arial"/>
          <w:b/>
          <w:bCs/>
          <w:color w:val="1F3A5F"/>
          <w:sz w:val="32"/>
          <w:szCs w:val="32"/>
          <w:rtl/>
        </w:rPr>
        <w:t xml:space="preserve">3. مستويات الاختبار</w:t>
      </w:r>
      <w:bookmarkEnd w:id="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34"/>
        <w:gridCol w:w="1793"/>
        <w:gridCol w:w="3769"/>
        <w:gridCol w:w="1434"/>
        <w:gridCol w:w="1434"/>
      </w:tblGrid>
      <w:tr>
        <w:trPr>
          <w:cantSplit/>
          <w:tblHeader/>
        </w:trPr>
        <w:tc>
          <w:tcPr>
            <w:tcW w:type="dxa" w:w="14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المستوى</w:t>
            </w:r>
          </w:p>
        </w:tc>
        <w:tc>
          <w:tcPr>
            <w:tcW w:type="dxa" w:w="17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يغطيه</w:t>
            </w:r>
          </w:p>
        </w:tc>
        <w:tc>
          <w:tcPr>
            <w:tcW w:type="dxa" w:w="37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الأداة</w:t>
            </w:r>
          </w:p>
        </w:tc>
        <w:tc>
          <w:tcPr>
            <w:tcW w:type="dxa" w:w="14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 يعمل</w:t>
            </w:r>
          </w:p>
        </w:tc>
        <w:tc>
          <w:tcPr>
            <w:tcW w:type="dxa" w:w="14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w:t>
            </w:r>
          </w:p>
        </w:tc>
      </w:tr>
      <w:tr>
        <w:trPr>
          <w:cantSplit/>
        </w:trPr>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تحقق ثابت</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النموذج، DDL، المنح، الإصلاحات، فهرسة المفاتيح</w:t>
            </w:r>
          </w:p>
        </w:tc>
        <w:tc>
          <w:tcPr>
            <w:tcW w:type="dxa" w:w="37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سكربتات tools/dbgen </w:t>
            </w:r>
            <w:r>
              <w:rPr>
                <w:rFonts w:ascii="Arial" w:cs="Arial" w:eastAsia="Arial" w:hAnsi="Arial"/>
                <w:color w:val="2E9E44"/>
                <w:sz w:val="18"/>
                <w:szCs w:val="18"/>
                <w:rtl/>
              </w:rPr>
              <w:t xml:space="preserve">●</w:t>
            </w:r>
          </w:p>
        </w:tc>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w:t>
            </w:r>
          </w:p>
        </w:tc>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قاعدة البيانات</w:t>
            </w:r>
          </w:p>
        </w:tc>
      </w:tr>
      <w:tr>
        <w:trPr>
          <w:cantSplit/>
        </w:trPr>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سلوك القاعدة</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RLS والربط والدخول والمشغّلات والمنح الفعلية</w:t>
            </w:r>
          </w:p>
        </w:tc>
        <w:tc>
          <w:tcPr>
            <w:tcW w:type="dxa" w:w="37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سكربتات sqlcmd في db/tests </w:t>
            </w:r>
            <w:r>
              <w:rPr>
                <w:rFonts w:ascii="Arial" w:cs="Arial" w:eastAsia="Arial" w:hAnsi="Arial"/>
                <w:color w:val="2E9E44"/>
                <w:sz w:val="18"/>
                <w:szCs w:val="18"/>
                <w:rtl/>
              </w:rPr>
              <w:t xml:space="preserve">●</w:t>
            </w:r>
          </w:p>
        </w:tc>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w:t>
            </w:r>
          </w:p>
        </w:tc>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قاعدة البيانات</w:t>
            </w:r>
          </w:p>
        </w:tc>
      </w:tr>
      <w:tr>
        <w:trPr>
          <w:cantSplit/>
        </w:trPr>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وحدات</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BR الخالصة: الترقيم، أيام العمل، التطبيع، الحجز، التسعير</w:t>
            </w:r>
          </w:p>
        </w:tc>
        <w:tc>
          <w:tcPr>
            <w:tcW w:type="dxa" w:w="37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xUnit </w:t>
            </w:r>
            <w:r>
              <w:rPr>
                <w:rFonts w:ascii="Arial" w:cs="Arial" w:eastAsia="Arial" w:hAnsi="Arial"/>
                <w:color w:val="E0A800"/>
                <w:sz w:val="18"/>
                <w:szCs w:val="18"/>
                <w:rtl/>
              </w:rPr>
              <w:t xml:space="preserve">●</w:t>
            </w:r>
          </w:p>
        </w:tc>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المطوّر وCI</w:t>
            </w:r>
          </w:p>
        </w:tc>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w:t>
            </w:r>
          </w:p>
        </w:tc>
      </w:tr>
      <w:tr>
        <w:trPr>
          <w:cantSplit/>
        </w:trPr>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تكامل</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الخدمات مع قاعدة حقيقية: الربط لكل طلب، الحجز، التأهيل، المهام</w:t>
            </w:r>
          </w:p>
        </w:tc>
        <w:tc>
          <w:tcPr>
            <w:tcW w:type="dxa" w:w="37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xUnit مع Testcontainers وصورة SQL Server 2025 </w:t>
            </w:r>
            <w:r>
              <w:rPr>
                <w:rFonts w:ascii="Arial" w:cs="Arial" w:eastAsia="Arial" w:hAnsi="Arial"/>
                <w:color w:val="E0A800"/>
                <w:sz w:val="18"/>
                <w:szCs w:val="18"/>
                <w:rtl/>
              </w:rPr>
              <w:t xml:space="preserve">●</w:t>
            </w:r>
          </w:p>
        </w:tc>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المطوّر وCI</w:t>
            </w:r>
          </w:p>
        </w:tc>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w:t>
            </w:r>
          </w:p>
        </w:tc>
      </w:tr>
      <w:tr>
        <w:trPr>
          <w:cantSplit/>
        </w:trPr>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العقد مع OpenAPI، الحالات 401 و403 و404، عبور المشتركين لكل نقطة</w:t>
            </w:r>
          </w:p>
        </w:tc>
        <w:tc>
          <w:tcPr>
            <w:tcW w:type="dxa" w:w="37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xUnit مع WebApplicationFactory </w:t>
            </w:r>
            <w:r>
              <w:rPr>
                <w:rFonts w:ascii="Arial" w:cs="Arial" w:eastAsia="Arial" w:hAnsi="Arial"/>
                <w:color w:val="E0A800"/>
                <w:sz w:val="18"/>
                <w:szCs w:val="18"/>
                <w:rtl/>
              </w:rPr>
              <w:t xml:space="preserve">●</w:t>
            </w:r>
          </w:p>
        </w:tc>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w:t>
            </w:r>
          </w:p>
        </w:tc>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الواجهات البرمجية</w:t>
            </w:r>
          </w:p>
        </w:tc>
      </w:tr>
      <w:tr>
        <w:trPr>
          <w:cantSplit/>
        </w:trPr>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واجهة</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تدفقات الشاشات، المحليّة RTL التجريبية، إمكانية الوصول</w:t>
            </w:r>
          </w:p>
        </w:tc>
        <w:tc>
          <w:tcPr>
            <w:tcW w:type="dxa" w:w="37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Playwright لـ .NET مع axe-core </w:t>
            </w:r>
            <w:r>
              <w:rPr>
                <w:rFonts w:ascii="Arial" w:cs="Arial" w:eastAsia="Arial" w:hAnsi="Arial"/>
                <w:color w:val="E0A800"/>
                <w:sz w:val="18"/>
                <w:szCs w:val="18"/>
                <w:rtl/>
              </w:rPr>
              <w:t xml:space="preserve">●</w:t>
            </w:r>
          </w:p>
        </w:tc>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بيئة الاختبار</w:t>
            </w:r>
          </w:p>
        </w:tc>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الواجهة الأمامية</w:t>
            </w:r>
          </w:p>
        </w:tc>
      </w:tr>
      <w:tr>
        <w:trPr>
          <w:cantSplit/>
        </w:trPr>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أمان</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IDOR وASVS المستوى 2، فحص الحزم، فحص TLS، اختبار الاختراق</w:t>
            </w:r>
          </w:p>
        </w:tc>
        <w:tc>
          <w:tcPr>
            <w:tcW w:type="dxa" w:w="37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DOC-S13</w:t>
            </w:r>
          </w:p>
        </w:tc>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 وبيئة الاختبار</w:t>
            </w:r>
          </w:p>
        </w:tc>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الأمن</w:t>
            </w:r>
          </w:p>
        </w:tc>
      </w:tr>
      <w:tr>
        <w:trPr>
          <w:cantSplit/>
        </w:trPr>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أداء</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NFR-PERF في DOC-B03، ومنها 100 حجز متزامن</w:t>
            </w:r>
          </w:p>
        </w:tc>
        <w:tc>
          <w:tcPr>
            <w:tcW w:type="dxa" w:w="37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k6 لطبقة API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واختبار تكامل للتزامن</w:t>
            </w:r>
          </w:p>
        </w:tc>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بيئة الاختبار</w:t>
            </w:r>
          </w:p>
        </w:tc>
        <w:tc>
          <w:tcPr>
            <w:tcW w:type="dxa" w:w="14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w:t>
            </w:r>
          </w:p>
        </w:tc>
      </w:tr>
      <w:tr>
        <w:trPr>
          <w:cantSplit/>
        </w:trPr>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قبول المستخدم</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سيناريوهات DOC-B02 على بيانات مجهّلة</w:t>
            </w:r>
          </w:p>
        </w:tc>
        <w:tc>
          <w:tcPr>
            <w:tcW w:type="dxa" w:w="37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يدوي بقائمة فحص</w:t>
            </w:r>
          </w:p>
        </w:tc>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UAT</w:t>
            </w:r>
          </w:p>
        </w:tc>
        <w:tc>
          <w:tcPr>
            <w:tcW w:type="dxa" w:w="14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r>
    </w:tbl>
    <w:p>
      <w:pPr>
        <w:bidi/>
        <w:spacing w:after="120" w:before="0"/>
      </w:pPr>
    </w:p>
    <w:p>
      <w:pPr>
        <w:bidi/>
        <w:spacing w:after="110" w:before="0" w:line="312"/>
      </w:pPr>
      <w:r>
        <w:rPr>
          <w:rFonts w:ascii="Arial" w:cs="Arial" w:eastAsia="Arial" w:hAnsi="Arial"/>
          <w:b w:val="false"/>
          <w:bCs w:val="false"/>
          <w:sz w:val="21"/>
          <w:szCs w:val="21"/>
          <w:rtl/>
        </w:rPr>
        <w:t xml:space="preserve">قواعد عامة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كل اختبار تكامل يبدأ بقاعدة منشورة بالمسار نفسه الذي يستعمله الإنتاج (tools/deploy/deploy.sh، docs/adr/0001-schema-work-on-linux.md:19)، لا بمخطط مختصر.</w:t>
      </w:r>
    </w:p>
    <w:p>
      <w:pPr>
        <w:pStyle w:val="ListParagraph"/>
        <w:numPr>
          <w:ilvl w:val="0"/>
          <w:numId w:val="2"/>
        </w:numPr>
        <w:bidi/>
        <w:spacing w:after="70" w:before="0" w:line="300"/>
      </w:pPr>
      <w:r>
        <w:rPr>
          <w:rFonts w:ascii="Arial" w:cs="Arial" w:eastAsia="Arial" w:hAnsi="Arial"/>
          <w:b w:val="false"/>
          <w:bCs w:val="false"/>
          <w:sz w:val="21"/>
          <w:szCs w:val="21"/>
          <w:rtl/>
        </w:rPr>
        <w:t xml:space="preserve">كل اختبار تكامل أو API يعمل بحساب tp_app عبر sec.usp_StartSession وsec.usp_SetSessionContext، لا بحساب sa. حساب sa يُستعمل للنشر والبذر فقط، كما في db/tests/tenant_isolation_tests.sql:3-5.</w:t>
      </w:r>
    </w:p>
    <w:p>
      <w:pPr>
        <w:pStyle w:val="ListParagraph"/>
        <w:numPr>
          <w:ilvl w:val="0"/>
          <w:numId w:val="2"/>
        </w:numPr>
        <w:bidi/>
        <w:spacing w:after="70" w:before="0" w:line="300"/>
      </w:pPr>
      <w:r>
        <w:rPr>
          <w:rFonts w:ascii="Arial" w:cs="Arial" w:eastAsia="Arial" w:hAnsi="Arial"/>
          <w:b w:val="false"/>
          <w:bCs w:val="false"/>
          <w:sz w:val="21"/>
          <w:szCs w:val="21"/>
          <w:rtl/>
        </w:rPr>
        <w:t xml:space="preserve">صورة SQL Server في الاختبارات هي الصورة نفسها في CI، بوسم مثبّت في سجل الإصدارات (DQ-B01-2).</w:t>
      </w:r>
    </w:p>
    <w:p>
      <w:pPr>
        <w:pStyle w:val="ListParagraph"/>
        <w:numPr>
          <w:ilvl w:val="0"/>
          <w:numId w:val="2"/>
        </w:numPr>
        <w:bidi/>
        <w:spacing w:after="70" w:before="0" w:line="300"/>
      </w:pPr>
      <w:r>
        <w:rPr>
          <w:rFonts w:ascii="Arial" w:cs="Arial" w:eastAsia="Arial" w:hAnsi="Arial"/>
          <w:b w:val="false"/>
          <w:bCs w:val="false"/>
          <w:sz w:val="21"/>
          <w:szCs w:val="21"/>
          <w:rtl/>
        </w:rPr>
        <w:t xml:space="preserve">اختبارات API لعبور المشتركين تُولَّد من وثيقة OpenAPI (FR-PLT-041)، فنقطة جديدة بلا اختبار عبور تفشل البناء. هذا ما يطلبه O-09 (erd_open_items، tools/dbgen/erd_open_items.py:65) وdocs/10-detailed-analysis/14-m7-m8-letters-of-credit.md:666.</w:t>
      </w:r>
    </w:p>
    <w:p>
      <w:pPr>
        <w:bidi/>
        <w:spacing w:after="60" w:before="0"/>
      </w:pPr>
    </w:p>
    <w:p>
      <w:pPr>
        <w:pStyle w:val="Heading1"/>
        <w:bidi/>
      </w:pPr>
      <w:bookmarkStart w:name="_sec8" w:id="8"/>
      <w:r>
        <w:rPr>
          <w:rFonts w:ascii="Arial" w:cs="Arial" w:eastAsia="Arial" w:hAnsi="Arial"/>
          <w:b/>
          <w:bCs/>
          <w:color w:val="1F3A5F"/>
          <w:sz w:val="32"/>
          <w:szCs w:val="32"/>
          <w:rtl/>
        </w:rPr>
        <w:t xml:space="preserve">4. بيئات الاختبار</w:t>
      </w:r>
      <w:bookmarkEnd w:id="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20"/>
        <w:gridCol w:w="3194"/>
        <w:gridCol w:w="2320"/>
        <w:gridCol w:w="2030"/>
      </w:tblGrid>
      <w:tr>
        <w:trPr>
          <w:cantSplit/>
          <w:tblHeader/>
        </w:trPr>
        <w:tc>
          <w:tcPr>
            <w:tcW w:type="dxa" w:w="23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البيئة</w:t>
            </w:r>
          </w:p>
        </w:tc>
        <w:tc>
          <w:tcPr>
            <w:tcW w:type="dxa" w:w="31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يُختبر فيها</w:t>
            </w:r>
          </w:p>
        </w:tc>
        <w:tc>
          <w:tcPr>
            <w:tcW w:type="dxa" w:w="23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البيانات</w:t>
            </w:r>
          </w:p>
        </w:tc>
        <w:tc>
          <w:tcPr>
            <w:tcW w:type="dxa" w:w="20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يصل</w:t>
            </w:r>
          </w:p>
        </w:tc>
      </w:tr>
      <w:tr>
        <w:trPr>
          <w:cantSplit/>
        </w:trPr>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جهاز المطوّر</w:t>
            </w:r>
          </w:p>
        </w:tc>
        <w:tc>
          <w:tcPr>
            <w:tcW w:type="dxa" w:w="31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الوحدات والتكامل بحاوية SQL Server</w:t>
            </w:r>
          </w:p>
        </w:tc>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 تُنشأ وتُلغى</w:t>
            </w:r>
          </w:p>
        </w:tc>
        <w:tc>
          <w:tcPr>
            <w:tcW w:type="dxa" w:w="2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المطوّر</w:t>
            </w:r>
          </w:p>
        </w:tc>
      </w:tr>
      <w:tr>
        <w:trPr>
          <w:cantSplit/>
        </w:trPr>
        <w:tc>
          <w:tcPr>
            <w:tcW w:type="dxa" w:w="23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 (مؤقتة)</w:t>
            </w:r>
          </w:p>
        </w:tc>
        <w:tc>
          <w:tcPr>
            <w:tcW w:type="dxa" w:w="31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الثابت، سلوك القاعدة، الوحدات، التكامل، API</w:t>
            </w:r>
          </w:p>
        </w:tc>
        <w:tc>
          <w:tcPr>
            <w:tcW w:type="dxa" w:w="23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 داخل معاملة تُلغى</w:t>
            </w:r>
          </w:p>
        </w:tc>
        <w:tc>
          <w:tcPr>
            <w:tcW w:type="dxa" w:w="2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 آليًا</w:t>
            </w:r>
          </w:p>
        </w:tc>
      </w:tr>
      <w:tr>
        <w:trPr>
          <w:cantSplit/>
        </w:trPr>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الاختبار</w:t>
            </w:r>
          </w:p>
        </w:tc>
        <w:tc>
          <w:tcPr>
            <w:tcW w:type="dxa" w:w="31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الواجهة، الأداء، الفحص الديناميكي، اختبار خروج الشريحة</w:t>
            </w:r>
          </w:p>
        </w:tc>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 دائمة لمشتركين وهميين</w:t>
            </w:r>
          </w:p>
        </w:tc>
        <w:tc>
          <w:tcPr>
            <w:tcW w:type="dxa" w:w="2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فريق المشروع</w:t>
            </w:r>
          </w:p>
        </w:tc>
      </w:tr>
      <w:tr>
        <w:trPr>
          <w:cantSplit/>
        </w:trPr>
        <w:tc>
          <w:tcPr>
            <w:tcW w:type="dxa" w:w="23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UAT</w:t>
            </w:r>
          </w:p>
        </w:tc>
        <w:tc>
          <w:tcPr>
            <w:tcW w:type="dxa" w:w="31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قبول المستخدم وتمرين الترحيل</w:t>
            </w:r>
          </w:p>
        </w:tc>
        <w:tc>
          <w:tcPr>
            <w:tcW w:type="dxa" w:w="23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مجهّلة وفق DOC-B06</w:t>
            </w:r>
          </w:p>
        </w:tc>
        <w:tc>
          <w:tcPr>
            <w:tcW w:type="dxa" w:w="2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ممثلو العميل والفريق</w:t>
            </w:r>
          </w:p>
        </w:tc>
      </w:tr>
      <w:tr>
        <w:trPr>
          <w:cantSplit/>
        </w:trPr>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الإنتاج</w:t>
            </w:r>
          </w:p>
        </w:tc>
        <w:tc>
          <w:tcPr>
            <w:tcW w:type="dxa" w:w="31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دخان بعد النشر فقط</w:t>
            </w:r>
          </w:p>
        </w:tc>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حقيقية، بلا أي بيانات اختبار</w:t>
            </w:r>
          </w:p>
        </w:tc>
        <w:tc>
          <w:tcPr>
            <w:tcW w:type="dxa" w:w="2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المشغّل</w:t>
            </w:r>
          </w:p>
        </w:tc>
      </w:tr>
    </w:tbl>
    <w:p>
      <w:pPr>
        <w:bidi/>
        <w:spacing w:after="120" w:before="0"/>
      </w:pPr>
    </w:p>
    <w:p>
      <w:pPr>
        <w:bidi/>
        <w:spacing w:after="110" w:before="0" w:line="312"/>
      </w:pPr>
      <w:r>
        <w:rPr>
          <w:rFonts w:ascii="Arial" w:cs="Arial" w:eastAsia="Arial" w:hAnsi="Arial"/>
          <w:b w:val="false"/>
          <w:bCs w:val="false"/>
          <w:sz w:val="21"/>
          <w:szCs w:val="21"/>
          <w:rtl/>
        </w:rPr>
        <w:t xml:space="preserve">تعريف البيئات واستضافتها وأسرارها في DOC-B11.</w:t>
      </w:r>
    </w:p>
    <w:p>
      <w:pPr>
        <w:pStyle w:val="Heading1"/>
        <w:bidi/>
      </w:pPr>
      <w:bookmarkStart w:name="_sec9" w:id="9"/>
      <w:r>
        <w:rPr>
          <w:rFonts w:ascii="Arial" w:cs="Arial" w:eastAsia="Arial" w:hAnsi="Arial"/>
          <w:b/>
          <w:bCs/>
          <w:color w:val="1F3A5F"/>
          <w:sz w:val="32"/>
          <w:szCs w:val="32"/>
          <w:rtl/>
        </w:rPr>
        <w:t xml:space="preserve">5. معايير الدخول والخروج</w:t>
      </w:r>
      <w:bookmarkEnd w:id="9"/>
    </w:p>
    <w:p>
      <w:pPr>
        <w:pStyle w:val="Heading2"/>
        <w:bidi/>
      </w:pPr>
      <w:bookmarkStart w:name="_sec10" w:id="10"/>
      <w:r>
        <w:rPr>
          <w:rFonts w:ascii="Arial" w:cs="Arial" w:eastAsia="Arial" w:hAnsi="Arial"/>
          <w:b/>
          <w:bCs/>
          <w:color w:val="2B5C8A"/>
          <w:sz w:val="26"/>
          <w:szCs w:val="26"/>
          <w:rtl/>
        </w:rPr>
        <w:t xml:space="preserve">5.1 الشريحة S0</w:t>
      </w:r>
      <w:bookmarkEnd w:id="1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6"/>
        <w:gridCol w:w="8888"/>
      </w:tblGrid>
      <w:tr>
        <w:trPr>
          <w:cantSplit/>
          <w:tblHeader/>
        </w:trPr>
        <w:tc>
          <w:tcPr>
            <w:tcW w:type="dxa" w:w="9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النوع</w:t>
            </w:r>
          </w:p>
        </w:tc>
        <w:tc>
          <w:tcPr>
            <w:tcW w:type="dxa" w:w="88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المعيار</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w:t>
            </w:r>
          </w:p>
        </w:tc>
        <w:tc>
          <w:tcPr>
            <w:tcW w:type="dxa" w:w="8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وثائق P0: DOC-F01 إلى F05، DOC-S01 إلى S09، DOC-B01 إلى B05، DOC-B11 (docs/30-readiness-documents.md:446)</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w:t>
            </w:r>
          </w:p>
        </w:tc>
        <w:tc>
          <w:tcPr>
            <w:tcW w:type="dxa" w:w="8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حسم O-18 (erd_open_items، tools/dbgen/erd_open_items.py:115-120) لأنه يحدد النتيجة المتوقعة لدخول مشترك SUSPENDED</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w:t>
            </w:r>
          </w:p>
        </w:tc>
        <w:tc>
          <w:tcPr>
            <w:tcW w:type="dxa" w:w="8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تصميم إجراء التأهيل وفق O-12 (20-database-design، docs/20-database-design.md:540)</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w:t>
            </w:r>
          </w:p>
        </w:tc>
        <w:tc>
          <w:tcPr>
            <w:tcW w:type="dxa" w:w="8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O-24 (erd_open_items، tools/dbgen/erd_open_items.py:151-156) قبل كتابة كود الدخول، وإضافة حالاته إلى اختبارات القاعدة</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w:t>
            </w:r>
          </w:p>
        </w:tc>
        <w:tc>
          <w:tcPr>
            <w:tcW w:type="dxa" w:w="8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 CI للقاعدة أخضر على main، وهيكل خط التطبيق مع بوابة FR-PLT-045 قائم (DOC-B11)</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w:t>
            </w:r>
          </w:p>
        </w:tc>
        <w:tc>
          <w:tcPr>
            <w:tcW w:type="dxa" w:w="8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نجاح اختبار خروج S0 في §6 (docs/10-detailed-analysis/00-overview-and-cross-cutting.md:194)</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w:t>
            </w:r>
          </w:p>
        </w:tc>
        <w:tc>
          <w:tcPr>
            <w:tcW w:type="dxa" w:w="8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متطلب Must في S0 (32 متطلبًا، docs/10-detailed-analysis/91-requirements-index.md:21) له سيناريو قبول ناجح في DOC-B02</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w:t>
            </w:r>
          </w:p>
        </w:tc>
        <w:tc>
          <w:tcPr>
            <w:tcW w:type="dxa" w:w="8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Should إما ناجح أو مؤجل بقرار مكتوب</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w:t>
            </w:r>
          </w:p>
        </w:tc>
        <w:tc>
          <w:tcPr>
            <w:tcW w:type="dxa" w:w="8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صفر عيوب مفتوحة من Sev1 وSev2</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w:t>
            </w:r>
          </w:p>
        </w:tc>
        <w:tc>
          <w:tcPr>
            <w:tcW w:type="dxa" w:w="8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بنود NFR-SEC الخاصة بـ S0 في DOC-B03 ناجحة</w:t>
            </w:r>
          </w:p>
        </w:tc>
      </w:tr>
    </w:tbl>
    <w:p>
      <w:pPr>
        <w:bidi/>
        <w:spacing w:after="120" w:before="0"/>
      </w:pPr>
    </w:p>
    <w:p>
      <w:pPr>
        <w:pStyle w:val="Heading2"/>
        <w:bidi/>
      </w:pPr>
      <w:bookmarkStart w:name="_sec11" w:id="11"/>
      <w:r>
        <w:rPr>
          <w:rFonts w:ascii="Arial" w:cs="Arial" w:eastAsia="Arial" w:hAnsi="Arial"/>
          <w:b/>
          <w:bCs/>
          <w:color w:val="2B5C8A"/>
          <w:sz w:val="26"/>
          <w:szCs w:val="26"/>
          <w:rtl/>
        </w:rPr>
        <w:t xml:space="preserve">5.2 الشريحة S1</w:t>
      </w:r>
      <w:bookmarkEnd w:id="1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6"/>
        <w:gridCol w:w="8888"/>
      </w:tblGrid>
      <w:tr>
        <w:trPr>
          <w:cantSplit/>
          <w:tblHeader/>
        </w:trPr>
        <w:tc>
          <w:tcPr>
            <w:tcW w:type="dxa" w:w="9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النوع</w:t>
            </w:r>
          </w:p>
        </w:tc>
        <w:tc>
          <w:tcPr>
            <w:tcW w:type="dxa" w:w="88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المعيار</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w:t>
            </w:r>
          </w:p>
        </w:tc>
        <w:tc>
          <w:tcPr>
            <w:tcW w:type="dxa" w:w="8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S0، وشاشات S1 في DOC-B07، وحزم بذر الكتالوجات في DOC-B05</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w:t>
            </w:r>
          </w:p>
        </w:tc>
        <w:tc>
          <w:tcPr>
            <w:tcW w:type="dxa" w:w="8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بنك بمعالج واحد، وإدخال شركة بمستنداتها» (docs/10-detailed-analysis/00-overview-and-cross-cutting.md:195): AC-INS-1 وAC-ORG-6 في DOC-B02</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w:t>
            </w:r>
          </w:p>
        </w:tc>
        <w:tc>
          <w:tcPr>
            <w:tcW w:type="dxa" w:w="8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«كتالوجات مزروعة»: AC-CAT-1</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w:t>
            </w:r>
          </w:p>
        </w:tc>
        <w:tc>
          <w:tcPr>
            <w:tcW w:type="dxa" w:w="8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T24 يمر بعد إضافة جداول S1، أي كل جدول جديد فيه TenantId مُرشَّح (db/tests/tenant_isolation_tests.sql:735-753)</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w:t>
            </w:r>
          </w:p>
        </w:tc>
        <w:tc>
          <w:tcPr>
            <w:tcW w:type="dxa" w:w="8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عبور المشتركين لكل نقطة API جديدة، وNFR-PERF-02 (بحث أقل من ثانيتين على 5,000 جهة)</w:t>
            </w:r>
          </w:p>
        </w:tc>
      </w:tr>
    </w:tbl>
    <w:p>
      <w:pPr>
        <w:bidi/>
        <w:spacing w:after="120" w:before="0"/>
      </w:pPr>
    </w:p>
    <w:p>
      <w:pPr>
        <w:pStyle w:val="Heading2"/>
        <w:bidi/>
      </w:pPr>
      <w:bookmarkStart w:name="_sec12" w:id="12"/>
      <w:r>
        <w:rPr>
          <w:rFonts w:ascii="Arial" w:cs="Arial" w:eastAsia="Arial" w:hAnsi="Arial"/>
          <w:b/>
          <w:bCs/>
          <w:color w:val="2B5C8A"/>
          <w:sz w:val="26"/>
          <w:szCs w:val="26"/>
          <w:rtl/>
        </w:rPr>
        <w:t xml:space="preserve">5.3 الشريحة S2</w:t>
      </w:r>
      <w:bookmarkEnd w:id="1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6"/>
        <w:gridCol w:w="8888"/>
      </w:tblGrid>
      <w:tr>
        <w:trPr>
          <w:cantSplit/>
          <w:tblHeader/>
        </w:trPr>
        <w:tc>
          <w:tcPr>
            <w:tcW w:type="dxa" w:w="9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النوع</w:t>
            </w:r>
          </w:p>
        </w:tc>
        <w:tc>
          <w:tcPr>
            <w:tcW w:type="dxa" w:w="88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المعيار</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w:t>
            </w:r>
          </w:p>
        </w:tc>
        <w:tc>
          <w:tcPr>
            <w:tcW w:type="dxa" w:w="8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DOC-B06 وتجهيز الاتفاقيات الأربع والنماذج الثلاثة مجهّلة في بيئة الاختبار (docs/10-detailed-analysis/00-overview-and-cross-cutting.md:216)</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w:t>
            </w:r>
          </w:p>
        </w:tc>
        <w:tc>
          <w:tcPr>
            <w:tcW w:type="dxa" w:w="8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تجهيز أداة اختبار التزامن للحجز</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w:t>
            </w:r>
          </w:p>
        </w:tc>
        <w:tc>
          <w:tcPr>
            <w:tcW w:type="dxa" w:w="8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الاتفاقيات الأربع الفعلية بلا قيد خارج النموذج، وإنذار الانتهاء يعمل» (docs/10-detailed-analysis/00-overview-and-cross-cutting.md:196)</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w:t>
            </w:r>
          </w:p>
        </w:tc>
        <w:tc>
          <w:tcPr>
            <w:tcW w:type="dxa" w:w="8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 طلب حجز متزامن على الحد نفسه بنتائج محددة (docs/20-database-design.md:241، NFR-PERF-03)</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w:t>
            </w:r>
          </w:p>
        </w:tc>
        <w:tc>
          <w:tcPr>
            <w:tcW w:type="dxa" w:w="8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الشاشات الرئيسية ضمن NFR-PERF-01</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w:t>
            </w:r>
          </w:p>
        </w:tc>
        <w:tc>
          <w:tcPr>
            <w:tcW w:type="dxa" w:w="8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سلسلة التدقيق FR-PLT-025 إن نُفِّذ في S2، بعد قرار المرساة O-13 (20-database-design، docs/20-database-design.md:541)</w:t>
            </w:r>
          </w:p>
        </w:tc>
      </w:tr>
    </w:tbl>
    <w:p>
      <w:pPr>
        <w:bidi/>
        <w:spacing w:after="120" w:before="0"/>
      </w:pPr>
    </w:p>
    <w:p>
      <w:pPr>
        <w:pStyle w:val="Heading1"/>
        <w:bidi/>
      </w:pPr>
      <w:bookmarkStart w:name="_sec13" w:id="13"/>
      <w:r>
        <w:rPr>
          <w:rFonts w:ascii="Arial" w:cs="Arial" w:eastAsia="Arial" w:hAnsi="Arial"/>
          <w:b/>
          <w:bCs/>
          <w:color w:val="1F3A5F"/>
          <w:sz w:val="32"/>
          <w:szCs w:val="32"/>
          <w:rtl/>
        </w:rPr>
        <w:t xml:space="preserve">6. اختبار خروج S0</w:t>
      </w:r>
      <w:bookmarkEnd w:id="13"/>
    </w:p>
    <w:p>
      <w:pPr>
        <w:bidi/>
        <w:spacing w:after="110" w:before="0" w:line="312"/>
      </w:pPr>
      <w:r>
        <w:rPr>
          <w:rFonts w:ascii="Arial" w:cs="Arial" w:eastAsia="Arial" w:hAnsi="Arial"/>
          <w:b w:val="false"/>
          <w:bCs w:val="false"/>
          <w:sz w:val="21"/>
          <w:szCs w:val="21"/>
          <w:rtl/>
        </w:rPr>
        <w:t xml:space="preserve">ينص شرط الخروج على «اختبار عزل ناجح بين مشتركين، وتأهيل مشترك جديد آليًا» (docs/10-detailed-analysis/00-overview-and-cross-cutting.md:194). اختبارات العزل الحالية تبذر المشتركين بحساب sa مع تعطيل القيود (db/tests/tenant_isolation_tests.sql:29-34 و69-112)، فلا تثبت التأهيل. لذلك يُبنى اختبار الخروج على مسار الإنتاج نفسه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keepNext/>
        <w:bidi/>
        <w:spacing w:after="60" w:before="160"/>
        <w:jc w:val="center"/>
      </w:pPr>
      <w:r>
        <w:drawing>
          <wp:inline distT="0" distB="0" distL="0" distR="0">
            <wp:extent cx="1476375" cy="8191500"/>
            <wp:effectExtent t="0" r="0" b="0" l="0"/>
            <wp:docPr id="1" name="diagram-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76375" cy="81915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80"/>
        <w:gridCol w:w="2564"/>
        <w:gridCol w:w="5920"/>
      </w:tblGrid>
      <w:tr>
        <w:trPr>
          <w:cantSplit/>
          <w:tblHeader/>
        </w:trPr>
        <w:tc>
          <w:tcPr>
            <w:tcW w:type="dxa" w:w="13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الخطوة</w:t>
            </w:r>
          </w:p>
        </w:tc>
        <w:tc>
          <w:tcPr>
            <w:tcW w:type="dxa" w:w="25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النتيجة المتوقعة</w:t>
            </w:r>
          </w:p>
        </w:tc>
        <w:tc>
          <w:tcPr>
            <w:tcW w:type="dxa" w:w="59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1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التأهيل</w:t>
            </w:r>
          </w:p>
        </w:tc>
        <w:tc>
          <w:tcPr>
            <w:tcW w:type="dxa" w:w="25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 بحالة TRIAL، ووحداته من الباقة، وحساب الخدمة IsSystemUser، والمدير الأول، في معاملة واحدة</w:t>
            </w:r>
          </w:p>
        </w:tc>
        <w:tc>
          <w:tcPr>
            <w:tcW w:type="dxa" w:w="5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FR-PLT-001، FR-PLT-008، docs/20-database-design.md:475</w:t>
            </w:r>
          </w:p>
        </w:tc>
      </w:tr>
      <w:tr>
        <w:trPr>
          <w:cantSplit/>
        </w:trPr>
        <w:tc>
          <w:tcPr>
            <w:tcW w:type="dxa" w:w="1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مصطنع في البذر</w:t>
            </w:r>
          </w:p>
        </w:tc>
        <w:tc>
          <w:tcPr>
            <w:tcW w:type="dxa" w:w="25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يبقى صف للمشترك</w:t>
            </w:r>
          </w:p>
        </w:tc>
        <w:tc>
          <w:tcPr>
            <w:tcW w:type="dxa" w:w="5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DOC-F05</w:t>
            </w:r>
          </w:p>
        </w:tc>
      </w:tr>
      <w:tr>
        <w:trPr>
          <w:cantSplit/>
        </w:trPr>
        <w:tc>
          <w:tcPr>
            <w:tcW w:type="dxa" w:w="1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البذر</w:t>
            </w:r>
          </w:p>
        </w:tc>
        <w:tc>
          <w:tcPr>
            <w:tcW w:type="dxa" w:w="25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صف جديد في الكتالوجات والأدوار</w:t>
            </w:r>
          </w:p>
        </w:tc>
        <w:tc>
          <w:tcPr>
            <w:tcW w:type="dxa" w:w="5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FR-PLT-008، AC-PLT-5</w:t>
            </w:r>
          </w:p>
        </w:tc>
      </w:tr>
      <w:tr>
        <w:trPr>
          <w:cantSplit/>
        </w:trPr>
        <w:tc>
          <w:tcPr>
            <w:tcW w:type="dxa" w:w="1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الدعوة</w:t>
            </w:r>
          </w:p>
        </w:tc>
        <w:tc>
          <w:tcPr>
            <w:tcW w:type="dxa" w:w="25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رسالة تصل إلى ملتقِط SMTP في بيئة الاختبار، والرابط صالح 48 ساعة</w:t>
            </w:r>
          </w:p>
        </w:tc>
        <w:tc>
          <w:tcPr>
            <w:tcW w:type="dxa" w:w="5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w:t>
            </w:r>
          </w:p>
        </w:tc>
      </w:tr>
      <w:tr>
        <w:trPr>
          <w:cantSplit/>
        </w:trPr>
        <w:tc>
          <w:tcPr>
            <w:tcW w:type="dxa" w:w="1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العزل في القاعدة</w:t>
            </w:r>
          </w:p>
        </w:tc>
        <w:tc>
          <w:tcPr>
            <w:tcW w:type="dxa" w:w="25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41 PASS</w:t>
            </w:r>
          </w:p>
        </w:tc>
        <w:tc>
          <w:tcPr>
            <w:tcW w:type="dxa" w:w="5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tools/ci/db_ci.sh:87-88</w:t>
            </w:r>
          </w:p>
        </w:tc>
      </w:tr>
      <w:tr>
        <w:trPr>
          <w:cantSplit/>
        </w:trPr>
        <w:tc>
          <w:tcPr>
            <w:tcW w:type="dxa" w:w="1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العبور في API</w:t>
            </w:r>
          </w:p>
        </w:tc>
        <w:tc>
          <w:tcPr>
            <w:tcW w:type="dxa" w:w="25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معرّف من B بجلسة A يعيد 404، وبلا جلسة 401، ولا صف من B في أي قائمة أو بحث</w:t>
            </w:r>
          </w:p>
        </w:tc>
        <w:tc>
          <w:tcPr>
            <w:tcW w:type="dxa" w:w="5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FR-PLT-020، FR-PLT-021، AC-PLT-1</w:t>
            </w:r>
          </w:p>
        </w:tc>
      </w:tr>
      <w:tr>
        <w:trPr>
          <w:cantSplit/>
        </w:trPr>
        <w:tc>
          <w:tcPr>
            <w:tcW w:type="dxa" w:w="1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w:t>
            </w:r>
          </w:p>
        </w:tc>
        <w:tc>
          <w:tcPr>
            <w:tcW w:type="dxa" w:w="25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أحداث A لا تظهر في عارض B وبالعكس</w:t>
            </w:r>
          </w:p>
        </w:tc>
        <w:tc>
          <w:tcPr>
            <w:tcW w:type="dxa" w:w="5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FR-PLT-022، T13، T14</w:t>
            </w:r>
          </w:p>
        </w:tc>
      </w:tr>
    </w:tbl>
    <w:p>
      <w:pPr>
        <w:bidi/>
        <w:spacing w:after="120" w:before="0"/>
      </w:pPr>
    </w:p>
    <w:p>
      <w:pPr>
        <w:bidi/>
        <w:spacing w:after="110" w:before="0" w:line="312"/>
      </w:pPr>
      <w:r>
        <w:rPr>
          <w:rFonts w:ascii="Arial" w:cs="Arial" w:eastAsia="Arial" w:hAnsi="Arial"/>
          <w:b w:val="false"/>
          <w:bCs w:val="false"/>
          <w:sz w:val="21"/>
          <w:szCs w:val="21"/>
          <w:rtl/>
        </w:rPr>
        <w:t xml:space="preserve">يُعاد هذا الاختبار في كل إصدار لاحق بوصفه اختبار انحدار، ويُضاف إليه كل جدول ونقطة جديدان.</w:t>
      </w:r>
    </w:p>
    <w:p>
      <w:pPr>
        <w:pStyle w:val="Heading1"/>
        <w:bidi/>
      </w:pPr>
      <w:bookmarkStart w:name="_sec14" w:id="14"/>
      <w:r>
        <w:rPr>
          <w:rFonts w:ascii="Arial" w:cs="Arial" w:eastAsia="Arial" w:hAnsi="Arial"/>
          <w:b/>
          <w:bCs/>
          <w:color w:val="1F3A5F"/>
          <w:sz w:val="32"/>
          <w:szCs w:val="32"/>
          <w:rtl/>
        </w:rPr>
        <w:t xml:space="preserve">7. شدة العيوب وفرزها</w:t>
      </w:r>
      <w:bookmarkEnd w:id="1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22"/>
        <w:gridCol w:w="2193"/>
        <w:gridCol w:w="4234"/>
        <w:gridCol w:w="2115"/>
      </w:tblGrid>
      <w:tr>
        <w:trPr>
          <w:cantSplit/>
          <w:tblHeader/>
        </w:trPr>
        <w:tc>
          <w:tcPr>
            <w:tcW w:type="dxa" w:w="13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الشدة</w:t>
            </w:r>
          </w:p>
        </w:tc>
        <w:tc>
          <w:tcPr>
            <w:tcW w:type="dxa" w:w="21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التعريف</w:t>
            </w:r>
          </w:p>
        </w:tc>
        <w:tc>
          <w:tcPr>
            <w:tcW w:type="dxa" w:w="42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أمثلة</w:t>
            </w:r>
          </w:p>
        </w:tc>
        <w:tc>
          <w:tcPr>
            <w:tcW w:type="dxa" w:w="21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 على الإصدار</w:t>
            </w:r>
          </w:p>
        </w:tc>
      </w:tr>
      <w:tr>
        <w:trPr>
          <w:cantSplit/>
        </w:trPr>
        <w:tc>
          <w:tcPr>
            <w:tcW w:type="dxa" w:w="13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Sev1 حرج</w:t>
            </w:r>
          </w:p>
        </w:tc>
        <w:tc>
          <w:tcPr>
            <w:tcW w:type="dxa" w:w="2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كسر عزل أو سرية أو سلامة مالية أو تدقيق</w:t>
            </w:r>
          </w:p>
        </w:tc>
        <w:tc>
          <w:tcPr>
            <w:tcW w:type="dxa" w:w="42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من مشترك آخر، كشف رقم هوية لغير TM وFO، فقد صف تدقيق، تجاوز المتاح في الحجز</w:t>
            </w:r>
          </w:p>
        </w:tc>
        <w:tc>
          <w:tcPr>
            <w:tcW w:type="dxa" w:w="21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يوقف الإصدار والدمج، بلا استثناء</w:t>
            </w:r>
          </w:p>
        </w:tc>
      </w:tr>
      <w:tr>
        <w:trPr>
          <w:cantSplit/>
        </w:trPr>
        <w:tc>
          <w:tcPr>
            <w:tcW w:type="dxa" w:w="13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Sev2 عالٍ</w:t>
            </w:r>
          </w:p>
        </w:tc>
        <w:tc>
          <w:tcPr>
            <w:tcW w:type="dxa" w:w="2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متطلب Must معطّل بلا بديل، أو ضابط أمني داخل المشترك يفشل</w:t>
            </w:r>
          </w:p>
        </w:tc>
        <w:tc>
          <w:tcPr>
            <w:tcW w:type="dxa" w:w="42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التأهيل، قفل لا يعمل، تجاوز من النوع O-24 (erd_open_items)</w:t>
            </w:r>
          </w:p>
        </w:tc>
        <w:tc>
          <w:tcPr>
            <w:tcW w:type="dxa" w:w="21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يوقف خروج الشريحة إلا باستثناء موقّع</w:t>
            </w:r>
          </w:p>
        </w:tc>
      </w:tr>
      <w:tr>
        <w:trPr>
          <w:cantSplit/>
        </w:trPr>
        <w:tc>
          <w:tcPr>
            <w:tcW w:type="dxa" w:w="13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Sev3 متوسط</w:t>
            </w:r>
          </w:p>
        </w:tc>
        <w:tc>
          <w:tcPr>
            <w:tcW w:type="dxa" w:w="2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خلل له بديل، أو في متطلب Should أو Could</w:t>
            </w:r>
          </w:p>
        </w:tc>
        <w:tc>
          <w:tcPr>
            <w:tcW w:type="dxa" w:w="42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رسالة خطأ خاطئة، تصفية ناقصة</w:t>
            </w:r>
          </w:p>
        </w:tc>
        <w:tc>
          <w:tcPr>
            <w:tcW w:type="dxa" w:w="21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يُصلح في الشريحة نفسها أو التالية</w:t>
            </w:r>
          </w:p>
        </w:tc>
      </w:tr>
      <w:tr>
        <w:trPr>
          <w:cantSplit/>
        </w:trPr>
        <w:tc>
          <w:tcPr>
            <w:tcW w:type="dxa" w:w="13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Sev4 منخفض</w:t>
            </w:r>
          </w:p>
        </w:tc>
        <w:tc>
          <w:tcPr>
            <w:tcW w:type="dxa" w:w="2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شكلي</w:t>
            </w:r>
          </w:p>
        </w:tc>
        <w:tc>
          <w:tcPr>
            <w:tcW w:type="dxa" w:w="42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محاذاة، نص، ترجمة</w:t>
            </w:r>
          </w:p>
        </w:tc>
        <w:tc>
          <w:tcPr>
            <w:tcW w:type="dxa" w:w="21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يوقف</w:t>
            </w:r>
          </w:p>
        </w:tc>
      </w:tr>
    </w:tbl>
    <w:p>
      <w:pPr>
        <w:bidi/>
        <w:spacing w:after="120" w:before="0"/>
      </w:pPr>
    </w:p>
    <w:p>
      <w:pPr>
        <w:bidi/>
        <w:spacing w:after="110" w:before="0" w:line="312"/>
      </w:pPr>
      <w:r>
        <w:rPr>
          <w:rFonts w:ascii="Arial" w:cs="Arial" w:eastAsia="Arial" w:hAnsi="Arial"/>
          <w:b w:val="false"/>
          <w:bCs w:val="false"/>
          <w:sz w:val="21"/>
          <w:szCs w:val="21"/>
          <w:rtl/>
        </w:rPr>
        <w:t xml:space="preserve">إجراء الفرز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يُسجَّل كل عيب في متتبع المشروع بوسوم: الشدة، الشريحة، FR، AC، والمستوى الذي اكتشفه.</w:t>
      </w:r>
    </w:p>
    <w:p>
      <w:pPr>
        <w:pStyle w:val="ListParagraph"/>
        <w:numPr>
          <w:ilvl w:val="0"/>
          <w:numId w:val="2"/>
        </w:numPr>
        <w:bidi/>
        <w:spacing w:after="70" w:before="0" w:line="300"/>
      </w:pPr>
      <w:r>
        <w:rPr>
          <w:rFonts w:ascii="Arial" w:cs="Arial" w:eastAsia="Arial" w:hAnsi="Arial"/>
          <w:b w:val="false"/>
          <w:bCs w:val="false"/>
          <w:sz w:val="21"/>
          <w:szCs w:val="21"/>
          <w:rtl/>
        </w:rPr>
        <w:t xml:space="preserve">يفرز فريق من QA lead وقائد التطبيق ومالك المنتج مرتين أسبوعيًا، وفورًا لأي Sev1.</w:t>
      </w:r>
    </w:p>
    <w:p>
      <w:pPr>
        <w:pStyle w:val="ListParagraph"/>
        <w:numPr>
          <w:ilvl w:val="0"/>
          <w:numId w:val="2"/>
        </w:numPr>
        <w:bidi/>
        <w:spacing w:after="70" w:before="0" w:line="300"/>
      </w:pPr>
      <w:r>
        <w:rPr>
          <w:rFonts w:ascii="Arial" w:cs="Arial" w:eastAsia="Arial" w:hAnsi="Arial"/>
          <w:b w:val="false"/>
          <w:bCs w:val="false"/>
          <w:sz w:val="21"/>
          <w:szCs w:val="21"/>
          <w:rtl/>
        </w:rPr>
        <w:t xml:space="preserve">أي عيب يُشتبه أنه Sev1 أمني يُشرك مهندس الأمن، وإن ظهر في الإنتاج يُعامل حادثًا وفق DOC-S15.</w:t>
      </w:r>
    </w:p>
    <w:p>
      <w:pPr>
        <w:pStyle w:val="ListParagraph"/>
        <w:numPr>
          <w:ilvl w:val="0"/>
          <w:numId w:val="2"/>
        </w:numPr>
        <w:bidi/>
        <w:spacing w:after="70" w:before="0" w:line="300"/>
      </w:pPr>
      <w:r>
        <w:rPr>
          <w:rFonts w:ascii="Arial" w:cs="Arial" w:eastAsia="Arial" w:hAnsi="Arial"/>
          <w:b w:val="false"/>
          <w:bCs w:val="false"/>
          <w:sz w:val="21"/>
          <w:szCs w:val="21"/>
          <w:rtl/>
        </w:rPr>
        <w:t xml:space="preserve">لا يُخفَّض تصنيف Sev1 إلا بقرار مكتوب من مالك المنتج ومهندس الأمن معًا.</w:t>
      </w:r>
    </w:p>
    <w:p>
      <w:pPr>
        <w:pStyle w:val="ListParagraph"/>
        <w:numPr>
          <w:ilvl w:val="0"/>
          <w:numId w:val="2"/>
        </w:numPr>
        <w:bidi/>
        <w:spacing w:after="70" w:before="0" w:line="300"/>
      </w:pPr>
      <w:r>
        <w:rPr>
          <w:rFonts w:ascii="Arial" w:cs="Arial" w:eastAsia="Arial" w:hAnsi="Arial"/>
          <w:b w:val="false"/>
          <w:bCs w:val="false"/>
          <w:sz w:val="21"/>
          <w:szCs w:val="21"/>
          <w:rtl/>
        </w:rPr>
        <w:t xml:space="preserve">مهلة الفرز: Sev1 خلال 4 ساعات عمل، وSev2 خلال يوم عمل، والباقي في الفرز التالي.</w:t>
      </w:r>
    </w:p>
    <w:p>
      <w:pPr>
        <w:bidi/>
        <w:spacing w:after="60" w:before="0"/>
      </w:pPr>
    </w:p>
    <w:p>
      <w:pPr>
        <w:pStyle w:val="Heading1"/>
        <w:bidi/>
      </w:pPr>
      <w:bookmarkStart w:name="_sec15" w:id="15"/>
      <w:r>
        <w:rPr>
          <w:rFonts w:ascii="Arial" w:cs="Arial" w:eastAsia="Arial" w:hAnsi="Arial"/>
          <w:b/>
          <w:bCs/>
          <w:color w:val="1F3A5F"/>
          <w:sz w:val="32"/>
          <w:szCs w:val="32"/>
          <w:rtl/>
        </w:rPr>
        <w:t xml:space="preserve">8. قواعد بيانات الاختبار</w:t>
      </w:r>
      <w:bookmarkEnd w:id="15"/>
    </w:p>
    <w:p>
      <w:pPr>
        <w:bidi/>
        <w:spacing w:after="110" w:before="0" w:line="312"/>
      </w:pPr>
      <w:r>
        <w:rPr>
          <w:rFonts w:ascii="Arial" w:cs="Arial" w:eastAsia="Arial" w:hAnsi="Arial"/>
          <w:b w:val="false"/>
          <w:bCs w:val="false"/>
          <w:sz w:val="21"/>
          <w:szCs w:val="21"/>
          <w:rtl/>
        </w:rPr>
        <w:t xml:space="preserve">المواصفة الكاملة لبيانات الاختبار والتجهيل في DOC-B06 (P1، قبل S2). القواعد الملزمة من الآن:</w:t>
      </w:r>
    </w:p>
    <w:p>
      <w:pPr>
        <w:pStyle w:val="ListParagraph"/>
        <w:numPr>
          <w:ilvl w:val="0"/>
          <w:numId w:val="4"/>
        </w:numPr>
        <w:bidi/>
        <w:spacing w:after="70" w:before="0" w:line="300"/>
      </w:pPr>
      <w:r>
        <w:rPr>
          <w:rFonts w:ascii="Arial" w:cs="Arial" w:eastAsia="Arial" w:hAnsi="Arial"/>
          <w:b w:val="false"/>
          <w:bCs w:val="false"/>
          <w:sz w:val="21"/>
          <w:szCs w:val="21"/>
          <w:rtl/>
        </w:rPr>
        <w:t xml:space="preserve">لا بيانات حقيقية في أي بيئة غير الإنتاج. رأس اختبارات العزل يشترط قاعدة «لا تحوي بيانات حقيقية» (db/tests/tenant_isolation_tests.sql:7).</w:t>
      </w:r>
    </w:p>
    <w:p>
      <w:pPr>
        <w:pStyle w:val="ListParagraph"/>
        <w:numPr>
          <w:ilvl w:val="0"/>
          <w:numId w:val="4"/>
        </w:numPr>
        <w:bidi/>
        <w:spacing w:after="70" w:before="0" w:line="300"/>
      </w:pPr>
      <w:r>
        <w:rPr>
          <w:rFonts w:ascii="Arial" w:cs="Arial" w:eastAsia="Arial" w:hAnsi="Arial"/>
          <w:b w:val="false"/>
          <w:bCs w:val="false"/>
          <w:sz w:val="21"/>
          <w:szCs w:val="21"/>
          <w:rtl/>
        </w:rPr>
        <w:t xml:space="preserve">الأمثلة افتراضية: لا أسماء أشخاص ولا شركات ولا أرقام هويات أو سجلات حقيقية، كما في صف «خصوصية الوثيقة» (docs/10-detailed-analysis/10-m0-m1-platform-organization.md:11).</w:t>
      </w:r>
    </w:p>
    <w:p>
      <w:pPr>
        <w:pStyle w:val="ListParagraph"/>
        <w:numPr>
          <w:ilvl w:val="0"/>
          <w:numId w:val="4"/>
        </w:numPr>
        <w:bidi/>
        <w:spacing w:after="70" w:before="0" w:line="300"/>
      </w:pPr>
      <w:r>
        <w:rPr>
          <w:rFonts w:ascii="Arial" w:cs="Arial" w:eastAsia="Arial" w:hAnsi="Arial"/>
          <w:b w:val="false"/>
          <w:bCs w:val="false"/>
          <w:sz w:val="21"/>
          <w:szCs w:val="21"/>
          <w:rtl/>
        </w:rPr>
        <w:t xml:space="preserve">أرقام الهوية في الاختبار تُولَّد بنمط صحيح الشكل فقط، وأرقام IBAN من أمثلة التوثيق كما في AC-ACC-1.</w:t>
      </w:r>
    </w:p>
    <w:p>
      <w:pPr>
        <w:pStyle w:val="ListParagraph"/>
        <w:numPr>
          <w:ilvl w:val="0"/>
          <w:numId w:val="4"/>
        </w:numPr>
        <w:bidi/>
        <w:spacing w:after="70" w:before="0" w:line="300"/>
      </w:pPr>
      <w:r>
        <w:rPr>
          <w:rFonts w:ascii="Arial" w:cs="Arial" w:eastAsia="Arial" w:hAnsi="Arial"/>
          <w:b w:val="false"/>
          <w:bCs w:val="false"/>
          <w:sz w:val="21"/>
          <w:szCs w:val="21"/>
          <w:rtl/>
        </w:rPr>
        <w:t xml:space="preserve">كل اختبار تكامل ينشئ بياناته ويلغيها، على نمط المعاملة الواحدة في db/tests/tenant_isolation_tests.sql:10-11.</w:t>
      </w:r>
    </w:p>
    <w:p>
      <w:pPr>
        <w:pStyle w:val="ListParagraph"/>
        <w:numPr>
          <w:ilvl w:val="0"/>
          <w:numId w:val="4"/>
        </w:numPr>
        <w:bidi/>
        <w:spacing w:after="70" w:before="0" w:line="300"/>
      </w:pPr>
      <w:r>
        <w:rPr>
          <w:rFonts w:ascii="Arial" w:cs="Arial" w:eastAsia="Arial" w:hAnsi="Arial"/>
          <w:b w:val="false"/>
          <w:bCs w:val="false"/>
          <w:sz w:val="21"/>
          <w:szCs w:val="21"/>
          <w:rtl/>
        </w:rPr>
        <w:t xml:space="preserve">يحمل كل اختبار مشتركين على الأقل حين يمس جدولًا مملوكًا للمشترك.</w:t>
      </w:r>
    </w:p>
    <w:p>
      <w:pPr>
        <w:pStyle w:val="ListParagraph"/>
        <w:numPr>
          <w:ilvl w:val="0"/>
          <w:numId w:val="4"/>
        </w:numPr>
        <w:bidi/>
        <w:spacing w:after="70" w:before="0" w:line="300"/>
      </w:pPr>
      <w:r>
        <w:rPr>
          <w:rFonts w:ascii="Arial" w:cs="Arial" w:eastAsia="Arial" w:hAnsi="Arial"/>
          <w:b w:val="false"/>
          <w:bCs w:val="false"/>
          <w:sz w:val="21"/>
          <w:szCs w:val="21"/>
          <w:rtl/>
        </w:rPr>
        <w:t xml:space="preserve">الاتفاقيات الأربع والنماذج الثلاثة لا تدخل بيئة الاختبار إلا مجهّلة بعد اعتماد DOC-B06.</w:t>
      </w:r>
    </w:p>
    <w:p>
      <w:pPr>
        <w:pStyle w:val="ListParagraph"/>
        <w:numPr>
          <w:ilvl w:val="0"/>
          <w:numId w:val="4"/>
        </w:numPr>
        <w:bidi/>
        <w:spacing w:after="70" w:before="0" w:line="300"/>
      </w:pPr>
      <w:r>
        <w:rPr>
          <w:rFonts w:ascii="Arial" w:cs="Arial" w:eastAsia="Arial" w:hAnsi="Arial"/>
          <w:b w:val="false"/>
          <w:bCs w:val="false"/>
          <w:sz w:val="21"/>
          <w:szCs w:val="21"/>
          <w:rtl/>
        </w:rPr>
        <w:t xml:space="preserve">لا تُنسخ نسخة احتياطية من الإنتاج إلى أي بيئة أخرى (DOC-B11).</w:t>
      </w:r>
    </w:p>
    <w:p>
      <w:pPr>
        <w:bidi/>
        <w:spacing w:after="60" w:before="0"/>
      </w:pPr>
    </w:p>
    <w:p>
      <w:pPr>
        <w:pStyle w:val="Heading1"/>
        <w:bidi/>
      </w:pPr>
      <w:bookmarkStart w:name="_sec16" w:id="16"/>
      <w:r>
        <w:rPr>
          <w:rFonts w:ascii="Arial" w:cs="Arial" w:eastAsia="Arial" w:hAnsi="Arial"/>
          <w:b/>
          <w:bCs/>
          <w:color w:val="1F3A5F"/>
          <w:sz w:val="32"/>
          <w:szCs w:val="32"/>
          <w:rtl/>
        </w:rPr>
        <w:t xml:space="preserve">9. تسجيل النتائج والتتبع</w:t>
      </w:r>
      <w:bookmarkEnd w:id="16"/>
    </w:p>
    <w:p>
      <w:pPr>
        <w:pStyle w:val="ListParagraph"/>
        <w:numPr>
          <w:ilvl w:val="0"/>
          <w:numId w:val="2"/>
        </w:numPr>
        <w:bidi/>
        <w:spacing w:after="70" w:before="0" w:line="300"/>
      </w:pPr>
      <w:r>
        <w:rPr>
          <w:rFonts w:ascii="Arial" w:cs="Arial" w:eastAsia="Arial" w:hAnsi="Arial"/>
          <w:b w:val="false"/>
          <w:bCs w:val="false"/>
          <w:sz w:val="21"/>
          <w:szCs w:val="21"/>
          <w:rtl/>
        </w:rPr>
        <w:t xml:space="preserve">يُحفظ ناتج كل تشغيل في CI ملفًا مرفقًا بالتشغيل، كما يحفظ db_ci.sh الناتج ويعرضه (tools/ci/db_ci.sh:60-65).</w:t>
      </w:r>
    </w:p>
    <w:p>
      <w:pPr>
        <w:pStyle w:val="ListParagraph"/>
        <w:numPr>
          <w:ilvl w:val="0"/>
          <w:numId w:val="2"/>
        </w:numPr>
        <w:bidi/>
        <w:spacing w:after="70" w:before="0" w:line="300"/>
      </w:pPr>
      <w:r>
        <w:rPr>
          <w:rFonts w:ascii="Arial" w:cs="Arial" w:eastAsia="Arial" w:hAnsi="Arial"/>
          <w:b w:val="false"/>
          <w:bCs w:val="false"/>
          <w:sz w:val="21"/>
          <w:szCs w:val="21"/>
          <w:rtl/>
        </w:rPr>
        <w:t xml:space="preserve">معرّفات الحالات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ISO-Tn لحالات العزل وFSR-Tn لحالات الحصص، لإزالة التصادم.</w:t>
      </w:r>
    </w:p>
    <w:p>
      <w:pPr>
        <w:pStyle w:val="ListParagraph"/>
        <w:numPr>
          <w:ilvl w:val="0"/>
          <w:numId w:val="2"/>
        </w:numPr>
        <w:bidi/>
        <w:spacing w:after="70" w:before="0" w:line="300"/>
      </w:pPr>
      <w:r>
        <w:rPr>
          <w:rFonts w:ascii="Arial" w:cs="Arial" w:eastAsia="Arial" w:hAnsi="Arial"/>
          <w:b w:val="false"/>
          <w:bCs w:val="false"/>
          <w:sz w:val="21"/>
          <w:szCs w:val="21"/>
          <w:rtl/>
        </w:rPr>
        <w:t xml:space="preserve">كل اختبار تطبيق يحمل وسم AC وFR الذي يغطيه، فتولّد DOC-B08 مصفوفة التتبع منها آليًا.</w:t>
      </w:r>
    </w:p>
    <w:p>
      <w:pPr>
        <w:pStyle w:val="ListParagraph"/>
        <w:numPr>
          <w:ilvl w:val="0"/>
          <w:numId w:val="2"/>
        </w:numPr>
        <w:bidi/>
        <w:spacing w:after="70" w:before="0" w:line="300"/>
      </w:pPr>
      <w:r>
        <w:rPr>
          <w:rFonts w:ascii="Arial" w:cs="Arial" w:eastAsia="Arial" w:hAnsi="Arial"/>
          <w:b w:val="false"/>
          <w:bCs w:val="false"/>
          <w:sz w:val="21"/>
          <w:szCs w:val="21"/>
          <w:rtl/>
        </w:rPr>
        <w:t xml:space="preserve">العدّاد المتوقع في db_ci.sh يُشتق من عدد الحالات في الملف بدل الرقم الثابت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تقرير خروج الشريحة: قائمة AC بنتائجها، والعيوب المفتوحة بشدتها، ونتائج NFR، والاستثناءات الموقّعة.</w:t>
      </w:r>
    </w:p>
    <w:p>
      <w:pPr>
        <w:bidi/>
        <w:spacing w:after="60" w:before="0"/>
      </w:pPr>
    </w:p>
    <w:p>
      <w:pPr>
        <w:pStyle w:val="Heading1"/>
        <w:bidi/>
      </w:pPr>
      <w:bookmarkStart w:name="_sec17" w:id="17"/>
      <w:r>
        <w:rPr>
          <w:rFonts w:ascii="Arial" w:cs="Arial" w:eastAsia="Arial" w:hAnsi="Arial"/>
          <w:b/>
          <w:bCs/>
          <w:color w:val="1F3A5F"/>
          <w:sz w:val="32"/>
          <w:szCs w:val="32"/>
          <w:rtl/>
        </w:rPr>
        <w:t xml:space="preserve">10. جدول الاختبار لكل شريحة</w:t>
      </w:r>
      <w:bookmarkEnd w:id="1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4"/>
        <w:gridCol w:w="1759"/>
        <w:gridCol w:w="7121"/>
      </w:tblGrid>
      <w:tr>
        <w:trPr>
          <w:cantSplit/>
          <w:tblHeader/>
        </w:trPr>
        <w:tc>
          <w:tcPr>
            <w:tcW w:type="dxa" w:w="9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17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يُضاف من اختبارات</w:t>
            </w:r>
          </w:p>
        </w:tc>
        <w:tc>
          <w:tcPr>
            <w:tcW w:type="dxa" w:w="71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بوابة الخروج</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 التطبيق، وحدات PLT، تكامل الربط لكل طلب، API لنقاط S0 وعبورها، واجهة الدخول وMFA والمستخدمين، فحص RTL التجريبي، حالات قاعدة جديدة للمخاطر بعد حسمها</w:t>
            </w:r>
          </w:p>
        </w:tc>
        <w:tc>
          <w:tcPr>
            <w:tcW w:type="dxa" w:w="71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§5.1 و§6</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تكامل التأهيل مع بذر الكتالوجات، API لنقاط ORG وPTY وINS وACC وCAT وNTF، واجهة معالج البنك والشركة ومستنداتها، NFR-PERF-02</w:t>
            </w:r>
          </w:p>
        </w:tc>
        <w:tc>
          <w:tcPr>
            <w:tcW w:type="dxa" w:w="71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1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الملكية والحوكمة والمفوّضون: AC-ORG-1 وAC-ORG-2 وAC-ACC-2 إلى AC-ACC-4</w:t>
            </w:r>
          </w:p>
        </w:tc>
        <w:tc>
          <w:tcPr>
            <w:tcW w:type="dxa" w:w="71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سيناريوهات S1-ب ناجحة</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1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وحدات الحدود والتسعير، تزامن الحجز، إدخال الاتفاقيات الأربع، أداء الشاشات الرئيسية</w:t>
            </w:r>
          </w:p>
        </w:tc>
        <w:tc>
          <w:tcPr>
            <w:tcW w:type="dxa" w:w="71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§5.3</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c>
          <w:tcPr>
            <w:tcW w:type="dxa" w:w="1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البيانات المالية والتحقق من التعهدات</w:t>
            </w:r>
          </w:p>
        </w:tc>
        <w:tc>
          <w:tcPr>
            <w:tcW w:type="dxa" w:w="71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الالتزام (docs/10-detailed-analysis/00-overview-and-cross-cutting.md:197)</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محرك الطلبات، اعتماد المشتريات، الحجز والتحويل، تزامن السحب من الطابور</w:t>
            </w:r>
          </w:p>
        </w:tc>
        <w:tc>
          <w:tcPr>
            <w:tcW w:type="dxa" w:w="71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اعتماد حقيقي يمر كل مراحله (السطر 199)</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1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البروفورما واعتمادات التصدير والمطابقة</w:t>
            </w:r>
          </w:p>
        </w:tc>
        <w:tc>
          <w:tcPr>
            <w:tcW w:type="dxa" w:w="71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رصيد اعتماد التصدير يطابق الحساب اليدوي (السطر 200)</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c>
          <w:tcPr>
            <w:tcW w:type="dxa" w:w="1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انحدار كامل، اختبار اختراق، UAT، تمرين استعادة</w:t>
            </w:r>
          </w:p>
        </w:tc>
        <w:tc>
          <w:tcPr>
            <w:tcW w:type="dxa" w:w="71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إطلاق تجريبي لمشترك واحد (السطر 201)، وDOC-B12</w:t>
            </w:r>
          </w:p>
        </w:tc>
      </w:tr>
    </w:tbl>
    <w:p>
      <w:pPr>
        <w:bidi/>
        <w:spacing w:after="120" w:before="0"/>
      </w:pPr>
    </w:p>
    <w:p>
      <w:pPr>
        <w:pStyle w:val="Heading1"/>
        <w:bidi/>
      </w:pPr>
      <w:bookmarkStart w:name="_sec18" w:id="18"/>
      <w:r>
        <w:rPr>
          <w:rFonts w:ascii="Arial" w:cs="Arial" w:eastAsia="Arial" w:hAnsi="Arial"/>
          <w:b/>
          <w:bCs/>
          <w:color w:val="1F3A5F"/>
          <w:sz w:val="32"/>
          <w:szCs w:val="32"/>
          <w:rtl/>
        </w:rPr>
        <w:t xml:space="preserve">11. القرارات المطلوبة</w:t>
      </w:r>
      <w:bookmarkEnd w:id="1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6"/>
        <w:gridCol w:w="4868"/>
        <w:gridCol w:w="2188"/>
        <w:gridCol w:w="936"/>
        <w:gridCol w:w="936"/>
      </w:tblGrid>
      <w:tr>
        <w:trPr>
          <w:cantSplit/>
          <w:tblHeader/>
        </w:trPr>
        <w:tc>
          <w:tcPr>
            <w:tcW w:type="dxa" w:w="9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48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21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9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9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DQ-B01-1</w:t>
            </w:r>
          </w:p>
        </w:tc>
        <w:tc>
          <w:tcPr>
            <w:tcW w:type="dxa" w:w="4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أدوات اختبار التطبيق</w:t>
            </w:r>
          </w:p>
        </w:tc>
        <w:tc>
          <w:tcPr>
            <w:tcW w:type="dxa" w:w="21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xUnit، وTestcontainers مع صورة SQL Server 2025، وPlaywright لـ .NET مع axe-core </w:t>
            </w:r>
            <w:r>
              <w:rPr>
                <w:rFonts w:ascii="Arial" w:cs="Arial" w:eastAsia="Arial" w:hAnsi="Arial"/>
                <w:color w:val="E0A800"/>
                <w:sz w:val="18"/>
                <w:szCs w:val="18"/>
                <w:rtl/>
              </w:rPr>
              <w:t xml:space="preserve">●</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 مع QA lead</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أول كود في S0</w:t>
            </w:r>
          </w:p>
        </w:tc>
      </w:tr>
      <w:tr>
        <w:trPr>
          <w:cantSplit/>
        </w:trPr>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DQ-B01-2</w:t>
            </w:r>
          </w:p>
        </w:tc>
        <w:tc>
          <w:tcPr>
            <w:tcW w:type="dxa" w:w="4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وسم صورة SQL Server في CI والاختبارات</w:t>
            </w:r>
          </w:p>
        </w:tc>
        <w:tc>
          <w:tcPr>
            <w:tcW w:type="dxa" w:w="21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تثبيت وسم تحديث تراكمي محدد يطابق سجل الإصدارات بدل 2025-latest.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(2026-10-13، ADR 0014): </w:t>
            </w:r>
            <w:r>
              <w:rPr>
                <w:rFonts w:ascii="Courier New" w:cs="Courier New" w:eastAsia="Courier New" w:hAnsi="Courier New"/>
                <w:b w:val="false"/>
                <w:bCs w:val="false"/>
                <w:color w:val="1F2937"/>
                <w:sz w:val="16"/>
                <w:szCs w:val="16"/>
                <w:shd w:fill="F1F3F5" w:color="auto" w:val="clear"/>
                <w:rtl/>
              </w:rPr>
              <w:t xml:space="preserve">‎2025-CU9-GDR1-ubuntu-24.04‎</w:t>
            </w:r>
            <w:r>
              <w:rPr>
                <w:rFonts w:ascii="Arial" w:cs="Arial" w:eastAsia="Arial" w:hAnsi="Arial"/>
                <w:b w:val="false"/>
                <w:bCs w:val="false"/>
                <w:sz w:val="18"/>
                <w:szCs w:val="18"/>
                <w:rtl/>
              </w:rPr>
              <w:t xml:space="preserve">، تفحص CI تطابقه مع </w:t>
            </w:r>
            <w:r>
              <w:rPr>
                <w:rFonts w:ascii="Courier New" w:cs="Courier New" w:eastAsia="Courier New" w:hAnsi="Courier New"/>
                <w:b w:val="false"/>
                <w:bCs w:val="false"/>
                <w:color w:val="1F2937"/>
                <w:sz w:val="16"/>
                <w:szCs w:val="16"/>
                <w:shd w:fill="F1F3F5" w:color="auto" w:val="clear"/>
                <w:rtl/>
              </w:rPr>
              <w:t xml:space="preserve">‎versions.json‎</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DevOps lead</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بوابة FR-PLT-045</w:t>
            </w:r>
          </w:p>
        </w:tc>
      </w:tr>
      <w:tr>
        <w:trPr>
          <w:cantSplit/>
        </w:trPr>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DQ-B01-3</w:t>
            </w:r>
          </w:p>
        </w:tc>
        <w:tc>
          <w:tcPr>
            <w:tcW w:type="dxa" w:w="4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check_review_fixes.py إلى db_ci.sh</w:t>
            </w:r>
          </w:p>
        </w:tc>
        <w:tc>
          <w:tcPr>
            <w:tcW w:type="dxa" w:w="21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في الخطوة 3 بجانب check_grants.py</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قاعدة البيانات</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S0</w:t>
            </w:r>
          </w:p>
        </w:tc>
      </w:tr>
      <w:tr>
        <w:trPr>
          <w:cantSplit/>
        </w:trPr>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DQ-B01-4</w:t>
            </w:r>
          </w:p>
        </w:tc>
        <w:tc>
          <w:tcPr>
            <w:tcW w:type="dxa" w:w="4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بادئات معرّفات الحالات</w:t>
            </w:r>
          </w:p>
        </w:tc>
        <w:tc>
          <w:tcPr>
            <w:tcW w:type="dxa" w:w="21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ISO-Tn وFSR-Tn، ووسم AC وFR لكل اختبار تطبيق</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lead</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DOC-B08</w:t>
            </w:r>
          </w:p>
        </w:tc>
      </w:tr>
      <w:tr>
        <w:trPr>
          <w:cantSplit/>
        </w:trPr>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DQ-B01-5</w:t>
            </w:r>
          </w:p>
        </w:tc>
        <w:tc>
          <w:tcPr>
            <w:tcW w:type="dxa" w:w="4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تشغيل خط القاعدة عند تغيّر كود التطبيق</w:t>
            </w:r>
          </w:p>
        </w:tc>
        <w:tc>
          <w:tcPr>
            <w:tcW w:type="dxa" w:w="21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تشغيله على كل طلب دمج إلى main</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DevOps lead</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DQ-B01-6</w:t>
            </w:r>
          </w:p>
        </w:tc>
        <w:tc>
          <w:tcPr>
            <w:tcW w:type="dxa" w:w="4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أداة اختبار الأداء</w:t>
            </w:r>
          </w:p>
        </w:tc>
        <w:tc>
          <w:tcPr>
            <w:tcW w:type="dxa" w:w="21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k6 لطبقة API، واختبار تكامل بالكود لتزامن الحجز </w:t>
            </w:r>
            <w:r>
              <w:rPr>
                <w:rFonts w:ascii="Arial" w:cs="Arial" w:eastAsia="Arial" w:hAnsi="Arial"/>
                <w:color w:val="E0A800"/>
                <w:sz w:val="18"/>
                <w:szCs w:val="18"/>
                <w:rtl/>
              </w:rPr>
              <w:t xml:space="preserve">●</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S1 وS2</w:t>
            </w:r>
          </w:p>
        </w:tc>
      </w:tr>
      <w:tr>
        <w:trPr>
          <w:cantSplit/>
        </w:trPr>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DQ-B01-7</w:t>
            </w:r>
          </w:p>
        </w:tc>
        <w:tc>
          <w:tcPr>
            <w:tcW w:type="dxa" w:w="4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مقياس «تغطية القواعد الحرجة» (docs/10-detailed-analysis/00-overview-and-cross-cutting.md:171)</w:t>
            </w:r>
          </w:p>
        </w:tc>
        <w:tc>
          <w:tcPr>
            <w:tcW w:type="dxa" w:w="21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BR في الحدود والحجز والتسعير والعزل له اختبار آلي واحد على الأقل، وتغطية أسطر 80% لنواة المجال </w:t>
            </w:r>
            <w:r>
              <w:rPr>
                <w:rFonts w:ascii="Arial" w:cs="Arial" w:eastAsia="Arial" w:hAnsi="Arial"/>
                <w:color w:val="E0A800"/>
                <w:sz w:val="18"/>
                <w:szCs w:val="18"/>
                <w:rtl/>
              </w:rPr>
              <w:t xml:space="preserve">●</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lead</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S2</w:t>
            </w:r>
          </w:p>
        </w:tc>
      </w:tr>
      <w:tr>
        <w:trPr>
          <w:cantSplit/>
        </w:trPr>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DQ-B01-8</w:t>
            </w:r>
          </w:p>
        </w:tc>
        <w:tc>
          <w:tcPr>
            <w:tcW w:type="dxa" w:w="4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مهل فرز العيوب</w:t>
            </w:r>
          </w:p>
        </w:tc>
        <w:tc>
          <w:tcPr>
            <w:tcW w:type="dxa" w:w="21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Sev1 خلال 4 ساعات عمل، وSev2 خلال يوم عمل</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المشروع</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DQ-B01-9</w:t>
            </w:r>
          </w:p>
        </w:tc>
        <w:tc>
          <w:tcPr>
            <w:tcW w:type="dxa" w:w="4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ملتقِط البريد في بيئة الاختبار</w:t>
            </w:r>
          </w:p>
        </w:tc>
        <w:tc>
          <w:tcPr>
            <w:tcW w:type="dxa" w:w="21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خادم SMTP محلي يلتقط الرسائل ولا يرسلها خارج البيئة </w:t>
            </w:r>
            <w:r>
              <w:rPr>
                <w:rFonts w:ascii="Arial" w:cs="Arial" w:eastAsia="Arial" w:hAnsi="Arial"/>
                <w:color w:val="E0A800"/>
                <w:sz w:val="18"/>
                <w:szCs w:val="18"/>
                <w:rtl/>
              </w:rPr>
              <w:t xml:space="preserve">●</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DevOps lead</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خروج S0</w:t>
            </w:r>
          </w:p>
        </w:tc>
      </w:tr>
      <w:tr>
        <w:trPr>
          <w:cantSplit/>
        </w:trPr>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DQ-B01-10</w:t>
            </w:r>
          </w:p>
        </w:tc>
        <w:tc>
          <w:tcPr>
            <w:tcW w:type="dxa" w:w="4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الحالات الجديدة للمخاطر المفتوحة</w:t>
            </w:r>
          </w:p>
        </w:tc>
        <w:tc>
          <w:tcPr>
            <w:tcW w:type="dxa" w:w="21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لكتابة tp_app على ref.Currency الآن، وحالات O-19 وO-20 وO-21 بعد قراراتها</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قاعدة البيانات</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S0</w:t>
            </w:r>
          </w:p>
        </w:tc>
      </w:tr>
    </w:tbl>
    <w:p>
      <w:pPr>
        <w:bidi/>
        <w:spacing w:after="120" w:before="0"/>
      </w:pPr>
    </w:p>
    <w:p>
      <w:pPr>
        <w:pStyle w:val="Heading1"/>
        <w:bidi/>
      </w:pPr>
      <w:bookmarkStart w:name="_sec19" w:id="19"/>
      <w:r>
        <w:rPr>
          <w:rFonts w:ascii="Arial" w:cs="Arial" w:eastAsia="Arial" w:hAnsi="Arial"/>
          <w:b/>
          <w:bCs/>
          <w:color w:val="1F3A5F"/>
          <w:sz w:val="32"/>
          <w:szCs w:val="32"/>
          <w:rtl/>
        </w:rPr>
        <w:t xml:space="preserve">12. تعارضات وفجوات في المصادر</w:t>
      </w:r>
      <w:bookmarkEnd w:id="19"/>
    </w:p>
    <w:p>
      <w:pPr>
        <w:pStyle w:val="ListParagraph"/>
        <w:numPr>
          <w:ilvl w:val="0"/>
          <w:numId w:val="5"/>
        </w:numPr>
        <w:bidi/>
        <w:spacing w:after="70" w:before="0" w:line="300"/>
      </w:pPr>
      <w:r>
        <w:rPr>
          <w:rFonts w:ascii="Arial" w:cs="Arial" w:eastAsia="Arial" w:hAnsi="Arial"/>
          <w:b w:val="false"/>
          <w:bCs w:val="false"/>
          <w:sz w:val="21"/>
          <w:szCs w:val="21"/>
          <w:rtl/>
        </w:rPr>
        <w:t xml:space="preserve">docs/30-readiness-documents.md:312 و339 يذكر 34 حالة عزل وأن db_ci.sh يتحقق من 34، والعدد الفعلي 41.</w:t>
      </w:r>
    </w:p>
    <w:p>
      <w:pPr>
        <w:pStyle w:val="ListParagraph"/>
        <w:numPr>
          <w:ilvl w:val="0"/>
          <w:numId w:val="5"/>
        </w:numPr>
        <w:bidi/>
        <w:spacing w:after="70" w:before="0" w:line="300"/>
      </w:pPr>
      <w:r>
        <w:rPr>
          <w:rFonts w:ascii="Arial" w:cs="Arial" w:eastAsia="Arial" w:hAnsi="Arial"/>
          <w:b w:val="false"/>
          <w:bCs w:val="false"/>
          <w:sz w:val="21"/>
          <w:szCs w:val="21"/>
          <w:rtl/>
        </w:rPr>
        <w:t xml:space="preserve">docs/10-detailed-analysis/00-overview-and-cross-cutting.md:352 ما زال يقول إن وثيقة القاعدة «لم تُنفَّذ على SQL Server بعد»، بينما docs/20-database-design.md:492 يثبت النشر في كل تشغيل لـ db_ci.sh، وO-1 فيها (:529) صار «محلول في بيئة التطوير».</w:t>
      </w:r>
    </w:p>
    <w:p>
      <w:pPr>
        <w:pStyle w:val="ListParagraph"/>
        <w:numPr>
          <w:ilvl w:val="0"/>
          <w:numId w:val="5"/>
        </w:numPr>
        <w:bidi/>
        <w:spacing w:after="70" w:before="0" w:line="300"/>
      </w:pPr>
      <w:r>
        <w:rPr>
          <w:rFonts w:ascii="Arial" w:cs="Arial" w:eastAsia="Arial" w:hAnsi="Arial"/>
          <w:b w:val="false"/>
          <w:bCs w:val="false"/>
          <w:sz w:val="21"/>
          <w:szCs w:val="21"/>
          <w:rtl/>
        </w:rPr>
        <w:t xml:space="preserve">رأس tools/ci/db_ci.sh:2-3 يذكر اختبارات المشغّلات فقط، والسكربت يشغّل اختبارات العزل أيضًا (السطر 75).</w:t>
      </w:r>
    </w:p>
    <w:p>
      <w:pPr>
        <w:pStyle w:val="ListParagraph"/>
        <w:numPr>
          <w:ilvl w:val="0"/>
          <w:numId w:val="5"/>
        </w:numPr>
        <w:bidi/>
        <w:spacing w:after="70" w:before="0" w:line="300"/>
      </w:pPr>
      <w:r>
        <w:rPr>
          <w:rFonts w:ascii="Arial" w:cs="Arial" w:eastAsia="Arial" w:hAnsi="Arial"/>
          <w:b w:val="false"/>
          <w:bCs w:val="false"/>
          <w:sz w:val="21"/>
          <w:szCs w:val="21"/>
          <w:rtl/>
        </w:rPr>
        <w:t xml:space="preserve">AC-PLT-1 يفترض صفًا عامًا في LookupItem (docs/10-detailed-analysis/10-m0-m1-platform-organization.md:651)، والقاعدة تجعل LookupItem مملوكًا للمشترك (docs/20-database-design.md:425)، فالحالات T9-T12 تختبر الصف العام على cfg.NonWorkingDay (db/tests/tenant_isolation_tests.sql:107). التفصيل في DOC-B02.</w:t>
      </w:r>
    </w:p>
    <w:p>
      <w:pPr>
        <w:pStyle w:val="ListParagraph"/>
        <w:numPr>
          <w:ilvl w:val="0"/>
          <w:numId w:val="5"/>
        </w:numPr>
        <w:bidi/>
        <w:spacing w:after="70" w:before="0" w:line="300"/>
      </w:pPr>
      <w:r>
        <w:rPr>
          <w:rFonts w:ascii="Arial" w:cs="Arial" w:eastAsia="Arial" w:hAnsi="Arial"/>
          <w:b w:val="false"/>
          <w:bCs w:val="false"/>
          <w:sz w:val="21"/>
          <w:szCs w:val="21"/>
          <w:rtl/>
        </w:rPr>
        <w:t xml:space="preserve">00 §8 (docs/10-detailed-analysis/00-overview-and-cross-cutting.md:209-219) يعدّد المستويات بوسم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دون أدوات أو معايير خروج؛ هذه الوثيقة تكمله.</w:t>
      </w:r>
    </w:p>
    <w:p>
      <w:pPr>
        <w:bidi/>
        <w:spacing w:after="60" w:before="0"/>
      </w:pPr>
    </w:p>
    <w:p>
      <w:pPr>
        <w:pStyle w:val="Heading1"/>
        <w:bidi/>
      </w:pPr>
      <w:bookmarkStart w:name="_sec20" w:id="20"/>
      <w:r>
        <w:rPr>
          <w:rFonts w:ascii="Arial" w:cs="Arial" w:eastAsia="Arial" w:hAnsi="Arial"/>
          <w:b/>
          <w:bCs/>
          <w:color w:val="1F3A5F"/>
          <w:sz w:val="32"/>
          <w:szCs w:val="32"/>
          <w:rtl/>
        </w:rPr>
        <w:t xml:space="preserve">13. التتبع</w:t>
      </w:r>
      <w:bookmarkEnd w:id="2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32"/>
        <w:gridCol w:w="1949"/>
        <w:gridCol w:w="6883"/>
      </w:tblGrid>
      <w:tr>
        <w:trPr>
          <w:cantSplit/>
          <w:tblHeader/>
        </w:trPr>
        <w:tc>
          <w:tcPr>
            <w:tcW w:type="dxa" w:w="10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19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8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§6</w:t>
            </w:r>
          </w:p>
        </w:tc>
        <w:tc>
          <w:tcPr>
            <w:tcW w:type="dxa" w:w="1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FR-PLT-036، BR-PLT-001، X-SEC-4</w:t>
            </w:r>
          </w:p>
        </w:tc>
        <w:tc>
          <w:tcPr>
            <w:tcW w:type="dxa" w:w="6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docs/10-detailed-analysis/10-m0-m1-platform-organization.md:138، 227؛ docs/10-detailed-analysis/00-overview-and-cross-cutting.md:139</w:t>
            </w:r>
          </w:p>
        </w:tc>
      </w:tr>
      <w:tr>
        <w:trPr>
          <w:cantSplit/>
        </w:trPr>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اختبار العبور لكل نقطة</w:t>
            </w:r>
          </w:p>
        </w:tc>
        <w:tc>
          <w:tcPr>
            <w:tcW w:type="dxa" w:w="1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O-09 (erd_open_items)، FR-PLT-021، FR-PLT-041</w:t>
            </w:r>
          </w:p>
        </w:tc>
        <w:tc>
          <w:tcPr>
            <w:tcW w:type="dxa" w:w="6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tools/dbgen/erd_open_items.py:62-66؛ docs/10-detailed-analysis/10-m0-m1-platform-organization.md:123، 143</w:t>
            </w:r>
          </w:p>
        </w:tc>
      </w:tr>
      <w:tr>
        <w:trPr>
          <w:cantSplit/>
        </w:trPr>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§5.1، §6</w:t>
            </w:r>
          </w:p>
        </w:tc>
        <w:tc>
          <w:tcPr>
            <w:tcW w:type="dxa" w:w="1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S0، FR-PLT-008، FR-PLT-013</w:t>
            </w:r>
          </w:p>
        </w:tc>
        <w:tc>
          <w:tcPr>
            <w:tcW w:type="dxa" w:w="6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docs/10-detailed-analysis/00-overview-and-cross-cutting.md:194؛ docs/10-detailed-analysis/10-m0-m1-platform-organization.md:110، 115</w:t>
            </w:r>
          </w:p>
        </w:tc>
      </w:tr>
      <w:tr>
        <w:trPr>
          <w:cantSplit/>
        </w:trPr>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w:t>
            </w:r>
          </w:p>
        </w:tc>
        <w:tc>
          <w:tcPr>
            <w:tcW w:type="dxa" w:w="1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S1، AC-INS-1</w:t>
            </w:r>
          </w:p>
        </w:tc>
        <w:tc>
          <w:tcPr>
            <w:tcW w:type="dxa" w:w="6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docs/10-detailed-analysis/00-overview-and-cross-cutting.md:195؛ docs/10-detailed-analysis/11-m2-m4-institutions-accounts-catalogs.md:646</w:t>
            </w:r>
          </w:p>
        </w:tc>
      </w:tr>
      <w:tr>
        <w:trPr>
          <w:cantSplit/>
        </w:trPr>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§5.3</w:t>
            </w:r>
          </w:p>
        </w:tc>
        <w:tc>
          <w:tcPr>
            <w:tcW w:type="dxa" w:w="1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S2، اختبار التزامن</w:t>
            </w:r>
          </w:p>
        </w:tc>
        <w:tc>
          <w:tcPr>
            <w:tcW w:type="dxa" w:w="6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docs/10-detailed-analysis/00-overview-and-cross-cutting.md:196؛ docs/20-database-design.md:241</w:t>
            </w:r>
          </w:p>
        </w:tc>
      </w:tr>
      <w:tr>
        <w:trPr>
          <w:cantSplit/>
        </w:trPr>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R4 تسريب بين المشتركين</w:t>
            </w:r>
          </w:p>
        </w:tc>
        <w:tc>
          <w:tcPr>
            <w:tcW w:type="dxa" w:w="6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docs/01-preliminary-analysis.md:359</w:t>
            </w:r>
          </w:p>
        </w:tc>
      </w:tr>
      <w:tr>
        <w:trPr>
          <w:cantSplit/>
        </w:trPr>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1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خصوصية الأمثلة، DOC-B06</w:t>
            </w:r>
          </w:p>
        </w:tc>
        <w:tc>
          <w:tcPr>
            <w:tcW w:type="dxa" w:w="6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docs/10-detailed-analysis/10-m0-m1-platform-organization.md:11؛ db/tests/tenant_isolation_tests.sql:7</w:t>
            </w:r>
          </w:p>
        </w:tc>
      </w:tr>
      <w:tr>
        <w:trPr>
          <w:cantSplit/>
        </w:trPr>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DQ-B01-2</w:t>
            </w:r>
          </w:p>
        </w:tc>
        <w:tc>
          <w:tcPr>
            <w:tcW w:type="dxa" w:w="1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FR-PLT-045</w:t>
            </w:r>
          </w:p>
        </w:tc>
        <w:tc>
          <w:tcPr>
            <w:tcW w:type="dxa" w:w="6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docs/10-detailed-analysis/10-m0-m1-platform-organization.md:147؛ ../.github/workflows/treasury-db-ci.yml:37</w:t>
            </w:r>
          </w:p>
        </w:tc>
      </w:tr>
      <w:tr>
        <w:trPr>
          <w:cantSplit/>
        </w:trPr>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DQ-B01-3</w:t>
            </w:r>
          </w:p>
        </w:tc>
        <w:tc>
          <w:tcPr>
            <w:tcW w:type="dxa" w:w="1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الإصلاحات الحرجة DR-01 إلى DR-10</w:t>
            </w:r>
          </w:p>
        </w:tc>
        <w:tc>
          <w:tcPr>
            <w:tcW w:type="dxa" w:w="6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tools/dbgen/check_review_fixes.py:2</w:t>
            </w:r>
          </w:p>
        </w:tc>
      </w:tr>
      <w:tr>
        <w:trPr>
          <w:cantSplit/>
        </w:trPr>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DQ-B01-10</w:t>
            </w:r>
          </w:p>
        </w:tc>
        <w:tc>
          <w:tcPr>
            <w:tcW w:type="dxa" w:w="1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O-19، O-20، O-21 (erd_open_items)</w:t>
            </w:r>
          </w:p>
        </w:tc>
        <w:tc>
          <w:tcPr>
            <w:tcW w:type="dxa" w:w="6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tools/dbgen/erd_open_items.py:121-138</w:t>
            </w:r>
          </w:p>
        </w:tc>
      </w:tr>
    </w:tbl>
    <w:p>
      <w:pPr>
        <w:bidi/>
        <w:spacing w:after="12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DOC-B01 · BankFas · مستندات الجاهزية P0 · 0.1 مسودة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8c8c23c03fec92c8bd6edd9478f25bbe94432c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DOC-B01 — استراتيجية الاختبار وخطته</dc:title>
  <dc:creator>Claude</dc:creator>
  <dc:description>BankFas database design document</dc:description>
  <cp:lastModifiedBy>Un-named</cp:lastModifiedBy>
  <cp:revision>1</cp:revision>
  <dcterms:created xsi:type="dcterms:W3CDTF">2026-10-21T12:12:44.091Z</dcterms:created>
  <dcterms:modified xsi:type="dcterms:W3CDTF">2026-10-21T12:12:44.092Z</dcterms:modified>
</cp:coreProperties>
</file>

<file path=docProps/custom.xml><?xml version="1.0" encoding="utf-8"?>
<Properties xmlns="http://schemas.openxmlformats.org/officeDocument/2006/custom-properties" xmlns:vt="http://schemas.openxmlformats.org/officeDocument/2006/docPropsVTypes"/>
</file>