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DOC-B03 — مواصفة المتطلبات غير الوظيفية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الأداء والتزامن (NFR-PERF)</w:t>
        </w:r>
      </w:hyperlink>
    </w:p>
    <w:p>
      <w:pPr>
        <w:bidi/>
        <w:spacing w:after="50" w:before="0"/>
        <w:ind w:left="0"/>
      </w:pPr>
      <w:hyperlink w:history="1" w:anchor="_sec3">
        <w:r>
          <w:rPr>
            <w:rFonts w:ascii="Arial" w:cs="Arial" w:eastAsia="Arial" w:hAnsi="Arial"/>
            <w:b/>
            <w:bCs/>
            <w:color w:val="1F3A5F"/>
            <w:sz w:val="20"/>
            <w:szCs w:val="20"/>
            <w:rtl/>
          </w:rPr>
          <w:t xml:space="preserve">3. التوفر (NFR-AVL)</w:t>
        </w:r>
      </w:hyperlink>
    </w:p>
    <w:p>
      <w:pPr>
        <w:bidi/>
        <w:spacing w:after="50" w:before="0"/>
        <w:ind w:left="0"/>
      </w:pPr>
      <w:hyperlink w:history="1" w:anchor="_sec4">
        <w:r>
          <w:rPr>
            <w:rFonts w:ascii="Arial" w:cs="Arial" w:eastAsia="Arial" w:hAnsi="Arial"/>
            <w:b/>
            <w:bCs/>
            <w:color w:val="1F3A5F"/>
            <w:sz w:val="20"/>
            <w:szCs w:val="20"/>
            <w:rtl/>
          </w:rPr>
          <w:t xml:space="preserve">4. التعافي (NFR-REC)</w:t>
        </w:r>
      </w:hyperlink>
    </w:p>
    <w:p>
      <w:pPr>
        <w:bidi/>
        <w:spacing w:after="50" w:before="0"/>
        <w:ind w:left="0"/>
      </w:pPr>
      <w:hyperlink w:history="1" w:anchor="_sec5">
        <w:r>
          <w:rPr>
            <w:rFonts w:ascii="Arial" w:cs="Arial" w:eastAsia="Arial" w:hAnsi="Arial"/>
            <w:b/>
            <w:bCs/>
            <w:color w:val="1F3A5F"/>
            <w:sz w:val="20"/>
            <w:szCs w:val="20"/>
            <w:rtl/>
          </w:rPr>
          <w:t xml:space="preserve">5. الأمن (NFR-SEC، ويحل محل DOC-S14)</w:t>
        </w:r>
      </w:hyperlink>
    </w:p>
    <w:p>
      <w:pPr>
        <w:bidi/>
        <w:spacing w:after="50" w:before="0"/>
        <w:ind w:left="0"/>
      </w:pPr>
      <w:hyperlink w:history="1" w:anchor="_sec6">
        <w:r>
          <w:rPr>
            <w:rFonts w:ascii="Arial" w:cs="Arial" w:eastAsia="Arial" w:hAnsi="Arial"/>
            <w:b/>
            <w:bCs/>
            <w:color w:val="1F3A5F"/>
            <w:sz w:val="20"/>
            <w:szCs w:val="20"/>
            <w:rtl/>
          </w:rPr>
          <w:t xml:space="preserve">6. قابلية التوسع (NFR-SCL)</w:t>
        </w:r>
      </w:hyperlink>
    </w:p>
    <w:p>
      <w:pPr>
        <w:bidi/>
        <w:spacing w:after="50" w:before="0"/>
        <w:ind w:left="0"/>
      </w:pPr>
      <w:hyperlink w:history="1" w:anchor="_sec7">
        <w:r>
          <w:rPr>
            <w:rFonts w:ascii="Arial" w:cs="Arial" w:eastAsia="Arial" w:hAnsi="Arial"/>
            <w:b/>
            <w:bCs/>
            <w:color w:val="1F3A5F"/>
            <w:sz w:val="20"/>
            <w:szCs w:val="20"/>
            <w:rtl/>
          </w:rPr>
          <w:t xml:space="preserve">7. إمكانية الوصول (NFR-ACC)</w:t>
        </w:r>
      </w:hyperlink>
    </w:p>
    <w:p>
      <w:pPr>
        <w:bidi/>
        <w:spacing w:after="50" w:before="0"/>
        <w:ind w:left="0"/>
      </w:pPr>
      <w:hyperlink w:history="1" w:anchor="_sec8">
        <w:r>
          <w:rPr>
            <w:rFonts w:ascii="Arial" w:cs="Arial" w:eastAsia="Arial" w:hAnsi="Arial"/>
            <w:b/>
            <w:bCs/>
            <w:color w:val="1F3A5F"/>
            <w:sz w:val="20"/>
            <w:szCs w:val="20"/>
            <w:rtl/>
          </w:rPr>
          <w:t xml:space="preserve">8. التشغيل (NFR-OPS)</w:t>
        </w:r>
      </w:hyperlink>
    </w:p>
    <w:p>
      <w:pPr>
        <w:bidi/>
        <w:spacing w:after="50" w:before="0"/>
        <w:ind w:left="0"/>
      </w:pPr>
      <w:hyperlink w:history="1" w:anchor="_sec9">
        <w:r>
          <w:rPr>
            <w:rFonts w:ascii="Arial" w:cs="Arial" w:eastAsia="Arial" w:hAnsi="Arial"/>
            <w:b/>
            <w:bCs/>
            <w:color w:val="1F3A5F"/>
            <w:sz w:val="20"/>
            <w:szCs w:val="20"/>
            <w:rtl/>
          </w:rPr>
          <w:t xml:space="preserve">9. اللغة والتوطين (NFR-I18N)</w:t>
        </w:r>
      </w:hyperlink>
    </w:p>
    <w:p>
      <w:pPr>
        <w:bidi/>
        <w:spacing w:after="50" w:before="0"/>
        <w:ind w:left="0"/>
      </w:pPr>
      <w:hyperlink w:history="1" w:anchor="_sec10">
        <w:r>
          <w:rPr>
            <w:rFonts w:ascii="Arial" w:cs="Arial" w:eastAsia="Arial" w:hAnsi="Arial"/>
            <w:b/>
            <w:bCs/>
            <w:color w:val="1F3A5F"/>
            <w:sz w:val="20"/>
            <w:szCs w:val="20"/>
            <w:rtl/>
          </w:rPr>
          <w:t xml:space="preserve">10. التحقق بحسب الشريحة</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1"/>
        <w:bidi/>
      </w:pPr>
      <w:bookmarkStart w:name="_sec2" w:id="2"/>
      <w:r>
        <w:rPr>
          <w:rFonts w:ascii="Arial" w:cs="Arial" w:eastAsia="Arial" w:hAnsi="Arial"/>
          <w:b/>
          <w:bCs/>
          <w:color w:val="1F3A5F"/>
          <w:sz w:val="32"/>
          <w:szCs w:val="32"/>
          <w:rtl/>
        </w:rPr>
        <w:t xml:space="preserve">2. الأداء والتزامن (NFR-PERF)</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pStyle w:val="ListParagraph"/>
        <w:numPr>
          <w:ilvl w:val="0"/>
          <w:numId w:val="2"/>
        </w:numPr>
        <w:bidi/>
        <w:spacing w:after="70" w:before="0" w:line="300"/>
      </w:pPr>
      <w:r>
        <w:rPr>
          <w:rFonts w:ascii="Arial" w:cs="Arial" w:eastAsia="Arial" w:hAnsi="Arial"/>
          <w:b/>
          <w:bCs/>
          <w:sz w:val="21"/>
          <w:szCs w:val="21"/>
          <w:rtl/>
        </w:rPr>
        <w:t xml:space="preserve">قياس أول على القاعدة وحدها (2026-10-21، ADR 0036، docs/40):</w:t>
      </w:r>
    </w:p>
    <w:p>
      <w:pPr>
        <w:pStyle w:val="ListParagraph"/>
        <w:numPr>
          <w:ilvl w:val="1"/>
          <w:numId w:val="2"/>
        </w:numPr>
        <w:bidi/>
        <w:spacing w:after="70" w:before="0" w:line="300"/>
      </w:pPr>
      <w:r>
        <w:rPr>
          <w:rFonts w:ascii="Arial" w:cs="Arial" w:eastAsia="Arial" w:hAnsi="Arial"/>
          <w:b w:val="false"/>
          <w:bCs w:val="false"/>
          <w:sz w:val="21"/>
          <w:szCs w:val="21"/>
          <w:rtl/>
        </w:rPr>
        <w:t xml:space="preserve">أداة القياس </w:t>
      </w:r>
      <w:r>
        <w:rPr>
          <w:rFonts w:ascii="Courier New" w:cs="Courier New" w:eastAsia="Courier New" w:hAnsi="Courier New"/>
          <w:b w:val="false"/>
          <w:bCs w:val="false"/>
          <w:color w:val="1F2937"/>
          <w:sz w:val="18"/>
          <w:szCs w:val="18"/>
          <w:shd w:fill="F1F3F5" w:color="auto" w:val="clear"/>
          <w:rtl/>
        </w:rPr>
        <w:t xml:space="preserve">‎tools/perf/run_perf.sh‎</w:t>
      </w:r>
      <w:r>
        <w:rPr>
          <w:rFonts w:ascii="Arial" w:cs="Arial" w:eastAsia="Arial" w:hAnsi="Arial"/>
          <w:b w:val="false"/>
          <w:bCs w:val="false"/>
          <w:sz w:val="21"/>
          <w:szCs w:val="21"/>
          <w:rtl/>
        </w:rPr>
        <w:t xml:space="preserve"> تبني قاعدة جديدة ببيانات اصطناعية. حجمها الافتراضي 300 مشترك، منها ثلاثة بأحجام NFR-SCL-02 على جداول المسارات التي تنفّذها القاعدة.</w:t>
      </w:r>
    </w:p>
    <w:p>
      <w:pPr>
        <w:pStyle w:val="ListParagraph"/>
        <w:numPr>
          <w:ilvl w:val="1"/>
          <w:numId w:val="2"/>
        </w:numPr>
        <w:bidi/>
        <w:spacing w:after="70" w:before="0" w:line="300"/>
      </w:pPr>
      <w:r>
        <w:rPr>
          <w:rFonts w:ascii="Arial" w:cs="Arial" w:eastAsia="Arial" w:hAnsi="Arial"/>
          <w:b w:val="false"/>
          <w:bCs w:val="false"/>
          <w:sz w:val="21"/>
          <w:szCs w:val="21"/>
          <w:rtl/>
        </w:rPr>
        <w:t xml:space="preserve">تقيس ربط الجلسة (NFR-PERF-06)، وما تقرؤه الشاشات، والكتابات، والمهام، ونافذة النشر.</w:t>
      </w:r>
    </w:p>
    <w:p>
      <w:pPr>
        <w:pStyle w:val="ListParagraph"/>
        <w:numPr>
          <w:ilvl w:val="1"/>
          <w:numId w:val="2"/>
        </w:numPr>
        <w:bidi/>
        <w:spacing w:after="70" w:before="0" w:line="300"/>
      </w:pPr>
      <w:r>
        <w:rPr>
          <w:rFonts w:ascii="Arial" w:cs="Arial" w:eastAsia="Arial" w:hAnsi="Arial"/>
          <w:b w:val="false"/>
          <w:bCs w:val="false"/>
          <w:sz w:val="21"/>
          <w:szCs w:val="21"/>
          <w:rtl/>
        </w:rPr>
        <w:t xml:space="preserve">جرى القياس الأول في حاوية بأربعة معالجات و15 غيغابايت، لا في بيئة الإنتاج، فأرقامه دلالية. وتُعاد الأداة نفسها في بيئة DQ-B03-9.</w:t>
      </w:r>
    </w:p>
    <w:p>
      <w:pPr>
        <w:pStyle w:val="ListParagraph"/>
        <w:numPr>
          <w:ilvl w:val="1"/>
          <w:numId w:val="2"/>
        </w:numPr>
        <w:bidi/>
        <w:spacing w:after="70" w:before="0" w:line="300"/>
      </w:pPr>
      <w:r>
        <w:rPr>
          <w:rFonts w:ascii="Arial" w:cs="Arial" w:eastAsia="Arial" w:hAnsi="Arial"/>
          <w:b w:val="false"/>
          <w:bCs w:val="false"/>
          <w:sz w:val="21"/>
          <w:szCs w:val="21"/>
          <w:rtl/>
        </w:rPr>
        <w:t xml:space="preserve">وجزء الخادم من NFR-PERF-01 يقاس مع طبقة الخدمة.</w:t>
      </w:r>
    </w:p>
    <w:p>
      <w:pPr>
        <w:bidi/>
        <w:spacing w:after="60" w:before="0"/>
      </w:pPr>
    </w:p>
    <w:p>
      <w:pPr>
        <w:pStyle w:val="Heading1"/>
        <w:bidi/>
      </w:pPr>
      <w:bookmarkStart w:name="_sec3" w:id="3"/>
      <w:r>
        <w:rPr>
          <w:rFonts w:ascii="Arial" w:cs="Arial" w:eastAsia="Arial" w:hAnsi="Arial"/>
          <w:b/>
          <w:bCs/>
          <w:color w:val="1F3A5F"/>
          <w:sz w:val="32"/>
          <w:szCs w:val="32"/>
          <w:rtl/>
        </w:rPr>
        <w:t xml:space="preserve">3. التوفر (NFR-AVL)</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1"/>
        <w:bidi/>
      </w:pPr>
      <w:bookmarkStart w:name="_sec4" w:id="4"/>
      <w:r>
        <w:rPr>
          <w:rFonts w:ascii="Arial" w:cs="Arial" w:eastAsia="Arial" w:hAnsi="Arial"/>
          <w:b/>
          <w:bCs/>
          <w:color w:val="1F3A5F"/>
          <w:sz w:val="32"/>
          <w:szCs w:val="32"/>
          <w:rtl/>
        </w:rPr>
        <w:t xml:space="preserve">4. التعافي (NFR-REC)</w:t>
      </w:r>
      <w:bookmarkEnd w:id="4"/>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1"/>
        <w:bidi/>
      </w:pPr>
      <w:bookmarkStart w:name="_sec5" w:id="5"/>
      <w:r>
        <w:rPr>
          <w:rFonts w:ascii="Arial" w:cs="Arial" w:eastAsia="Arial" w:hAnsi="Arial"/>
          <w:b/>
          <w:bCs/>
          <w:color w:val="1F3A5F"/>
          <w:sz w:val="32"/>
          <w:szCs w:val="32"/>
          <w:rtl/>
        </w:rPr>
        <w:t xml:space="preserve">5. الأمن (NFR-SEC، ويحل محل DOC-S14)</w:t>
      </w:r>
      <w:bookmarkEnd w:id="5"/>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1"/>
        <w:bidi/>
      </w:pPr>
      <w:bookmarkStart w:name="_sec6" w:id="6"/>
      <w:r>
        <w:rPr>
          <w:rFonts w:ascii="Arial" w:cs="Arial" w:eastAsia="Arial" w:hAnsi="Arial"/>
          <w:b/>
          <w:bCs/>
          <w:color w:val="1F3A5F"/>
          <w:sz w:val="32"/>
          <w:szCs w:val="32"/>
          <w:rtl/>
        </w:rPr>
        <w:t xml:space="preserve">6. قابلية التوسع (NFR-SCL)</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7. إمكانية الوصول (NFR-ACC)</w:t>
      </w:r>
      <w:bookmarkEnd w:id="7"/>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التشغيل (NFR-OPS)</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اللغة والتوطين (NFR-I18N)</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10. التحقق بحسب الشريحة</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القاعدة من زمن الشاشة في NFR-PERF-01</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200 مللي ثانية في p95 لما تقرؤه الشاشة من القاعدة، أي عُشر الثانيتين، والباقي للخدمة والشبكة والعرض. يستعمله تقرير القياس هدفًا (docs/40)</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قائد قاعدة البيانات</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ميزانية الاستعلامات</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3"/>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3"/>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3"/>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9685153b6c403ece7a2b9fb221acc7809d41d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DOC-B03 — مواصفة المتطلبات غير الوظيفية</dc:title>
  <dc:creator>Claude</dc:creator>
  <dc:description>BankFas database design document</dc:description>
  <cp:lastModifiedBy>Un-named</cp:lastModifiedBy>
  <cp:revision>1</cp:revision>
  <dcterms:created xsi:type="dcterms:W3CDTF">2026-10-21T12:12:47.935Z</dcterms:created>
  <dcterms:modified xsi:type="dcterms:W3CDTF">2026-10-21T12:12:47.935Z</dcterms:modified>
</cp:coreProperties>
</file>

<file path=docProps/custom.xml><?xml version="1.0" encoding="utf-8"?>
<Properties xmlns="http://schemas.openxmlformats.org/officeDocument/2006/custom-properties" xmlns:vt="http://schemas.openxmlformats.org/officeDocument/2006/docPropsVTypes"/>
</file>