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DOC-B11 — مواصفة البيئات والبناء والإصدار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../.github/workflows/treasury-db-ci.yml (جذر المستودع)،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البيئات</w:t>
        </w:r>
      </w:hyperlink>
    </w:p>
    <w:p>
      <w:pPr>
        <w:bidi/>
        <w:spacing w:after="50" w:before="0"/>
        <w:ind w:left="0"/>
      </w:pPr>
      <w:hyperlink w:history="1" w:anchor="_sec3">
        <w:r>
          <w:rPr>
            <w:rFonts w:ascii="Arial" w:cs="Arial" w:eastAsia="Arial" w:hAnsi="Arial"/>
            <w:b/>
            <w:bCs/>
            <w:color w:val="1F3A5F"/>
            <w:sz w:val="20"/>
            <w:szCs w:val="20"/>
            <w:rtl/>
          </w:rPr>
          <w:t xml:space="preserve">3. ما يعمل أين</w:t>
        </w:r>
      </w:hyperlink>
    </w:p>
    <w:p>
      <w:pPr>
        <w:bidi/>
        <w:spacing w:after="50" w:before="0"/>
        <w:ind w:left="0"/>
      </w:pPr>
      <w:hyperlink w:history="1" w:anchor="_sec4">
        <w:r>
          <w:rPr>
            <w:rFonts w:ascii="Arial" w:cs="Arial" w:eastAsia="Arial" w:hAnsi="Arial"/>
            <w:b/>
            <w:bCs/>
            <w:color w:val="1F3A5F"/>
            <w:sz w:val="20"/>
            <w:szCs w:val="20"/>
            <w:rtl/>
          </w:rPr>
          <w:t xml:space="preserve">4. التفرّع والإصدارات</w:t>
        </w:r>
      </w:hyperlink>
    </w:p>
    <w:p>
      <w:pPr>
        <w:bidi/>
        <w:spacing w:after="50" w:before="0"/>
        <w:ind w:left="0"/>
      </w:pPr>
      <w:hyperlink w:history="1" w:anchor="_sec8">
        <w:r>
          <w:rPr>
            <w:rFonts w:ascii="Arial" w:cs="Arial" w:eastAsia="Arial" w:hAnsi="Arial"/>
            <w:b/>
            <w:bCs/>
            <w:color w:val="1F3A5F"/>
            <w:sz w:val="20"/>
            <w:szCs w:val="20"/>
            <w:rtl/>
          </w:rPr>
          <w:t xml:space="preserve">5. خط البناء</w:t>
        </w:r>
      </w:hyperlink>
    </w:p>
    <w:p>
      <w:pPr>
        <w:bidi/>
        <w:spacing w:after="50" w:before="0"/>
        <w:ind w:left="0"/>
      </w:pPr>
      <w:hyperlink w:history="1" w:anchor="_sec12">
        <w:r>
          <w:rPr>
            <w:rFonts w:ascii="Arial" w:cs="Arial" w:eastAsia="Arial" w:hAnsi="Arial"/>
            <w:b/>
            <w:bCs/>
            <w:color w:val="1F3A5F"/>
            <w:sz w:val="20"/>
            <w:szCs w:val="20"/>
            <w:rtl/>
          </w:rPr>
          <w:t xml:space="preserve">6. استراتيجية ترحيل القاعدة</w:t>
        </w:r>
      </w:hyperlink>
    </w:p>
    <w:p>
      <w:pPr>
        <w:bidi/>
        <w:spacing w:after="50" w:before="0"/>
        <w:ind w:left="0"/>
      </w:pPr>
      <w:hyperlink w:history="1" w:anchor="_sec17">
        <w:r>
          <w:rPr>
            <w:rFonts w:ascii="Arial" w:cs="Arial" w:eastAsia="Arial" w:hAnsi="Arial"/>
            <w:b/>
            <w:bCs/>
            <w:color w:val="1F3A5F"/>
            <w:sz w:val="20"/>
            <w:szCs w:val="20"/>
            <w:rtl/>
          </w:rPr>
          <w:t xml:space="preserve">7. بوابات الإصدار</w:t>
        </w:r>
      </w:hyperlink>
    </w:p>
    <w:p>
      <w:pPr>
        <w:bidi/>
        <w:spacing w:after="50" w:before="0"/>
        <w:ind w:left="0"/>
      </w:pPr>
      <w:hyperlink w:history="1" w:anchor="_sec18">
        <w:r>
          <w:rPr>
            <w:rFonts w:ascii="Arial" w:cs="Arial" w:eastAsia="Arial" w:hAnsi="Arial"/>
            <w:b/>
            <w:bCs/>
            <w:color w:val="1F3A5F"/>
            <w:sz w:val="20"/>
            <w:szCs w:val="20"/>
            <w:rtl/>
          </w:rPr>
          <w:t xml:space="preserve">8. التراجع</w:t>
        </w:r>
      </w:hyperlink>
    </w:p>
    <w:p>
      <w:pPr>
        <w:bidi/>
        <w:spacing w:after="50" w:before="0"/>
        <w:ind w:left="0"/>
      </w:pPr>
      <w:hyperlink w:history="1" w:anchor="_sec19">
        <w:r>
          <w:rPr>
            <w:rFonts w:ascii="Arial" w:cs="Arial" w:eastAsia="Arial" w:hAnsi="Arial"/>
            <w:b/>
            <w:bCs/>
            <w:color w:val="1F3A5F"/>
            <w:sz w:val="20"/>
            <w:szCs w:val="20"/>
            <w:rtl/>
          </w:rPr>
          <w:t xml:space="preserve">9. الإعدادات والأسرار لكل بيئة</w:t>
        </w:r>
      </w:hyperlink>
    </w:p>
    <w:p>
      <w:pPr>
        <w:bidi/>
        <w:spacing w:after="50" w:before="0"/>
        <w:ind w:left="0"/>
      </w:pPr>
      <w:hyperlink w:history="1" w:anchor="_sec20">
        <w:r>
          <w:rPr>
            <w:rFonts w:ascii="Arial" w:cs="Arial" w:eastAsia="Arial" w:hAnsi="Arial"/>
            <w:b/>
            <w:bCs/>
            <w:color w:val="1F3A5F"/>
            <w:sz w:val="20"/>
            <w:szCs w:val="20"/>
            <w:rtl/>
          </w:rPr>
          <w:t xml:space="preserve">10. البيانات في البيئات غير الإنتاجية</w:t>
        </w:r>
      </w:hyperlink>
    </w:p>
    <w:p>
      <w:pPr>
        <w:bidi/>
        <w:spacing w:after="50" w:before="0"/>
        <w:ind w:left="0"/>
      </w:pPr>
      <w:hyperlink w:history="1" w:anchor="_sec21">
        <w:r>
          <w:rPr>
            <w:rFonts w:ascii="Arial" w:cs="Arial" w:eastAsia="Arial" w:hAnsi="Arial"/>
            <w:b/>
            <w:bCs/>
            <w:color w:val="1F3A5F"/>
            <w:sz w:val="20"/>
            <w:szCs w:val="20"/>
            <w:rtl/>
          </w:rPr>
          <w:t xml:space="preserve">11. حزمة النشر القابلة للنقل</w:t>
        </w:r>
      </w:hyperlink>
    </w:p>
    <w:p>
      <w:pPr>
        <w:bidi/>
        <w:spacing w:after="50" w:before="0"/>
        <w:ind w:left="0"/>
      </w:pPr>
      <w:hyperlink w:history="1" w:anchor="_sec22">
        <w:r>
          <w:rPr>
            <w:rFonts w:ascii="Arial" w:cs="Arial" w:eastAsia="Arial" w:hAnsi="Arial"/>
            <w:b/>
            <w:bCs/>
            <w:color w:val="1F3A5F"/>
            <w:sz w:val="20"/>
            <w:szCs w:val="20"/>
            <w:rtl/>
          </w:rPr>
          <w:t xml:space="preserve">12.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13.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14.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1"/>
        <w:bidi/>
      </w:pPr>
      <w:bookmarkStart w:name="_sec2" w:id="2"/>
      <w:r>
        <w:rPr>
          <w:rFonts w:ascii="Arial" w:cs="Arial" w:eastAsia="Arial" w:hAnsi="Arial"/>
          <w:b/>
          <w:bCs/>
          <w:color w:val="1F3A5F"/>
          <w:sz w:val="32"/>
          <w:szCs w:val="32"/>
          <w:rtl/>
        </w:rPr>
        <w:t xml:space="preserve">2. البيئات</w:t>
      </w:r>
      <w:bookmarkEnd w:id="2"/>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006"/>
        <w:gridCol w:w="6044"/>
        <w:gridCol w:w="938"/>
        <w:gridCol w:w="938"/>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6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في جذر المستودع (../.github/workflows/treasury-db-ci.yml:3-5، 32-37)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يعمل على GitHub ويمر منذ 2026-10-12 (https://github.com/thawrasy/smartlines/actions/runs/38283663041)، وtools/ci/db_ci.sh يمر كاملًا في حاوية التطوير أيضًا (O-02، tools/dbgen/erd_open_items.py:22)</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90500"/>
                    </a:xfrm>
                    <a:prstGeom prst="rect">
                      <a:avLst/>
                    </a:prstGeom>
                  </pic:spPr>
                </pic:pic>
              </a:graphicData>
            </a:graphic>
          </wp:inline>
        </w:drawing>
      </w:r>
    </w:p>
    <w:p>
      <w:pPr>
        <w:pStyle w:val="Heading1"/>
        <w:bidi/>
      </w:pPr>
      <w:bookmarkStart w:name="_sec3" w:id="3"/>
      <w:r>
        <w:rPr>
          <w:rFonts w:ascii="Arial" w:cs="Arial" w:eastAsia="Arial" w:hAnsi="Arial"/>
          <w:b/>
          <w:bCs/>
          <w:color w:val="1F3A5F"/>
          <w:sz w:val="32"/>
          <w:szCs w:val="32"/>
          <w:rtl/>
        </w:rPr>
        <w:t xml:space="preserve">3. ما يعمل أين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(tools/ci/db_ci.sh:54)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التفرّع والإصدارات</w:t>
      </w:r>
      <w:bookmarkEnd w:id="4"/>
    </w:p>
    <w:p>
      <w:pPr>
        <w:pStyle w:val="Heading2"/>
        <w:bidi/>
      </w:pPr>
      <w:bookmarkStart w:name="_sec5" w:id="5"/>
      <w:r>
        <w:rPr>
          <w:rFonts w:ascii="Arial" w:cs="Arial" w:eastAsia="Arial" w:hAnsi="Arial"/>
          <w:b/>
          <w:bCs/>
          <w:color w:val="2B5C8A"/>
          <w:sz w:val="26"/>
          <w:szCs w:val="26"/>
          <w:rtl/>
        </w:rPr>
        <w:t xml:space="preserve">4.1 التفرّع </w:t>
      </w:r>
      <w:r>
        <w:rPr>
          <w:rFonts w:ascii="Arial" w:cs="Arial" w:eastAsia="Arial" w:hAnsi="Arial"/>
          <w:color w:val="E0A800"/>
          <w:sz w:val="26"/>
          <w:szCs w:val="26"/>
          <w:rtl/>
        </w:rPr>
        <w:t xml:space="preserve">●</w:t>
      </w:r>
      <w:bookmarkEnd w:id="5"/>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(../.github/workflows/treasury-db-ci.yml:9، جذر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2"/>
        <w:bidi/>
      </w:pPr>
      <w:bookmarkStart w:name="_sec6" w:id="6"/>
      <w:r>
        <w:rPr>
          <w:rFonts w:ascii="Arial" w:cs="Arial" w:eastAsia="Arial" w:hAnsi="Arial"/>
          <w:b/>
          <w:bCs/>
          <w:color w:val="2B5C8A"/>
          <w:sz w:val="26"/>
          <w:szCs w:val="26"/>
          <w:rtl/>
        </w:rPr>
        <w:t xml:space="preserve">4.2 ترقيم الإصدارات </w:t>
      </w:r>
      <w:r>
        <w:rPr>
          <w:rFonts w:ascii="Arial" w:cs="Arial" w:eastAsia="Arial" w:hAnsi="Arial"/>
          <w:color w:val="E0A800"/>
          <w:sz w:val="26"/>
          <w:szCs w:val="26"/>
          <w:rtl/>
        </w:rPr>
        <w:t xml:space="preserve">●</w:t>
      </w:r>
      <w:bookmarkEnd w:id="6"/>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2"/>
        <w:bidi/>
      </w:pPr>
      <w:bookmarkStart w:name="_sec7" w:id="7"/>
      <w:r>
        <w:rPr>
          <w:rFonts w:ascii="Arial" w:cs="Arial" w:eastAsia="Arial" w:hAnsi="Arial"/>
          <w:b/>
          <w:bCs/>
          <w:color w:val="2B5C8A"/>
          <w:sz w:val="26"/>
          <w:szCs w:val="26"/>
          <w:rtl/>
        </w:rPr>
        <w:t xml:space="preserve">4.3 سجل الإصدارات (FR-PLT-045، البند 1)</w:t>
      </w:r>
      <w:bookmarkEnd w:id="7"/>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لمضيف القاعدة (2026-10-13، docs/adr/0014-deployment-preflight.md):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في جذر هذا المنتج لأن المستودع يضم منتجات أخرى. يسجّل: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Ubuntu 24.04؛</w:t>
      </w:r>
    </w:p>
    <w:p>
      <w:pPr>
        <w:pStyle w:val="ListParagraph"/>
        <w:numPr>
          <w:ilvl w:val="1"/>
          <w:numId w:val="2"/>
        </w:numPr>
        <w:bidi/>
        <w:spacing w:after="70" w:before="0" w:line="300"/>
      </w:pPr>
      <w:r>
        <w:rPr>
          <w:rFonts w:ascii="Arial" w:cs="Arial" w:eastAsia="Arial" w:hAnsi="Arial"/>
          <w:b w:val="false"/>
          <w:bCs w:val="false"/>
          <w:sz w:val="21"/>
          <w:szCs w:val="21"/>
          <w:rtl/>
        </w:rPr>
        <w:t xml:space="preserve">SQL Server 2025 CU9 GDR1 (KB5126967، البناء 17.0.5015.4)؛</w:t>
      </w:r>
    </w:p>
    <w:p>
      <w:pPr>
        <w:pStyle w:val="ListParagraph"/>
        <w:numPr>
          <w:ilvl w:val="1"/>
          <w:numId w:val="2"/>
        </w:numPr>
        <w:bidi/>
        <w:spacing w:after="70" w:before="0" w:line="300"/>
      </w:pPr>
      <w:r>
        <w:rPr>
          <w:rFonts w:ascii="Arial" w:cs="Arial" w:eastAsia="Arial" w:hAnsi="Arial"/>
          <w:b w:val="false"/>
          <w:bCs w:val="false"/>
          <w:sz w:val="21"/>
          <w:szCs w:val="21"/>
          <w:rtl/>
        </w:rPr>
        <w:t xml:space="preserve">صورة CI بالوسم نفسه، ومراجعة أولى بقرار «ترقية».</w:t>
      </w:r>
    </w:p>
    <w:p>
      <w:pPr>
        <w:bidi/>
        <w:spacing w:after="70" w:before="0" w:line="300"/>
        <w:ind w:left="574"/>
      </w:pPr>
      <w:r>
        <w:rPr>
          <w:rFonts w:ascii="Arial" w:cs="Arial" w:eastAsia="Arial" w:hAnsi="Arial"/>
          <w:b w:val="false"/>
          <w:bCs w:val="false"/>
          <w:sz w:val="21"/>
          <w:szCs w:val="21"/>
          <w:rtl/>
        </w:rPr>
        <w:t xml:space="preserve">ويُضاف مضيف التطبيق و.NET و</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حين تُحسم.</w:t>
      </w:r>
    </w:p>
    <w:p>
      <w:pPr>
        <w:bidi/>
        <w:spacing w:after="60" w:before="0"/>
      </w:pPr>
    </w:p>
    <w:p>
      <w:pPr>
        <w:pStyle w:val="Heading1"/>
        <w:bidi/>
      </w:pPr>
      <w:bookmarkStart w:name="_sec8" w:id="8"/>
      <w:r>
        <w:rPr>
          <w:rFonts w:ascii="Arial" w:cs="Arial" w:eastAsia="Arial" w:hAnsi="Arial"/>
          <w:b/>
          <w:bCs/>
          <w:color w:val="1F3A5F"/>
          <w:sz w:val="32"/>
          <w:szCs w:val="32"/>
          <w:rtl/>
        </w:rPr>
        <w:t xml:space="preserve">5. خط البناء</w:t>
      </w:r>
      <w:bookmarkEnd w:id="8"/>
    </w:p>
    <w:p>
      <w:pPr>
        <w:pStyle w:val="Heading2"/>
        <w:bidi/>
      </w:pPr>
      <w:bookmarkStart w:name="_sec9" w:id="9"/>
      <w:r>
        <w:rPr>
          <w:rFonts w:ascii="Arial" w:cs="Arial" w:eastAsia="Arial" w:hAnsi="Arial"/>
          <w:b/>
          <w:bCs/>
          <w:color w:val="2B5C8A"/>
          <w:sz w:val="26"/>
          <w:szCs w:val="26"/>
          <w:rtl/>
        </w:rPr>
        <w:t xml:space="preserve">5.1 خط القاعدة القائم</w:t>
      </w:r>
      <w:bookmarkEnd w:id="9"/>
    </w:p>
    <w:p>
      <w:pPr>
        <w:bidi/>
        <w:spacing w:after="110" w:before="0" w:line="312"/>
      </w:pPr>
      <w:r>
        <w:rPr>
          <w:rFonts w:ascii="Arial" w:cs="Arial" w:eastAsia="Arial" w:hAnsi="Arial"/>
          <w:b w:val="false"/>
          <w:bCs w:val="false"/>
          <w:sz w:val="21"/>
          <w:szCs w:val="21"/>
          <w:rtl/>
        </w:rPr>
        <w:t xml:space="preserve">الخطوات 0 إلى 7 في tools/ci/db_ci.sh، وتفصيلها في DOC-B01 §2.1. ملف الخط في جذر المستودع لأن GitHub يقرأ الخطوط من هناك فقط، ويعمل فقط عند تغيّر treasury-platform/db/ أو tools/dbgen/ أو tools/ci/ أو الملف نفسه، وينفّذ أوامره داخل treasury-platform/ (../.github/workflows/treasury-db-ci.yml:10-20، 26-28). يعمل على GitHub ويمر: أول تشغيل أخضر في 2026-10-12 (https://github.com/thawrasy/smartlines/actions/runs/38283663041) بالخطوات الثماني و6 حالات للمشغّلات و41 للعزل. التشغيل الذي سبقه (38267525934) فشل في الخطوة 3 لأن check_fk_indexes.py يستورد erd_layout.py الذي يستورد PIL، فصار الخط يثبّت pillow==12.3.0 (السطور 57-59) (O-02، tools/dbgen/erd_open_items.py:22؛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الذي يعمل فيها الآن (tools/ci/db_ci.sh:49؛ DQ-B01-3).</w:t>
      </w:r>
    </w:p>
    <w:p>
      <w:pPr>
        <w:pStyle w:val="ListParagraph"/>
        <w:numPr>
          <w:ilvl w:val="0"/>
          <w:numId w:val="3"/>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3"/>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(../.github/workflows/treasury-db-ci.yml:37) ليطابق سجل الإصدارات.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(ADR 0014): </w:t>
      </w:r>
      <w:r>
        <w:rPr>
          <w:rFonts w:ascii="Courier New" w:cs="Courier New" w:eastAsia="Courier New" w:hAnsi="Courier New"/>
          <w:b w:val="false"/>
          <w:bCs w:val="false"/>
          <w:color w:val="1F2937"/>
          <w:sz w:val="18"/>
          <w:szCs w:val="18"/>
          <w:shd w:fill="F1F3F5" w:color="auto" w:val="clear"/>
          <w:rtl/>
        </w:rPr>
        <w:t xml:space="preserve">‎2025-CU9-GDR1-ubuntu-24.04‎</w:t>
      </w:r>
      <w:r>
        <w:rPr>
          <w:rFonts w:ascii="Arial" w:cs="Arial" w:eastAsia="Arial" w:hAnsi="Arial"/>
          <w:b w:val="false"/>
          <w:bCs w:val="false"/>
          <w:sz w:val="21"/>
          <w:szCs w:val="21"/>
          <w:rtl/>
        </w:rPr>
        <w:t xml:space="preserve">، والخطوة 3 تفشل إن اختلف عن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2"/>
        <w:bidi/>
      </w:pPr>
      <w:bookmarkStart w:name="_sec10" w:id="10"/>
      <w:r>
        <w:rPr>
          <w:rFonts w:ascii="Arial" w:cs="Arial" w:eastAsia="Arial" w:hAnsi="Arial"/>
          <w:b/>
          <w:bCs/>
          <w:color w:val="2B5C8A"/>
          <w:sz w:val="26"/>
          <w:szCs w:val="26"/>
          <w:rtl/>
        </w:rPr>
        <w:t xml:space="preserve">5.2 خط التطبيق </w:t>
      </w:r>
      <w:r>
        <w:rPr>
          <w:rFonts w:ascii="Arial" w:cs="Arial" w:eastAsia="Arial" w:hAnsi="Arial"/>
          <w:color w:val="E0A800"/>
          <w:sz w:val="26"/>
          <w:szCs w:val="26"/>
          <w:rtl/>
        </w:rPr>
        <w:t xml:space="preserve">●</w:t>
      </w:r>
      <w:bookmarkEnd w:id="10"/>
    </w:p>
    <w:p>
      <w:pPr>
        <w:keepNext/>
        <w:bidi/>
        <w:spacing w:after="60" w:before="160"/>
        <w:jc w:val="center"/>
      </w:pPr>
      <w:r>
        <w:drawing>
          <wp:inline distT="0" distB="0" distL="0" distR="0">
            <wp:extent cx="200977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5.3 المهمة الأسبوعية (FR-PLT-045، البند 3)</w:t>
      </w:r>
      <w:bookmarkEnd w:id="11"/>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1"/>
        <w:bidi/>
      </w:pPr>
      <w:bookmarkStart w:name="_sec12" w:id="12"/>
      <w:r>
        <w:rPr>
          <w:rFonts w:ascii="Arial" w:cs="Arial" w:eastAsia="Arial" w:hAnsi="Arial"/>
          <w:b/>
          <w:bCs/>
          <w:color w:val="1F3A5F"/>
          <w:sz w:val="32"/>
          <w:szCs w:val="32"/>
          <w:rtl/>
        </w:rPr>
        <w:t xml:space="preserve">6. استراتيجية ترحيل القاعدة</w:t>
      </w:r>
      <w:bookmarkEnd w:id="12"/>
    </w:p>
    <w:p>
      <w:pPr>
        <w:pStyle w:val="Heading2"/>
        <w:bidi/>
      </w:pPr>
      <w:bookmarkStart w:name="_sec13" w:id="13"/>
      <w:r>
        <w:rPr>
          <w:rFonts w:ascii="Arial" w:cs="Arial" w:eastAsia="Arial" w:hAnsi="Arial"/>
          <w:b/>
          <w:bCs/>
          <w:color w:val="2B5C8A"/>
          <w:sz w:val="26"/>
          <w:szCs w:val="26"/>
          <w:rtl/>
        </w:rPr>
        <w:t xml:space="preserve">6.1 الوضع اليوم</w:t>
      </w:r>
      <w:bookmarkEnd w:id="13"/>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وثيقة القاعدة تقر بأنه «لا يوجد بعدُ مسار ترحيل بين الإصدارات» (docs/20-database-design.md:452)، وتقترح أداة ترحيل مثل DbUp أو Flyway عند أول نشر على بيانات حقيقية (O-2 في 20-database-design، السطر 530).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2"/>
        <w:bidi/>
      </w:pPr>
      <w:bookmarkStart w:name="_sec14" w:id="14"/>
      <w:r>
        <w:rPr>
          <w:rFonts w:ascii="Arial" w:cs="Arial" w:eastAsia="Arial" w:hAnsi="Arial"/>
          <w:b/>
          <w:bCs/>
          <w:color w:val="2B5C8A"/>
          <w:sz w:val="26"/>
          <w:szCs w:val="26"/>
          <w:rtl/>
        </w:rPr>
        <w:t xml:space="preserve">6.2 المقترح </w:t>
      </w:r>
      <w:r>
        <w:rPr>
          <w:rFonts w:ascii="Arial" w:cs="Arial" w:eastAsia="Arial" w:hAnsi="Arial"/>
          <w:color w:val="E0A800"/>
          <w:sz w:val="26"/>
          <w:szCs w:val="26"/>
          <w:rtl/>
        </w:rPr>
        <w:t xml:space="preserve">●</w:t>
      </w:r>
      <w:bookmarkEnd w:id="14"/>
    </w:p>
    <w:p>
      <w:pPr>
        <w:pStyle w:val="ListParagraph"/>
        <w:numPr>
          <w:ilvl w:val="0"/>
          <w:numId w:val="4"/>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4"/>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4"/>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4"/>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w:t>
      </w:r>
    </w:p>
    <w:p>
      <w:pPr>
        <w:pStyle w:val="ListParagraph"/>
        <w:numPr>
          <w:ilvl w:val="0"/>
          <w:numId w:val="4"/>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4"/>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4"/>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4"/>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2"/>
        <w:bidi/>
      </w:pPr>
      <w:bookmarkStart w:name="_sec15" w:id="15"/>
      <w:r>
        <w:rPr>
          <w:rFonts w:ascii="Arial" w:cs="Arial" w:eastAsia="Arial" w:hAnsi="Arial"/>
          <w:b/>
          <w:bCs/>
          <w:color w:val="2B5C8A"/>
          <w:sz w:val="26"/>
          <w:szCs w:val="26"/>
          <w:rtl/>
        </w:rPr>
        <w:t xml:space="preserve">6.3 فحص التكافؤ في CI </w:t>
      </w:r>
      <w:r>
        <w:rPr>
          <w:rFonts w:ascii="Arial" w:cs="Arial" w:eastAsia="Arial" w:hAnsi="Arial"/>
          <w:color w:val="E0A800"/>
          <w:sz w:val="26"/>
          <w:szCs w:val="26"/>
          <w:rtl/>
        </w:rPr>
        <w:t xml:space="preserve">●</w:t>
      </w:r>
      <w:bookmarkEnd w:id="15"/>
    </w:p>
    <w:p>
      <w:pPr>
        <w:keepNext/>
        <w:bidi/>
        <w:spacing w:after="60" w:before="160"/>
        <w:jc w:val="center"/>
      </w:pPr>
      <w:r>
        <w:drawing>
          <wp:inline distT="0" distB="0" distL="0" distR="0">
            <wp:extent cx="6096000" cy="78200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2"/>
        <w:bidi/>
      </w:pPr>
      <w:bookmarkStart w:name="_sec16" w:id="16"/>
      <w:r>
        <w:rPr>
          <w:rFonts w:ascii="Arial" w:cs="Arial" w:eastAsia="Arial" w:hAnsi="Arial"/>
          <w:b/>
          <w:bCs/>
          <w:color w:val="2B5C8A"/>
          <w:sz w:val="26"/>
          <w:szCs w:val="26"/>
          <w:rtl/>
        </w:rPr>
        <w:t xml:space="preserve">6.4 ما بُني في 2026-10-21 (ADR 0034) </w:t>
      </w:r>
      <w:r>
        <w:rPr>
          <w:rFonts w:ascii="Segoe UI Emoji" w:cs="Segoe UI Emoji" w:eastAsia="Segoe UI Emoji" w:hAnsi="Segoe UI Emoji"/>
          <w:sz w:val="26"/>
          <w:szCs w:val="26"/>
          <w:rtl/>
        </w:rPr>
        <w:t xml:space="preserve">✅</w:t>
      </w:r>
      <w:bookmarkEnd w:id="16"/>
    </w:p>
    <w:p>
      <w:pPr>
        <w:bidi/>
        <w:spacing w:after="110" w:before="0" w:line="312"/>
      </w:pPr>
      <w:r>
        <w:rPr>
          <w:rFonts w:ascii="Arial" w:cs="Arial" w:eastAsia="Arial" w:hAnsi="Arial"/>
          <w:b w:val="false"/>
          <w:bCs w:val="false"/>
          <w:sz w:val="21"/>
          <w:szCs w:val="21"/>
          <w:rtl/>
        </w:rPr>
        <w:t xml:space="preserve">بُني المقترح في §6.2 و§6.3 إلا فحص التكافؤ بين قاعدة جديدة وقاعدة مرقّاة، فهو ينتظر أول سكربت مرقّم.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9"/>
        <w:gridCol w:w="3473"/>
        <w:gridCol w:w="5002"/>
      </w:tblGrid>
      <w:tr>
        <w:trPr>
          <w:cantSplit/>
          <w:tblHeader/>
        </w:trPr>
        <w:tc>
          <w:tcPr>
            <w:tcW w:type="dxa" w:w="1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5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دفتر الترحيلات (§6.2 البند 1 و4)</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سطر لكل خطوة (BASELINE، وكل سكربت مرقّم، وكل تشغيل R للسكربتات المتكررة)، ومعه بصمة SHA-256 للملف، وبصمة المخطط بعد الخطوة، ومن نفّذ، ومتى، وكم استغرق. لا يقرؤه ولا يكتبه أي دور</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ADR 0034</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المخطط (§6.3)</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‎plat.fn_SchemaFingerprint‎</w:t>
            </w:r>
            <w:r>
              <w:rPr>
                <w:rFonts w:ascii="Arial" w:cs="Arial" w:eastAsia="Arial" w:hAnsi="Arial"/>
                <w:b w:val="false"/>
                <w:bCs w:val="false"/>
                <w:sz w:val="18"/>
                <w:szCs w:val="18"/>
                <w:rtl/>
              </w:rPr>
              <w:t xml:space="preserve"> على ثمانية أجزاء مرتبة ثنائيًا: المخططات، والأعمدة، والمفاتيح والقيود، والفهارس، وتعريفات الكائنات البرمجية، والسياسات، والأدوار، ومنح الأدوار. ولا تدخلها حسابات المستخدمين ولا العضوية، لأن حسابات الخدمة تُنشأ بعد النشر وتختلف بين الخوادم عمدًا</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db/static/056_schema_fingerprint.sql</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(§6.2 البند 4)</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بثلاثة أوامر: </w:t>
            </w:r>
            <w:r>
              <w:rPr>
                <w:rFonts w:ascii="Courier New" w:cs="Courier New" w:eastAsia="Courier New" w:hAnsi="Courier New"/>
                <w:b w:val="false"/>
                <w:bCs w:val="false"/>
                <w:color w:val="1F2937"/>
                <w:sz w:val="16"/>
                <w:szCs w:val="16"/>
                <w:shd w:fill="F1F3F5" w:color="auto" w:val="clear"/>
                <w:rtl/>
              </w:rPr>
              <w:t xml:space="preserve">‎baseline‎</w:t>
            </w:r>
            <w:r>
              <w:rPr>
                <w:rFonts w:ascii="Arial" w:cs="Arial" w:eastAsia="Arial" w:hAnsi="Arial"/>
                <w:b w:val="false"/>
                <w:bCs w:val="false"/>
                <w:sz w:val="18"/>
                <w:szCs w:val="18"/>
                <w:rtl/>
              </w:rPr>
              <w:t xml:space="preserve"> (يستدعيه deploy.sh بعد النشر الجديد)،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‎apply‎</w:t>
            </w:r>
            <w:r>
              <w:rPr>
                <w:rFonts w:ascii="Arial" w:cs="Arial" w:eastAsia="Arial" w:hAnsi="Arial"/>
                <w:b w:val="false"/>
                <w:bCs w:val="false"/>
                <w:sz w:val="18"/>
                <w:szCs w:val="18"/>
                <w:rtl/>
              </w:rPr>
              <w:t xml:space="preserve">. كل سكربت مرقّم يُنفَّذ في معاملة واحدة مع سطره في الدفتر، والسكربتات المتكررة (أسطر deploy.sql من 004 فصاعدًا) في معاملة واحدة بعدها. واختير سكربت shell بدل DbUp لأن DbUp يحتاج طبقة الخدمة غير المبنية، ويمكنه أن يحلّ محله على المجلد والدفتر نفسيهما</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tools/deploy/migrate.sh؛ db/migrations/README.md</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دون تغيير</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 أساس؛ أو بصمة المخطط غير بصمة الدفتر (تغيير خارج الدفتر)؛ أو سكربت طُبّق ثم عُدّل أو حُذف؛ أو سكربت جديد رقمه قبل سكربت مطبَّق؛ أو اسم ملف مخالف</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MG5 وMG7</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تشغيل الملفات الثابتة (§6.1)</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كانت لا تُعاد:</w:t>
            </w:r>
            <w:r>
              <w:rPr>
                <w:rFonts w:ascii="Arial" w:cs="Arial" w:eastAsia="Arial" w:hAnsi="Arial"/>
                <w:b w:val="false"/>
                <w:bCs w:val="false"/>
                <w:sz w:val="18"/>
                <w:szCs w:val="18"/>
                <w:rtl/>
              </w:rPr>
              <w:t xml:space="preserve"> توقف 010 لأن دوال المرشّحات مربوطة بالمخطط ببعضها وبالسياسات. صار 010 يحذف السياسات ودواله أولًا ثم ينشئها، ولا ترى أي جلسة جدولًا بلا سياسة لأن التشغيل كله في معاملة واحدة. وأثبت CI أن التشغيل الثاني لا يغيّر البصمة</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MG3</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MG1 إلى MG7 في CI على القاعدة التي ينشرها: تسجيل خط الأساس، ولا شيء معلّق، والإعادة بلا تغيير، وسكربت تجريبي مرة واحدة، والرفض، والتراجع عند الفشل، وإيقاف التغيير خارج الدفتر</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tools/ci/migration_check.sh</w:t>
            </w:r>
          </w:p>
        </w:tc>
      </w:tr>
    </w:tbl>
    <w:p>
      <w:pPr>
        <w:bidi/>
        <w:spacing w:after="120" w:before="0"/>
      </w:pPr>
    </w:p>
    <w:p>
      <w:pPr>
        <w:bidi/>
        <w:spacing w:after="110" w:before="0" w:line="312"/>
      </w:pPr>
      <w:r>
        <w:rPr>
          <w:rFonts w:ascii="Arial" w:cs="Arial" w:eastAsia="Arial" w:hAnsi="Arial"/>
          <w:b/>
          <w:bCs/>
          <w:sz w:val="21"/>
          <w:szCs w:val="21"/>
          <w:rtl/>
        </w:rPr>
        <w:t xml:space="preserve">ما بقي:</w:t>
      </w:r>
      <w:r>
        <w:rPr>
          <w:rFonts w:ascii="Arial" w:cs="Arial" w:eastAsia="Arial" w:hAnsi="Arial"/>
          <w:b w:val="false"/>
          <w:bCs w:val="false"/>
          <w:sz w:val="21"/>
          <w:szCs w:val="21"/>
          <w:rtl/>
        </w:rPr>
        <w:t xml:space="preserve"> فحص التكافؤ في §6.3 (قاعدة جديدة من وسم الإصدار السابق، ثم الترحيلات، ثم المقارنة ببصمة نشر جديد للفرع). يدخل CI مع أول سكربت في db/migrations، والمجلد فارغ اليوم. وبنود §6.2 من 5 إلى 8 (حساب الترحيل، والتوسيع ثم التقليص، وترحيل البيانات، والنسخة قبل الترحيل) قواعد عمل لا أدوات: يطبّقها كاتب كل سكربت.</w:t>
      </w:r>
    </w:p>
    <w:p>
      <w:pPr>
        <w:pStyle w:val="Heading1"/>
        <w:bidi/>
      </w:pPr>
      <w:bookmarkStart w:name="_sec17" w:id="17"/>
      <w:r>
        <w:rPr>
          <w:rFonts w:ascii="Arial" w:cs="Arial" w:eastAsia="Arial" w:hAnsi="Arial"/>
          <w:b/>
          <w:bCs/>
          <w:color w:val="1F3A5F"/>
          <w:sz w:val="32"/>
          <w:szCs w:val="32"/>
          <w:rtl/>
        </w:rPr>
        <w:t xml:space="preserve">7. بوابات الإصدار</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4621"/>
        <w:gridCol w:w="3408"/>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يقارن البناء ونسخة Ubuntu بـ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ويرفض بالخطأ 50143</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41 حالة قاعدة واختبار العبور لكل نقطة API</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8. التراجع</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1"/>
        <w:bidi/>
      </w:pPr>
      <w:bookmarkStart w:name="_sec19" w:id="19"/>
      <w:r>
        <w:rPr>
          <w:rFonts w:ascii="Arial" w:cs="Arial" w:eastAsia="Arial" w:hAnsi="Arial"/>
          <w:b/>
          <w:bCs/>
          <w:color w:val="1F3A5F"/>
          <w:sz w:val="32"/>
          <w:szCs w:val="32"/>
          <w:rtl/>
        </w:rPr>
        <w:t xml:space="preserve">9. الإعدادات والأسرار لكل بيئة</w:t>
      </w:r>
      <w:bookmarkEnd w:id="19"/>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3171"/>
        <w:gridCol w:w="950"/>
        <w:gridCol w:w="1349"/>
        <w:gridCol w:w="3444"/>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(../.github/workflows/treasury-db-ci.yml:41-46)</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في CI حاليًا</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10. البيانات في البيئات غير الإنتاجية</w:t>
      </w:r>
      <w:bookmarkEnd w:id="20"/>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5"/>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5"/>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5"/>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5"/>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5"/>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1"/>
        <w:bidi/>
      </w:pPr>
      <w:bookmarkStart w:name="_sec21" w:id="21"/>
      <w:r>
        <w:rPr>
          <w:rFonts w:ascii="Arial" w:cs="Arial" w:eastAsia="Arial" w:hAnsi="Arial"/>
          <w:b/>
          <w:bCs/>
          <w:color w:val="1F3A5F"/>
          <w:sz w:val="32"/>
          <w:szCs w:val="32"/>
          <w:rtl/>
        </w:rPr>
        <w:t xml:space="preserve">11. حزمة النشر القابلة للنقل</w:t>
      </w:r>
      <w:bookmarkEnd w:id="21"/>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1"/>
        <w:bidi/>
      </w:pPr>
      <w:bookmarkStart w:name="_sec22" w:id="22"/>
      <w:r>
        <w:rPr>
          <w:rFonts w:ascii="Arial" w:cs="Arial" w:eastAsia="Arial" w:hAnsi="Arial"/>
          <w:b/>
          <w:bCs/>
          <w:color w:val="1F3A5F"/>
          <w:sz w:val="32"/>
          <w:szCs w:val="32"/>
          <w:rtl/>
        </w:rPr>
        <w:t xml:space="preserve">12.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DbUp، ويُعتمد قبل أول نشر على UAT</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منفّذ في جذر المنتج </w:t>
            </w:r>
            <w:r>
              <w:rPr>
                <w:rFonts w:ascii="Courier New" w:cs="Courier New" w:eastAsia="Courier New" w:hAnsi="Courier New"/>
                <w:b w:val="false"/>
                <w:bCs w:val="false"/>
                <w:color w:val="1F2937"/>
                <w:sz w:val="16"/>
                <w:szCs w:val="16"/>
                <w:shd w:fill="F1F3F5" w:color="auto" w:val="clear"/>
                <w:rtl/>
              </w:rPr>
              <w:t xml:space="preserve">‎treasury-platform/‎</w:t>
            </w:r>
            <w:r>
              <w:rPr>
                <w:rFonts w:ascii="Arial" w:cs="Arial" w:eastAsia="Arial" w:hAnsi="Arial"/>
                <w:b w:val="false"/>
                <w:bCs w:val="false"/>
                <w:sz w:val="18"/>
                <w:szCs w:val="18"/>
                <w:rtl/>
              </w:rPr>
              <w:t xml:space="preserve"> لمضيف القاعدة (ADR 0014)؛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مع كود التطبيق</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13. تعارضات وفجوات في المصادر</w:t>
      </w:r>
      <w:bookmarkEnd w:id="23"/>
    </w:p>
    <w:p>
      <w:pPr>
        <w:pStyle w:val="ListParagraph"/>
        <w:numPr>
          <w:ilvl w:val="0"/>
          <w:numId w:val="6"/>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../.github/workflows/treasury-db-ci.yml:37 متحرك، والبند 4 من FR-PLT-045 يمنع النشر بإصدار SQL Server مخالف للسجل؛ فما يختبره CI قد يختلف عما يُنشر.</w:t>
      </w:r>
    </w:p>
    <w:p>
      <w:pPr>
        <w:pStyle w:val="ListParagraph"/>
        <w:numPr>
          <w:ilvl w:val="0"/>
          <w:numId w:val="6"/>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فوصف docs/30-readiness-documents.md:424 للخط بأنه «يعمل على main وclaude/**» صار صحيحًا (O-02، tools/dbgen/erd_open_items.py:22). والسجل يسمّي الآن الملف الصحيح ../.github/workflows/treasury-db-ci.yml (جذر المستودع).</w:t>
      </w:r>
    </w:p>
    <w:p>
      <w:pPr>
        <w:bidi/>
        <w:spacing w:after="60" w:before="0"/>
      </w:pPr>
    </w:p>
    <w:p>
      <w:pPr>
        <w:pStyle w:val="Heading1"/>
        <w:bidi/>
      </w:pPr>
      <w:bookmarkStart w:name="_sec24" w:id="24"/>
      <w:r>
        <w:rPr>
          <w:rFonts w:ascii="Arial" w:cs="Arial" w:eastAsia="Arial" w:hAnsi="Arial"/>
          <w:b/>
          <w:bCs/>
          <w:color w:val="1F3A5F"/>
          <w:sz w:val="32"/>
          <w:szCs w:val="32"/>
          <w:rtl/>
        </w:rPr>
        <w:t xml:space="preserve">14.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../.github/workflows/treasury-db-ci.yml (جذر المستودع)</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DOC-B11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f3dc959156772b35bb1ceeb2523d896c0117663.png"/><Relationship Id="rId10" Type="http://schemas.openxmlformats.org/officeDocument/2006/relationships/image" Target="media/e94ebe6c4db9727b68f1ee4a9286f616440483e7.png"/><Relationship Id="rId11" Type="http://schemas.openxmlformats.org/officeDocument/2006/relationships/image" Target="media/64132523d7b28330b4d50eb997125b9cdc13bfb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DOC-B11 — مواصفة البيئات والبناء والإصدار</dc:title>
  <dc:creator>Claude</dc:creator>
  <dc:description>BankFas database design document</dc:description>
  <cp:lastModifiedBy>Un-named</cp:lastModifiedBy>
  <cp:revision>1</cp:revision>
  <dcterms:created xsi:type="dcterms:W3CDTF">2026-10-21T12:13:20.545Z</dcterms:created>
  <dcterms:modified xsi:type="dcterms:W3CDTF">2026-10-21T12:13:20.545Z</dcterms:modified>
</cp:coreProperties>
</file>

<file path=docProps/custom.xml><?xml version="1.0" encoding="utf-8"?>
<Properties xmlns="http://schemas.openxmlformats.org/officeDocument/2006/custom-properties" xmlns:vt="http://schemas.openxmlformats.org/officeDocument/2006/docPropsVTypes"/>
</file>