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</w:pPr>
      <w:r>
        <w:rPr>
          <w:rFonts w:ascii="Arial" w:cs="Arial" w:eastAsia="Arial" w:hAnsi="Arial"/>
          <w:b/>
          <w:bCs/>
          <w:color w:val="1F3A5F"/>
          <w:sz w:val="48"/>
          <w:szCs w:val="48"/>
          <w:rtl/>
        </w:rPr>
        <w:t xml:space="preserve">DOC-F01 — مخطط السياق وحدود الثقة (DFD المستوى 0)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8704"/>
      </w:tblGrid>
      <w:tr>
        <w:trPr>
          <w:cantSplit/>
          <w:tblHeader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القيمة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DOC-F01 (docs/30-readiness-documents.md)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الإصدار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0.1 — مسودة للمراجعة — 2026-10-12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المالك المقترح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معماري الحلول مع مسؤول الأمن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الأولوية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P0 قبل S0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يغطي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FR-PLT-005، FR-PLT-006، FR-PLT-007، FR-PLT-011، FR-PLT-013، FR-PLT-027، FR-PLT-036، FR-PLT-037، FR-PLT-041، FR-PLT-042، FR-PLT-046، FR-PLT-047، BR-PLT-001، BR-PLT-015، BR-PLT-017، O-16 وO-17 وO-23 (erd_open_items)، O-12 (20-database-design)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يعتمد على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ADR 0001، ADR 0002. لا يعتمد على وثيقة DOC أخرى؛ تعتمد عليه DOC-F02 وDOC-S01 وDOC-S03 وDOC-S05 وDOC-S08 وDOC-S10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المصادر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docs/adr/0001-schema-work-on-linux.md، docs/adr/0002-login-and-session-bound-context.md، db/deploy.sql، db/static/010_rls.sql، db/static/020_roles_and_grants.sql، db/static/025_tenant_views.sql، db/static/030_session_context.sql، db/generated/tsql/005_delete_grants.sql، db/generated/tsql/006_sensitive_columns.sql، db/generated/tsql/007_table_grants.sql، db/model/10-platform.model، docs/10-detailed-analysis/00-overview-and-cross-cutting.md، docs/10-detailed-analysis/10-m0-m1-platform-organization.md، docs/20-database-design.md، tools/deploy/deploy.sh، tools/ci/db_ci.sh، ../.github/workflows/treasury-db-ci.yml (جذر المستودع)</w:t>
            </w:r>
          </w:p>
        </w:tc>
      </w:tr>
    </w:tbl>
    <w:p>
      <w:pPr>
        <w:bidi/>
        <w:spacing w:after="120" w:before="0"/>
      </w:pPr>
    </w:p>
    <w:p>
      <w:pPr>
        <w:pBdr>
          <w:bottom w:val="single" w:color="1F3A5F" w:sz="8" w:space="4"/>
        </w:pBdr>
        <w:bidi/>
        <w:spacing w:after="100" w:before="280"/>
      </w:pPr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المحتويات</w:t>
      </w:r>
    </w:p>
    <w:p>
      <w:pPr>
        <w:bidi/>
        <w:spacing w:after="50" w:before="0"/>
        <w:ind w:left="0"/>
      </w:pPr>
      <w:hyperlink w:history="1" w:anchor="_sec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1. الغرض والنطاق</w:t>
        </w:r>
      </w:hyperlink>
    </w:p>
    <w:p>
      <w:pPr>
        <w:bidi/>
        <w:spacing w:after="50" w:before="0"/>
        <w:ind w:left="0"/>
      </w:pPr>
      <w:hyperlink w:history="1" w:anchor="_sec2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2. المناطق</w:t>
        </w:r>
      </w:hyperlink>
    </w:p>
    <w:p>
      <w:pPr>
        <w:bidi/>
        <w:spacing w:after="50" w:before="0"/>
        <w:ind w:left="0"/>
      </w:pPr>
      <w:hyperlink w:history="1" w:anchor="_sec3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3. الفاعلون الخارجيون</w:t>
        </w:r>
      </w:hyperlink>
    </w:p>
    <w:p>
      <w:pPr>
        <w:bidi/>
        <w:spacing w:after="50" w:before="0"/>
        <w:ind w:left="0"/>
      </w:pPr>
      <w:hyperlink w:history="1" w:anchor="_sec4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4. مخازن البيانات</w:t>
        </w:r>
      </w:hyperlink>
    </w:p>
    <w:p>
      <w:pPr>
        <w:bidi/>
        <w:spacing w:after="50" w:before="0"/>
        <w:ind w:left="0"/>
      </w:pPr>
      <w:hyperlink w:history="1" w:anchor="_sec5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5. مخطط السياق (DFD المستوى 0)</w:t>
        </w:r>
      </w:hyperlink>
    </w:p>
    <w:p>
      <w:pPr>
        <w:bidi/>
        <w:spacing w:after="50" w:before="0"/>
        <w:ind w:left="0"/>
      </w:pPr>
      <w:hyperlink w:history="1" w:anchor="_sec6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6. حدود الثقة</w:t>
        </w:r>
      </w:hyperlink>
    </w:p>
    <w:p>
      <w:pPr>
        <w:bidi/>
        <w:spacing w:after="50" w:before="0"/>
        <w:ind w:left="0"/>
      </w:pPr>
      <w:hyperlink w:history="1" w:anchor="_sec7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7. حدود القاعدة بالتفصيل (TB-3 إلى TB-7)</w:t>
        </w:r>
      </w:hyperlink>
    </w:p>
    <w:p>
      <w:pPr>
        <w:bidi/>
        <w:spacing w:after="50" w:before="0"/>
        <w:ind w:left="0"/>
      </w:pPr>
      <w:hyperlink w:history="1" w:anchor="_sec8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8. التدفقات</w:t>
        </w:r>
      </w:hyperlink>
    </w:p>
    <w:p>
      <w:pPr>
        <w:bidi/>
        <w:spacing w:after="50" w:before="0"/>
        <w:ind w:left="0"/>
      </w:pPr>
      <w:hyperlink w:history="1" w:anchor="_sec9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9. قواعد استعمال الحدود</w:t>
        </w:r>
      </w:hyperlink>
    </w:p>
    <w:p>
      <w:pPr>
        <w:bidi/>
        <w:spacing w:after="50" w:before="0"/>
        <w:ind w:left="0"/>
      </w:pPr>
      <w:hyperlink w:history="1" w:anchor="_sec10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10. التثبيت المحلي لاحقًا</w:t>
        </w:r>
      </w:hyperlink>
    </w:p>
    <w:p>
      <w:pPr>
        <w:bidi/>
        <w:spacing w:after="50" w:before="0"/>
        <w:ind w:left="0"/>
      </w:pPr>
      <w:hyperlink w:history="1" w:anchor="_sec1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11. فجوات يكشفها المخطط</w:t>
        </w:r>
      </w:hyperlink>
    </w:p>
    <w:p>
      <w:pPr>
        <w:bidi/>
        <w:spacing w:after="50" w:before="0"/>
        <w:ind w:left="0"/>
      </w:pPr>
      <w:hyperlink w:history="1" w:anchor="_sec12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12. القرارات المطلوبة</w:t>
        </w:r>
      </w:hyperlink>
    </w:p>
    <w:p>
      <w:pPr>
        <w:bidi/>
        <w:spacing w:after="50" w:before="0"/>
        <w:ind w:left="0"/>
      </w:pPr>
      <w:hyperlink w:history="1" w:anchor="_sec13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13. تعارضات وفجوات في المصادر</w:t>
        </w:r>
      </w:hyperlink>
    </w:p>
    <w:p>
      <w:pPr>
        <w:bidi/>
        <w:spacing w:after="50" w:before="0"/>
        <w:ind w:left="0"/>
      </w:pPr>
      <w:hyperlink w:history="1" w:anchor="_sec14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14. التتبع</w:t>
        </w:r>
      </w:hyperlink>
    </w:p>
    <w:p>
      <w:r>
        <w:br w:type="page"/>
      </w:r>
    </w:p>
    <w:p>
      <w:pPr>
        <w:pStyle w:val="Heading1"/>
        <w:bidi/>
      </w:pPr>
      <w:bookmarkStart w:name="_sec1" w:id="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1. الغرض والنطاق</w:t>
      </w:r>
      <w:bookmarkEnd w:id="1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يبيّن هذا المستند من يتصل بالمنصة، وعبر أي حد ثقة، وبأي هوية، وما تصنيف البيانات العابرة.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يعرّف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معرّفات حدود الثقة TB-1 إلى TB-13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تستعملها الوثائق الأخرى بنصها. لا يُعاد ترقيم حد؛ الحد الجديد يأخذ الرقم التالي، والحد الملغى يبقى رقمه محجوزًا.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النطاق: المنصة كما تُنشر أول مرة على VPS خاص لدى مزوّد استضافة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(docs/adr/0001-schema-work-on-linux.md:8، :16)، مع حدود محجوزة لما يأتي لاحقًا (ERP، البنوك، مزوّد هوية خارجي).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خارج النطاق، ويُحال إلى مالكه: تسلسل الدخول وMFA (DOC-F03)، ربط السياق لكل اتصال ومهمة (DOC-F04)، شكل الرمز وCSRF وCSP وعنوان IP الموثوق (DOC-S03)، TLS (DOC-S05)، المفاتيح وTDE (DOC-S02)، الحسابات وأسرارها (DOC-S08)، تدفق كل قيمة حساسة (DOC-F02)، التهديدات (DOC-S01).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تعريفات: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حد الثقة (TB):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موضع تتغير عنده الهوية أو الامتياز أو الجهة المالكة للبنية. كل تدفق يعبر حدًا يُصادَق ويُفوَّض عنده.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تصنيف البيانات: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أربعة مستويات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(docs/10-detailed-analysis/10-m0-m1-platform-organization.md:581): عامة، داخلية، سرّية، مقيّدة. وسوم النموذج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‎sens=confidential‎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‎sens=restricted‎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تقابل السرّية والمقيّدة. المعيار التفصيلي في DOC-S06.</w:t>
      </w:r>
    </w:p>
    <w:p>
      <w:pPr>
        <w:bidi/>
        <w:spacing w:after="60" w:before="0"/>
      </w:pPr>
    </w:p>
    <w:p>
      <w:pPr>
        <w:pStyle w:val="Heading1"/>
        <w:bidi/>
      </w:pPr>
      <w:bookmarkStart w:name="_sec2" w:id="2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2. المناطق</w:t>
      </w:r>
      <w:bookmarkEnd w:id="2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"/>
        <w:gridCol w:w="6808"/>
        <w:gridCol w:w="991"/>
        <w:gridCol w:w="1045"/>
      </w:tblGrid>
      <w:tr>
        <w:trPr>
          <w:cantSplit/>
          <w:tblHeader/>
        </w:trPr>
        <w:tc>
          <w:tcPr>
            <w:tcW w:type="dxa" w:w="10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المنطقة</w:t>
            </w:r>
          </w:p>
        </w:tc>
        <w:tc>
          <w:tcPr>
            <w:tcW w:type="dxa" w:w="68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فيها</w:t>
            </w:r>
          </w:p>
        </w:tc>
        <w:tc>
          <w:tcPr>
            <w:tcW w:type="dxa" w:w="9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المالك</w:t>
            </w:r>
          </w:p>
        </w:tc>
        <w:tc>
          <w:tcPr>
            <w:tcW w:type="dxa" w:w="10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الثقة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Z0 الإنترنت والأجهزة</w:t>
            </w:r>
          </w:p>
        </w:tc>
        <w:tc>
          <w:tcPr>
            <w:tcW w:type="dxa" w:w="68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متصفحات المستخدمين والمشغّلين، تطبيق TOTP، صناديق البريد</w:t>
            </w:r>
          </w:p>
        </w:tc>
        <w:tc>
          <w:tcPr>
            <w:tcW w:type="dxa" w:w="9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المستخدم</w:t>
            </w:r>
          </w:p>
        </w:tc>
        <w:tc>
          <w:tcPr>
            <w:tcW w:type="dxa" w:w="10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غير موثوقة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Z1 طبقة التطبيق</w:t>
            </w:r>
          </w:p>
        </w:tc>
        <w:tc>
          <w:tcPr>
            <w:tcW w:type="dxa" w:w="68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ASP.NET Core على .NET </w:t>
            </w: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(D-11؛ 01 §13): تطبيق المشترك (واجهة وAPI)، لوحة المشغّل، المهام الخلفية وموزّع Outbox (docs/10-detailed-analysis/00-overview-and-cross-cutting.md:106-115)</w:t>
            </w:r>
          </w:p>
        </w:tc>
        <w:tc>
          <w:tcPr>
            <w:tcW w:type="dxa" w:w="9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المنصة</w:t>
            </w:r>
          </w:p>
        </w:tc>
        <w:tc>
          <w:tcPr>
            <w:tcW w:type="dxa" w:w="10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موثوقة جزئيًا: تحمل أسرار الاتصال بالقاعدة ومفاتيح البيانات بعد فكها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Z2 طبقة البيانات</w:t>
            </w:r>
          </w:p>
        </w:tc>
        <w:tc>
          <w:tcPr>
            <w:tcW w:type="dxa" w:w="68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SQL Server 2025 على Ubuntu 24.04 LTS </w:t>
            </w: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(docs/adr/0001-schema-work-on-linux.md:16)، قاعدة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‎BankFas‎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(db/deploy.sql:17-18)</w:t>
            </w:r>
          </w:p>
        </w:tc>
        <w:tc>
          <w:tcPr>
            <w:tcW w:type="dxa" w:w="9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المنصة</w:t>
            </w:r>
          </w:p>
        </w:tc>
        <w:tc>
          <w:tcPr>
            <w:tcW w:type="dxa" w:w="10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موثوقة، وداخلها حد امتياز TB-4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Z3 مخزن الملفات</w:t>
            </w:r>
          </w:p>
        </w:tc>
        <w:tc>
          <w:tcPr>
            <w:tcW w:type="dxa" w:w="68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ملفات مشفّرة خارج القاعدة (FR-PLT-027)</w:t>
            </w:r>
          </w:p>
        </w:tc>
        <w:tc>
          <w:tcPr>
            <w:tcW w:type="dxa" w:w="9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المنصة</w:t>
            </w:r>
          </w:p>
        </w:tc>
        <w:tc>
          <w:tcPr>
            <w:tcW w:type="dxa" w:w="10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موثوق للتخزين لا للسرية؛ الملف مشفّر قبل الكتابة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Z4 مزوّد الاستضافة</w:t>
            </w:r>
          </w:p>
        </w:tc>
        <w:tc>
          <w:tcPr>
            <w:tcW w:type="dxa" w:w="68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الطبقة الافتراضية والشبكة والأقراص والنسخ</w:t>
            </w:r>
          </w:p>
        </w:tc>
        <w:tc>
          <w:tcPr>
            <w:tcW w:type="dxa" w:w="9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المزوّد</w:t>
            </w:r>
          </w:p>
        </w:tc>
        <w:tc>
          <w:tcPr>
            <w:tcW w:type="dxa" w:w="10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يُوثق به في التوفر لا في السرية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Z5 خدمات خارجية</w:t>
            </w:r>
          </w:p>
        </w:tc>
        <w:tc>
          <w:tcPr>
            <w:tcW w:type="dxa" w:w="68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مخزن المفاتيح، مرحّل SMTP، ولاحقًا ERP والبنوك ومزوّد الهوية</w:t>
            </w:r>
          </w:p>
        </w:tc>
        <w:tc>
          <w:tcPr>
            <w:tcW w:type="dxa" w:w="9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جهات أخرى</w:t>
            </w:r>
          </w:p>
        </w:tc>
        <w:tc>
          <w:tcPr>
            <w:tcW w:type="dxa" w:w="10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غير موثوقة إلا بالعقد والمصادقة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Z6 الإدارة</w:t>
            </w:r>
          </w:p>
        </w:tc>
        <w:tc>
          <w:tcPr>
            <w:tcW w:type="dxa" w:w="68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مسؤولو الخادم والنشر، وCI</w:t>
            </w:r>
          </w:p>
        </w:tc>
        <w:tc>
          <w:tcPr>
            <w:tcW w:type="dxa" w:w="9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المنصة</w:t>
            </w:r>
          </w:p>
        </w:tc>
        <w:tc>
          <w:tcPr>
            <w:tcW w:type="dxa" w:w="10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موثوقة بامتياز عالٍ</w:t>
            </w:r>
          </w:p>
        </w:tc>
      </w:tr>
    </w:tbl>
    <w:p>
      <w:pPr>
        <w:bidi/>
        <w:spacing w:after="120" w:before="0"/>
      </w:pP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طبقة التطبيق على Windows Server وفق 01 §13، وهذا مطروح للمراجعة بعد ADR 0001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(docs/10-detailed-analysis/00-overview-and-cross-cutting.md:126؛ FR-PLT-045 في docs/10-detailed-analysis/10-m0-m1-platform-organization.md:147؛ docs/adr/0001-schema-work-on-linux.md:3). مكانها من VPS القاعدة غير محسوم (DQ-F01-1).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CI (tools/ci/db_ci.sh) يمر كاملًا في حاوية التطوير وعلى GitHub: ملف المسار في جذر المستودع (../.github/workflows/treasury-db-ci.yml:30-74) لأن GitHub يقرأ المسارات من هناك فقط، وأول تشغيل أخضر في 2026-10-12 (https://github.com/thawrasy/smartlines/actions/runs/38283663041؛ O-02 في tools/dbgen/erd_open_items.py:22؛ docs/adr/0001-schema-work-on-linux.md:11). صلاحيته قراءة المحتوى فقط ولا يستعمل أسرارًا (../.github/workflows/treasury-db-ci.yml:23-24)، ولا يصل CI إلى الإنتاج.</w:t>
      </w:r>
    </w:p>
    <w:p>
      <w:pPr>
        <w:bidi/>
        <w:spacing w:after="60" w:before="0"/>
      </w:pPr>
    </w:p>
    <w:p>
      <w:pPr>
        <w:pStyle w:val="Heading1"/>
        <w:bidi/>
      </w:pPr>
      <w:bookmarkStart w:name="_sec3" w:id="3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3. الفاعلون الخارجيون</w:t>
      </w:r>
      <w:bookmarkEnd w:id="3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2"/>
        <w:gridCol w:w="892"/>
        <w:gridCol w:w="3595"/>
        <w:gridCol w:w="3593"/>
        <w:gridCol w:w="892"/>
      </w:tblGrid>
      <w:tr>
        <w:trPr>
          <w:cantSplit/>
          <w:tblHeader/>
        </w:trPr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الفاعل</w:t>
            </w:r>
          </w:p>
        </w:tc>
        <w:tc>
          <w:tcPr>
            <w:tcW w:type="dxa" w:w="35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الدور</w:t>
            </w:r>
          </w:p>
        </w:tc>
        <w:tc>
          <w:tcPr>
            <w:tcW w:type="dxa" w:w="35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الهوية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الحد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A-01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مدير الحساب (TA)</w:t>
            </w:r>
          </w:p>
        </w:tc>
        <w:tc>
          <w:tcPr>
            <w:tcW w:type="dxa" w:w="35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إدارة المستخدمين والأدوار والإعدادات، وتفعيل وصول الدعم (docs/10-detailed-analysis/10-m0-m1-platform-organization.md:45-46، BR-PLT-017)</w:t>
            </w:r>
          </w:p>
        </w:tc>
        <w:tc>
          <w:tcPr>
            <w:tcW w:type="dxa" w:w="35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‎sec.AppUser‎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كلمة مرور وTOTP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TB-1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A-02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مدير الخزينة (TM) ومسؤول التسهيلات (FO)</w:t>
            </w:r>
          </w:p>
        </w:tc>
        <w:tc>
          <w:tcPr>
            <w:tcW w:type="dxa" w:w="35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حاملا الصلاحيات المقفلة للكشف والتصدير (BR-PLT-019؛ docs/10-detailed-analysis/10-m0-m1-platform-organization.md:60-62)</w:t>
            </w:r>
          </w:p>
        </w:tc>
        <w:tc>
          <w:tcPr>
            <w:tcW w:type="dxa" w:w="35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‎sec.AppUser‎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TB-1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A-03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موظف الخزينة، مدير القسم، الجهة الطالبة</w:t>
            </w:r>
          </w:p>
        </w:tc>
        <w:tc>
          <w:tcPr>
            <w:tcW w:type="dxa" w:w="35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عمليات بلا كشف (docs/10-detailed-analysis/10-m0-m1-platform-organization.md:41-67)</w:t>
            </w:r>
          </w:p>
        </w:tc>
        <w:tc>
          <w:tcPr>
            <w:tcW w:type="dxa" w:w="35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‎sec.AppUser‎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TB-1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A-04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المدقق</w:t>
            </w:r>
          </w:p>
        </w:tc>
        <w:tc>
          <w:tcPr>
            <w:tcW w:type="dxa" w:w="35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عرض التدقيق وتصديره (docs/10-detailed-analysis/10-m0-m1-platform-organization.md:47-48)</w:t>
            </w:r>
          </w:p>
        </w:tc>
        <w:tc>
          <w:tcPr>
            <w:tcW w:type="dxa" w:w="35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‎sec.AppUser‎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TB-1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A-05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مستخدم الخدمة</w:t>
            </w:r>
          </w:p>
        </w:tc>
        <w:tc>
          <w:tcPr>
            <w:tcW w:type="dxa" w:w="35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حساب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‎IsSystemUser‎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للمهام والتكامل بلا دخول تفاعلي (db/model/10-platform.model:123، :150)</w:t>
            </w:r>
          </w:p>
        </w:tc>
        <w:tc>
          <w:tcPr>
            <w:tcW w:type="dxa" w:w="35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كلمة مرور؛ هوية الربط غير محسومة (DOC-F04)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TB-3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A-06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مشغّل المنصة</w:t>
            </w:r>
          </w:p>
        </w:tc>
        <w:tc>
          <w:tcPr>
            <w:tcW w:type="dxa" w:w="35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‎OPERATOR_ADMIN‎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‎OPERATOR_SUPPORT‎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: المشتركون والباقات والكتالوجات العامة (FR-PLT-005، FR-PLT-006؛ db/model/10-platform.model:64-87)</w:t>
            </w:r>
          </w:p>
        </w:tc>
        <w:tc>
          <w:tcPr>
            <w:tcW w:type="dxa" w:w="35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‎plat.PlatformOperator‎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Argon2id وTOTP إلزامي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TB-2، TB-5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A-07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الدعم المؤقت</w:t>
            </w:r>
          </w:p>
        </w:tc>
        <w:tc>
          <w:tcPr>
            <w:tcW w:type="dxa" w:w="35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مشغّل بمنحة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‎plat.SupportAccessGrant‎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من مدير الحساب، ساعة إلى 72 ساعة، بلا بيانات مقيّدة (FR-PLT-007؛ db/model/10-platform.model:98-108)</w:t>
            </w:r>
          </w:p>
        </w:tc>
        <w:tc>
          <w:tcPr>
            <w:tcW w:type="dxa" w:w="35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هوية المشغّل مع المنحة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TB-2 ثم TB-3 (DQ-F01-7)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A-08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تطبيق TOTP</w:t>
            </w:r>
          </w:p>
        </w:tc>
        <w:tc>
          <w:tcPr>
            <w:tcW w:type="dxa" w:w="35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على جهاز المستخدم؛ لا اتصال شبكي بالمنصة. السر يُنقل إليه مرة عند التسجيل، والرمز يكتبه المستخدم (FR-PLT-011)</w:t>
            </w:r>
          </w:p>
        </w:tc>
        <w:tc>
          <w:tcPr>
            <w:tcW w:type="dxa" w:w="35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شيء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يعبر TB-1 عبر المستخدم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A-09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خدمة البريد المعاملاتي</w:t>
            </w:r>
          </w:p>
        </w:tc>
        <w:tc>
          <w:tcPr>
            <w:tcW w:type="dxa" w:w="35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مرحّل SMTP تهيّئه الاستضافة لرسالتي الدعوة وإعادة التعيين في S0 </w:t>
            </w: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(docs/10-detailed-analysis/10-m0-m1-platform-organization.md:115)؛ بريد الإشعارات لاحقًا في S5 (FR-NTF-013)</w:t>
            </w:r>
          </w:p>
        </w:tc>
        <w:tc>
          <w:tcPr>
            <w:tcW w:type="dxa" w:w="35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حساب إرسال (DOC-S08)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TB-10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A-10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مزوّد الاستضافة والنسخ الاحتياطي</w:t>
            </w:r>
          </w:p>
        </w:tc>
        <w:tc>
          <w:tcPr>
            <w:tcW w:type="dxa" w:w="35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يملك الطبقة الافتراضية للـVPS </w:t>
            </w: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(docs/adr/0001-schema-work-on-linux.md:8)</w:t>
            </w:r>
          </w:p>
        </w:tc>
        <w:tc>
          <w:tcPr>
            <w:tcW w:type="dxa" w:w="35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موظفو المزوّد وواجهته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TB-13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A-11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مخزن المفاتيح</w:t>
            </w:r>
          </w:p>
        </w:tc>
        <w:tc>
          <w:tcPr>
            <w:tcW w:type="dxa" w:w="35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يحفظ المفتاح الرئيسي الذي يلف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‎sec.TenantKey‎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(BR-PLT-015؛ db/model/10-platform.model:276-282)، ومفتاح المنصة لأسرار MFA للمشغّلين (db/model/10-platform.model:73). نوعه وموقعه غير محسومين (DOC-S02؛ docs/adr/0001-schema-work-on-linux.md:26)</w:t>
            </w:r>
          </w:p>
        </w:tc>
        <w:tc>
          <w:tcPr>
            <w:tcW w:type="dxa" w:w="35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هوية خدمة التطبيق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TB-9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A-12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مسؤول الخادم والنشر</w:t>
            </w:r>
          </w:p>
        </w:tc>
        <w:tc>
          <w:tcPr>
            <w:tcW w:type="dxa" w:w="35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SSH إلى VPS، والنشر بحساب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‎sa‎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(tools/deploy/deploy.sh:17-19، :29)</w:t>
            </w:r>
          </w:p>
        </w:tc>
        <w:tc>
          <w:tcPr>
            <w:tcW w:type="dxa" w:w="35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حساب نظام ودخول قاعدة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TB-12، TB-7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A-13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التقارير والتحليل</w:t>
            </w:r>
          </w:p>
        </w:tc>
        <w:tc>
          <w:tcPr>
            <w:tcW w:type="dxa" w:w="35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الدور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‎tp_readonly‎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(db/static/020_roles_and_grants.sql:8، :49-63)</w:t>
            </w:r>
          </w:p>
        </w:tc>
        <w:tc>
          <w:tcPr>
            <w:tcW w:type="dxa" w:w="35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دخول عضو في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‎tp_readonly‎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TB-6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A-14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ERP (لاحقًا)</w:t>
            </w:r>
          </w:p>
        </w:tc>
        <w:tc>
          <w:tcPr>
            <w:tcW w:type="dxa" w:w="35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محوّل عبر Outbox وREST (D-10؛ docs/10-detailed-analysis/10-m0-m1-platform-organization.md:568-570)</w:t>
            </w:r>
          </w:p>
        </w:tc>
        <w:tc>
          <w:tcPr>
            <w:tcW w:type="dxa" w:w="35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رمز خدمة بنطاق ضيق (docs/10-detailed-analysis/10-m0-m1-platform-organization.md:574)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TB-11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A-15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البنوك (لاحقًا)</w:t>
            </w:r>
          </w:p>
        </w:tc>
        <w:tc>
          <w:tcPr>
            <w:tcW w:type="dxa" w:w="35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قناة «ربط مباشر» وحزمة الكفيل المنظمة (docs/10-detailed-analysis/10-m0-m1-platform-organization.md:573)</w:t>
            </w:r>
          </w:p>
        </w:tc>
        <w:tc>
          <w:tcPr>
            <w:tcW w:type="dxa" w:w="35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غير محددة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TB-11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A-16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مزوّد هوية OIDC أو Entra ID (لاحقًا، S5)</w:t>
            </w:r>
          </w:p>
        </w:tc>
        <w:tc>
          <w:tcPr>
            <w:tcW w:type="dxa" w:w="35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FR-PLT-015؛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‎sec.ExternalIdentity‎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(db/model/10-platform.model:266-274)</w:t>
            </w:r>
          </w:p>
        </w:tc>
        <w:tc>
          <w:tcPr>
            <w:tcW w:type="dxa" w:w="35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مطالبات موقّعة</w:t>
            </w:r>
          </w:p>
        </w:tc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TB-11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4" w:id="4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4. مخازن البيانات</w:t>
      </w:r>
      <w:bookmarkEnd w:id="4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9"/>
        <w:gridCol w:w="1203"/>
        <w:gridCol w:w="2887"/>
        <w:gridCol w:w="4815"/>
      </w:tblGrid>
      <w:tr>
        <w:trPr>
          <w:cantSplit/>
          <w:tblHeader/>
        </w:trPr>
        <w:tc>
          <w:tcPr>
            <w:tcW w:type="dxa" w:w="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12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المخزن</w:t>
            </w:r>
          </w:p>
        </w:tc>
        <w:tc>
          <w:tcPr>
            <w:tcW w:type="dxa" w:w="28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فيه</w:t>
            </w:r>
          </w:p>
        </w:tc>
        <w:tc>
          <w:tcPr>
            <w:tcW w:type="dxa" w:w="48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الحماية القائمة</w:t>
            </w:r>
          </w:p>
        </w:tc>
      </w:tr>
      <w:tr>
        <w:trPr>
          <w:cantSplit/>
        </w:trPr>
        <w:tc>
          <w:tcPr>
            <w:tcW w:type="dxa" w:w="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D-01</w:t>
            </w:r>
          </w:p>
        </w:tc>
        <w:tc>
          <w:tcPr>
            <w:tcW w:type="dxa" w:w="12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قاعدة SQL Server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‎BankFas‎</w:t>
            </w:r>
          </w:p>
        </w:tc>
        <w:tc>
          <w:tcPr>
            <w:tcW w:type="dxa" w:w="28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199 جدولًا 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‎dbgen.py check‎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2026-10-18)؛ الأعمدة المقيّدة مشفّرة بالتطبيق (docs/20-database-design.md:174-186)</w:t>
            </w:r>
          </w:p>
        </w:tc>
        <w:tc>
          <w:tcPr>
            <w:tcW w:type="dxa" w:w="48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RLS (db/static/010_rls.sql)، منح جدولية (db/generated/tsql/007_table_grants.sql)، DENY (db/generated/tsql/006_sensitive_columns.sql؛ db/static/030_session_context.sql:237-239). TDE غير منفّذ: لا كائن TDE في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‎db/‎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(DOC-S02)</w:t>
            </w:r>
          </w:p>
        </w:tc>
      </w:tr>
      <w:tr>
        <w:trPr>
          <w:cantSplit/>
        </w:trPr>
        <w:tc>
          <w:tcPr>
            <w:tcW w:type="dxa" w:w="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D-02</w:t>
            </w:r>
          </w:p>
        </w:tc>
        <w:tc>
          <w:tcPr>
            <w:tcW w:type="dxa" w:w="12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‎cfg.OutboxEvent‎</w:t>
            </w:r>
          </w:p>
        </w:tc>
        <w:tc>
          <w:tcPr>
            <w:tcW w:type="dxa" w:w="28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أحداث للتسليم مرة على الأقل داخل القاعدة نفسها (db/model/10-platform.model:532-552)</w:t>
            </w:r>
          </w:p>
        </w:tc>
        <w:tc>
          <w:tcPr>
            <w:tcW w:type="dxa" w:w="48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الحمولة معرّفات بلا مقيّد (FR-PLT-042) بقاعدة تطبيق</w:t>
            </w:r>
          </w:p>
        </w:tc>
      </w:tr>
      <w:tr>
        <w:trPr>
          <w:cantSplit/>
        </w:trPr>
        <w:tc>
          <w:tcPr>
            <w:tcW w:type="dxa" w:w="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D-03</w:t>
            </w:r>
          </w:p>
        </w:tc>
        <w:tc>
          <w:tcPr>
            <w:tcW w:type="dxa" w:w="12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مخزن الملفات المشفّر</w:t>
            </w:r>
          </w:p>
        </w:tc>
        <w:tc>
          <w:tcPr>
            <w:tcW w:type="dxa" w:w="28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صور الهويات والاتفاقيات وحزم التصدير؛ المرجع في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‎doc.DocumentVersion‎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(db/model/10-platform.model:386-408)</w:t>
            </w:r>
          </w:p>
        </w:tc>
        <w:tc>
          <w:tcPr>
            <w:tcW w:type="dxa" w:w="48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تشفير بمفتاح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‎FILE‎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(:395)، بصمة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‎Sha256‎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(:393)، فحص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‎ScanStatus‎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(:396). الموقع غير محسوم (DQ-F01-4)</w:t>
            </w:r>
          </w:p>
        </w:tc>
      </w:tr>
      <w:tr>
        <w:trPr>
          <w:cantSplit/>
        </w:trPr>
        <w:tc>
          <w:tcPr>
            <w:tcW w:type="dxa" w:w="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D-04</w:t>
            </w:r>
          </w:p>
        </w:tc>
        <w:tc>
          <w:tcPr>
            <w:tcW w:type="dxa" w:w="12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سجلات التطبيق</w:t>
            </w:r>
          </w:p>
        </w:tc>
        <w:tc>
          <w:tcPr>
            <w:tcW w:type="dxa" w:w="28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أحداث تشغيلية</w:t>
            </w:r>
          </w:p>
        </w:tc>
        <w:tc>
          <w:tcPr>
            <w:tcW w:type="dxa" w:w="48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بلا أرقام هويات أو كلمات مرور أو رموز </w:t>
            </w: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(docs/10-detailed-analysis/10-m0-m1-platform-organization.md:586)؛ مكانها في DOC-S12</w:t>
            </w:r>
          </w:p>
        </w:tc>
      </w:tr>
      <w:tr>
        <w:trPr>
          <w:cantSplit/>
        </w:trPr>
        <w:tc>
          <w:tcPr>
            <w:tcW w:type="dxa" w:w="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D-05</w:t>
            </w:r>
          </w:p>
        </w:tc>
        <w:tc>
          <w:tcPr>
            <w:tcW w:type="dxa" w:w="12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النسخ الاحتياطية</w:t>
            </w:r>
          </w:p>
        </w:tc>
        <w:tc>
          <w:tcPr>
            <w:tcW w:type="dxa" w:w="28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نسخ القاعدة والملفات</w:t>
            </w:r>
          </w:p>
        </w:tc>
        <w:tc>
          <w:tcPr>
            <w:tcW w:type="dxa" w:w="48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مشفّرة ومفتاحها منفصل </w:t>
            </w: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(docs/10-detailed-analysis/10-m0-m1-platform-organization.md:582)؛ التفصيل في DOC-S09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مخزن المفاتيح (A-11) ليس مخزنًا للمنصة، لكنه يحمل أعلى أصل: فقده يعني فقد الأعمدة المشفّرة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(BR-PLT-015).</w:t>
      </w:r>
    </w:p>
    <w:p>
      <w:pPr>
        <w:pStyle w:val="Heading1"/>
        <w:bidi/>
      </w:pPr>
      <w:bookmarkStart w:name="_sec5" w:id="5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5. مخطط السياق (DFD المستوى 0)</w:t>
      </w:r>
      <w:bookmarkEnd w:id="5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4276725"/>
            <wp:effectExtent t="0" r="0" b="0" l="0"/>
            <wp:docPr id="1" name="diagram-1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bidi/>
      </w:pPr>
      <w:bookmarkStart w:name="_sec6" w:id="6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6. حدود الثقة</w:t>
      </w:r>
      <w:bookmarkEnd w:id="6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1"/>
        <w:gridCol w:w="2429"/>
        <w:gridCol w:w="2426"/>
        <w:gridCol w:w="2426"/>
        <w:gridCol w:w="861"/>
        <w:gridCol w:w="861"/>
      </w:tblGrid>
      <w:tr>
        <w:trPr>
          <w:cantSplit/>
          <w:tblHeader/>
        </w:trPr>
        <w:tc>
          <w:tcPr>
            <w:tcW w:type="dxa" w:w="8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الحد</w:t>
            </w:r>
          </w:p>
        </w:tc>
        <w:tc>
          <w:tcPr>
            <w:tcW w:type="dxa" w:w="24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يعبره</w:t>
            </w:r>
          </w:p>
        </w:tc>
        <w:tc>
          <w:tcPr>
            <w:tcW w:type="dxa" w:w="24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الهوية عند الحد</w:t>
            </w:r>
          </w:p>
        </w:tc>
        <w:tc>
          <w:tcPr>
            <w:tcW w:type="dxa" w:w="24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الضابط القائم</w:t>
            </w:r>
          </w:p>
        </w:tc>
        <w:tc>
          <w:tcPr>
            <w:tcW w:type="dxa" w:w="8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الضابط المطلوب</w:t>
            </w:r>
          </w:p>
        </w:tc>
        <w:tc>
          <w:tcPr>
            <w:tcW w:type="dxa" w:w="8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الوثيقة المالكة</w:t>
            </w:r>
          </w:p>
        </w:tc>
      </w:tr>
      <w:tr>
        <w:trPr>
          <w:cantSplit/>
        </w:trPr>
        <w:tc>
          <w:tcPr>
            <w:tcW w:type="dxa" w:w="8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TB-1 المستخدم ← تطبيق المشترك</w:t>
            </w:r>
          </w:p>
        </w:tc>
        <w:tc>
          <w:tcPr>
            <w:tcW w:type="dxa" w:w="24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HTTPS إلى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‎{tenant}.bankfas.com‎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(FR-PLT-046)</w:t>
            </w:r>
          </w:p>
        </w:tc>
        <w:tc>
          <w:tcPr>
            <w:tcW w:type="dxa" w:w="24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هوية قبل الدخول؛ بعده رمز جلسة عشوائي (docs/adr/0002-login-and-session-bound-context.md:20، :31)</w:t>
            </w:r>
          </w:p>
        </w:tc>
        <w:tc>
          <w:tcPr>
            <w:tcW w:type="dxa" w:w="24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رسالة فشل واحدة 50005 (db/static/030_session_context.sql:139-140)؛ القفل (db/static/030_session_context.sql:88-103)</w:t>
            </w:r>
          </w:p>
        </w:tc>
        <w:tc>
          <w:tcPr>
            <w:tcW w:type="dxa" w:w="8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TLS وHSTS (O-08)، شكل الرمز وCSRF وCSP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8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DOC-F03، DOC-S03، DOC-S05</w:t>
            </w:r>
          </w:p>
        </w:tc>
      </w:tr>
      <w:tr>
        <w:trPr>
          <w:cantSplit/>
        </w:trPr>
        <w:tc>
          <w:tcPr>
            <w:tcW w:type="dxa" w:w="8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TB-2 المشغّل ← لوحة المشغّل</w:t>
            </w:r>
          </w:p>
        </w:tc>
        <w:tc>
          <w:tcPr>
            <w:tcW w:type="dxa" w:w="24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HTTPS على عنوان مستقل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‎admin‎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محجوز: db/model/10-platform.model:58)</w:t>
            </w:r>
          </w:p>
        </w:tc>
        <w:tc>
          <w:tcPr>
            <w:tcW w:type="dxa" w:w="24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‎plat.PlatformOperator‎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وTOTP إلزامي (db/model/10-platform.model:82)</w:t>
            </w:r>
          </w:p>
        </w:tc>
        <w:tc>
          <w:tcPr>
            <w:tcW w:type="dxa" w:w="24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إجراء دخول للمشغّل في القاعدة</w:t>
            </w:r>
          </w:p>
        </w:tc>
        <w:tc>
          <w:tcPr>
            <w:tcW w:type="dxa" w:w="8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DQ-F01-2، DQ-F01-3</w:t>
            </w:r>
          </w:p>
        </w:tc>
        <w:tc>
          <w:tcPr>
            <w:tcW w:type="dxa" w:w="8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DOC-S03، DOC-S04</w:t>
            </w:r>
          </w:p>
        </w:tc>
      </w:tr>
      <w:tr>
        <w:trPr>
          <w:cantSplit/>
        </w:trPr>
        <w:tc>
          <w:tcPr>
            <w:tcW w:type="dxa" w:w="8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TB-3 التطبيق ← القاعدة بدور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‎tp_app‎</w:t>
            </w:r>
          </w:p>
        </w:tc>
        <w:tc>
          <w:tcPr>
            <w:tcW w:type="dxa" w:w="24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TDS</w:t>
            </w:r>
          </w:p>
        </w:tc>
        <w:tc>
          <w:tcPr>
            <w:tcW w:type="dxa" w:w="24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دخول عضو في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‎tp_app‎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ثم ربط الاتصال برمز الجلسة (db/static/030_session_context.sql:165-227)</w:t>
            </w:r>
          </w:p>
        </w:tc>
        <w:tc>
          <w:tcPr>
            <w:tcW w:type="dxa" w:w="24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RLS بربط الاتصال (db/static/010_rls.sql:22-57)؛ منح جدولية (db/generated/tsql/007_table_grants.sql)؛ DENY (db/static/030_session_context.sql:237-239)؛ اختبارات العزل (41 حالة، T1-T38)</w:t>
            </w:r>
          </w:p>
        </w:tc>
        <w:tc>
          <w:tcPr>
            <w:tcW w:type="dxa" w:w="8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TLS للاتصال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؛ هوية المهام (DOC-F04)</w:t>
            </w:r>
          </w:p>
        </w:tc>
        <w:tc>
          <w:tcPr>
            <w:tcW w:type="dxa" w:w="8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DOC-F04، DOC-S08</w:t>
            </w:r>
          </w:p>
        </w:tc>
      </w:tr>
      <w:tr>
        <w:trPr>
          <w:cantSplit/>
        </w:trPr>
        <w:tc>
          <w:tcPr>
            <w:tcW w:type="dxa" w:w="8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TB-4 داخل القاعدة: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‎tp_app‎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←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‎tp_auth_exec‎</w:t>
            </w:r>
          </w:p>
        </w:tc>
        <w:tc>
          <w:tcPr>
            <w:tcW w:type="dxa" w:w="24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‎EXECUTE AS‎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في الإجراءات والقوادح (db/static/030_session_context.sql:27، :48، :148، :170، :246)</w:t>
            </w:r>
          </w:p>
        </w:tc>
        <w:tc>
          <w:tcPr>
            <w:tcW w:type="dxa" w:w="24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‎tp_auth_exec‎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مستخدم بلا دخول عضو في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‎tp_auth‎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(db/static/020_roles_and_grants.sql:35-36)</w:t>
            </w:r>
          </w:p>
        </w:tc>
        <w:tc>
          <w:tcPr>
            <w:tcW w:type="dxa" w:w="24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تجاوز RLS لـ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‎tp_auth‎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(db/static/010_rls.sql:48، :56)؛ منحه محصورة (db/static/020_roles_and_grants.sql:38-39، :59، :67-69)</w:t>
            </w:r>
          </w:p>
        </w:tc>
        <w:tc>
          <w:tcPr>
            <w:tcW w:type="dxa" w:w="8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SQL ديناميكي في وحدات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‎EXECUTE AS‎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8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DOC-F03، DOC-F04</w:t>
            </w:r>
          </w:p>
        </w:tc>
      </w:tr>
      <w:tr>
        <w:trPr>
          <w:cantSplit/>
        </w:trPr>
        <w:tc>
          <w:tcPr>
            <w:tcW w:type="dxa" w:w="8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TB-5 لوحة المشغّل ← القاعدة بدور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‎tp_platform‎</w:t>
            </w:r>
          </w:p>
        </w:tc>
        <w:tc>
          <w:tcPr>
            <w:tcW w:type="dxa" w:w="24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TDS</w:t>
            </w:r>
          </w:p>
        </w:tc>
        <w:tc>
          <w:tcPr>
            <w:tcW w:type="dxa" w:w="24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دخول عضو في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‎tp_platform‎</w:t>
            </w:r>
          </w:p>
        </w:tc>
        <w:tc>
          <w:tcPr>
            <w:tcW w:type="dxa" w:w="24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منح على العالمي والمختلط فقط (db/generated/tsql/007_table_grants.sql:9-20، :29، :55)؛ تجاوز RLS (db/static/010_rls.sql:48، :56، :65، :73، :92)، عدا قراءة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‎aud.AuditLog‎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: صفوف المنصة فقط (:83؛ T38)</w:t>
            </w:r>
          </w:p>
        </w:tc>
        <w:tc>
          <w:tcPr>
            <w:tcW w:type="dxa" w:w="8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DQ-F01-2</w:t>
            </w:r>
          </w:p>
        </w:tc>
        <w:tc>
          <w:tcPr>
            <w:tcW w:type="dxa" w:w="8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DOC-S08، DOC-F05</w:t>
            </w:r>
          </w:p>
        </w:tc>
      </w:tr>
      <w:tr>
        <w:trPr>
          <w:cantSplit/>
        </w:trPr>
        <w:tc>
          <w:tcPr>
            <w:tcW w:type="dxa" w:w="8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TB-6 التقارير ← القاعدة بدور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‎tp_readonly‎</w:t>
            </w:r>
          </w:p>
        </w:tc>
        <w:tc>
          <w:tcPr>
            <w:tcW w:type="dxa" w:w="24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TDS</w:t>
            </w:r>
          </w:p>
        </w:tc>
        <w:tc>
          <w:tcPr>
            <w:tcW w:type="dxa" w:w="24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دخول عضو في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‎tp_readonly‎</w:t>
            </w:r>
          </w:p>
        </w:tc>
        <w:tc>
          <w:tcPr>
            <w:tcW w:type="dxa" w:w="24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قراءة المخططات (db/static/020_roles_and_grants.sql:49) مع DENY لـ31 عمودًا مقيّدًا (db/generated/tsql/006_sensitive_columns.sql)، ولكل دالة داخلية في rls وsec وplat وcfg (db/static/090_readonly_denies.sql)</w:t>
            </w:r>
          </w:p>
        </w:tc>
        <w:tc>
          <w:tcPr>
            <w:tcW w:type="dxa" w:w="8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مسار ربط للتقارير (DQ-F01-5)</w:t>
            </w:r>
          </w:p>
        </w:tc>
        <w:tc>
          <w:tcPr>
            <w:tcW w:type="dxa" w:w="8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DOC-S08</w:t>
            </w:r>
          </w:p>
        </w:tc>
      </w:tr>
      <w:tr>
        <w:trPr>
          <w:cantSplit/>
        </w:trPr>
        <w:tc>
          <w:tcPr>
            <w:tcW w:type="dxa" w:w="8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TB-7 النشر ← القاعدة</w:t>
            </w:r>
          </w:p>
        </w:tc>
        <w:tc>
          <w:tcPr>
            <w:tcW w:type="dxa" w:w="24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‎sqlcmd‎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بحساب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‎sa‎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وخيار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‎-C‎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(tools/deploy/deploy.sh:17-19، :29)</w:t>
            </w:r>
          </w:p>
        </w:tc>
        <w:tc>
          <w:tcPr>
            <w:tcW w:type="dxa" w:w="24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القاعدة؛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‎tp_migrator‎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دور بلا منح (db/static/020_roles_and_grants.sql:9)</w:t>
            </w:r>
          </w:p>
        </w:tc>
        <w:tc>
          <w:tcPr>
            <w:tcW w:type="dxa" w:w="24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CI يقارن المنشور بالمولَّد (tools/ci/db_ci.sh:56-57)</w:t>
            </w:r>
          </w:p>
        </w:tc>
        <w:tc>
          <w:tcPr>
            <w:tcW w:type="dxa" w:w="8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حساب نشر منفصل وشهادة موثوقة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8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DOC-S08، DOC-S11، DOC-B11</w:t>
            </w:r>
          </w:p>
        </w:tc>
      </w:tr>
      <w:tr>
        <w:trPr>
          <w:cantSplit/>
        </w:trPr>
        <w:tc>
          <w:tcPr>
            <w:tcW w:type="dxa" w:w="8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TB-8 التطبيق ← مخزن الملفات</w:t>
            </w:r>
          </w:p>
        </w:tc>
        <w:tc>
          <w:tcPr>
            <w:tcW w:type="dxa" w:w="24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غير محدد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24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هوية خدمة التطبيق</w:t>
            </w:r>
          </w:p>
        </w:tc>
        <w:tc>
          <w:tcPr>
            <w:tcW w:type="dxa" w:w="24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تشفير بمفتاح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‎FILE‎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ومسار لكل مشترك (FR-PLT-027)</w:t>
            </w:r>
          </w:p>
        </w:tc>
        <w:tc>
          <w:tcPr>
            <w:tcW w:type="dxa" w:w="8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DQ-F01-4</w:t>
            </w:r>
          </w:p>
        </w:tc>
        <w:tc>
          <w:tcPr>
            <w:tcW w:type="dxa" w:w="8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DOC-S02، DOC-S09</w:t>
            </w:r>
          </w:p>
        </w:tc>
      </w:tr>
      <w:tr>
        <w:trPr>
          <w:cantSplit/>
        </w:trPr>
        <w:tc>
          <w:tcPr>
            <w:tcW w:type="dxa" w:w="8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TB-9 التطبيق ← مخزن المفاتيح</w:t>
            </w:r>
          </w:p>
        </w:tc>
        <w:tc>
          <w:tcPr>
            <w:tcW w:type="dxa" w:w="24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غير محدد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24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هوية خدمة التطبيق</w:t>
            </w:r>
          </w:p>
        </w:tc>
        <w:tc>
          <w:tcPr>
            <w:tcW w:type="dxa" w:w="24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‎WrappedKey‎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‎MasterKeyRef‎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(db/model/10-platform.model:281-282)</w:t>
            </w:r>
          </w:p>
        </w:tc>
        <w:tc>
          <w:tcPr>
            <w:tcW w:type="dxa" w:w="8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اختيار المخزن والحفظ</w:t>
            </w:r>
          </w:p>
        </w:tc>
        <w:tc>
          <w:tcPr>
            <w:tcW w:type="dxa" w:w="8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DOC-S02</w:t>
            </w:r>
          </w:p>
        </w:tc>
      </w:tr>
      <w:tr>
        <w:trPr>
          <w:cantSplit/>
        </w:trPr>
        <w:tc>
          <w:tcPr>
            <w:tcW w:type="dxa" w:w="8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TB-10 المنصة ← البريد الخارجي</w:t>
            </w:r>
          </w:p>
        </w:tc>
        <w:tc>
          <w:tcPr>
            <w:tcW w:type="dxa" w:w="24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SMTP عبر مرحّل الاستضافة (FR-PLT-013)</w:t>
            </w:r>
          </w:p>
        </w:tc>
        <w:tc>
          <w:tcPr>
            <w:tcW w:type="dxa" w:w="24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حساب إرسال</w:t>
            </w:r>
          </w:p>
        </w:tc>
        <w:tc>
          <w:tcPr>
            <w:tcW w:type="dxa" w:w="24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الرابط مجزّأ ولا يحمل مقيّدًا (db/model/10-platform.model:247)</w:t>
            </w:r>
          </w:p>
        </w:tc>
        <w:tc>
          <w:tcPr>
            <w:tcW w:type="dxa" w:w="8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SPF وDKIM وDMARC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8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DOC-F03، DOC-S05</w:t>
            </w:r>
          </w:p>
        </w:tc>
      </w:tr>
      <w:tr>
        <w:trPr>
          <w:cantSplit/>
        </w:trPr>
        <w:tc>
          <w:tcPr>
            <w:tcW w:type="dxa" w:w="8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TB-11 المنصة ↔ المحوّلات المستقبلية</w:t>
            </w:r>
          </w:p>
        </w:tc>
        <w:tc>
          <w:tcPr>
            <w:tcW w:type="dxa" w:w="24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REST وOutbox وخطافات ويب بتوقيع HMAC (docs/10-detailed-analysis/10-m0-m1-platform-organization.md:568-575)</w:t>
            </w:r>
          </w:p>
        </w:tc>
        <w:tc>
          <w:tcPr>
            <w:tcW w:type="dxa" w:w="24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رموز خدمة بنطاق ضيق (docs/10-detailed-analysis/10-m0-m1-platform-organization.md:574)</w:t>
            </w:r>
          </w:p>
        </w:tc>
        <w:tc>
          <w:tcPr>
            <w:tcW w:type="dxa" w:w="24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شيء منفّذ</w:t>
            </w:r>
          </w:p>
        </w:tc>
        <w:tc>
          <w:tcPr>
            <w:tcW w:type="dxa" w:w="8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يُصمَّم مع أول محوّل</w:t>
            </w:r>
          </w:p>
        </w:tc>
        <w:tc>
          <w:tcPr>
            <w:tcW w:type="dxa" w:w="8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DOC-F17</w:t>
            </w:r>
          </w:p>
        </w:tc>
      </w:tr>
      <w:tr>
        <w:trPr>
          <w:cantSplit/>
        </w:trPr>
        <w:tc>
          <w:tcPr>
            <w:tcW w:type="dxa" w:w="8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TB-12 المسؤولون ← VPS</w:t>
            </w:r>
          </w:p>
        </w:tc>
        <w:tc>
          <w:tcPr>
            <w:tcW w:type="dxa" w:w="24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SSH وإدارة SQL Server</w:t>
            </w:r>
          </w:p>
        </w:tc>
        <w:tc>
          <w:tcPr>
            <w:tcW w:type="dxa" w:w="24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حسابات نظام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24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شيء موثّق</w:t>
            </w:r>
          </w:p>
        </w:tc>
        <w:tc>
          <w:tcPr>
            <w:tcW w:type="dxa" w:w="8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DQ-F01-6</w:t>
            </w:r>
          </w:p>
        </w:tc>
        <w:tc>
          <w:tcPr>
            <w:tcW w:type="dxa" w:w="8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DOC-S10، DOC-S08</w:t>
            </w:r>
          </w:p>
        </w:tc>
      </w:tr>
      <w:tr>
        <w:trPr>
          <w:cantSplit/>
        </w:trPr>
        <w:tc>
          <w:tcPr>
            <w:tcW w:type="dxa" w:w="8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TB-13 المزوّد ↔ VPS والنسخ</w:t>
            </w:r>
          </w:p>
        </w:tc>
        <w:tc>
          <w:tcPr>
            <w:tcW w:type="dxa" w:w="24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طبقة المزوّد الافتراضية والأقراص</w:t>
            </w:r>
          </w:p>
        </w:tc>
        <w:tc>
          <w:tcPr>
            <w:tcW w:type="dxa" w:w="24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موظفو المزوّد</w:t>
            </w:r>
          </w:p>
        </w:tc>
        <w:tc>
          <w:tcPr>
            <w:tcW w:type="dxa" w:w="24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تشفير الأعمدة المقيّدة والملفات (docs/10-detailed-analysis/10-m0-m1-platform-organization.md:582)</w:t>
            </w:r>
          </w:p>
        </w:tc>
        <w:tc>
          <w:tcPr>
            <w:tcW w:type="dxa" w:w="8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TDE ونسخ مشفّرة بمفتاح خارج المزوّد</w:t>
            </w:r>
          </w:p>
        </w:tc>
        <w:tc>
          <w:tcPr>
            <w:tcW w:type="dxa" w:w="8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DOC-S02، DOC-S09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7" w:id="7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7. حدود القاعدة بالتفصيل (TB-3 إلى TB-7)</w:t>
      </w:r>
      <w:bookmarkEnd w:id="7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diagram-2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الربط شرط كل صف: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المرشح يُظهر الصف حين يطابق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‎TenantId‎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سياق الاتصال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و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يوجد ربط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‎sec.SessionBinding‎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بالرمز نفسه (db/static/010_rls.sql:22-31). لا يكتب الربط إلا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‎sec.usp_SetSessionContext‎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ولا يقبل إلا جلسة صالحة للمشترك (db/static/030_session_context.sql:186-199).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الكتابة تحتاج مشتركًا مفتوحًا: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‎TRIAL‎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أو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‎ACTIVE‎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فقط (db/static/010_rls.sql:35-41).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Courier New" w:cs="Courier New" w:eastAsia="Courier New" w:hAnsi="Courier New"/>
          <w:b/>
          <w:bCs/>
          <w:color w:val="1F2937"/>
          <w:sz w:val="18"/>
          <w:szCs w:val="18"/>
          <w:shd w:fill="F1F3F5" w:color="auto" w:val="clear"/>
          <w:rtl/>
        </w:rPr>
        <w:t xml:space="preserve">‎tp_platform‎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/>
          <w:bCs/>
          <w:color w:val="1F2937"/>
          <w:sz w:val="18"/>
          <w:szCs w:val="18"/>
          <w:shd w:fill="F1F3F5" w:color="auto" w:val="clear"/>
          <w:rtl/>
        </w:rPr>
        <w:t xml:space="preserve">‎tp_auth‎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 يتجاوزان المرشحات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(db/static/010_rls.sql:48، :56، :65، :73، :84، :92)، عدا أن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‎tp_platform‎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يقرأ من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‎aud.AuditLog‎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صفوف المنصة فقط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‎TenantId‎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فارغ؛ db/static/010_rls.sql:83؛ T38؛ صُحّح في 1f0f0af).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‎tp_platform‎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بلا منح على جداول المشترك (db/generated/tsql/007_table_grants.sql؛ docs/20-database-design.md:117)، لكنه يقرأ ويكتب صفوف كل المشتركين في الجدولين المختلطين الآخرين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‎cfg.NonWorkingDay‎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‎ref.UcpArticle‎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(db/generated/tsql/007_table_grants.sql:83، :363)، ويُدرج صف تدقيق بأي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‎TenantId‎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(db/generated/tsql/007_table_grants.sql:55؛ db/static/010_rls.sql:92). يعالجه DOC-S01.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Courier New" w:cs="Courier New" w:eastAsia="Courier New" w:hAnsi="Courier New"/>
          <w:b/>
          <w:bCs/>
          <w:color w:val="1F2937"/>
          <w:sz w:val="18"/>
          <w:szCs w:val="18"/>
          <w:shd w:fill="F1F3F5" w:color="auto" w:val="clear"/>
          <w:rtl/>
        </w:rPr>
        <w:t xml:space="preserve">‎tp_readonly‎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 لا يرى صف مشترك اليوم: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لا يملك تنفيذ إجراء الربط (db/static/030_session_context.sql:229-232)، فيرفضه المرشح (db/static/010_rls.sql:52-57). مساره قرار مفتوح (DQ-F01-5).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الإبطال فوري: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تعطيل المستخدم أو حذفه، وإنهاء الجلسة، وتغيير حالة المشترك عن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‎TRIAL‎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‎ACTIVE‎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تحذف الربط (db/static/030_session_context.sql:245-296)؛ الاختبارات T25 وT26 وT30 وT37.</w:t>
      </w:r>
    </w:p>
    <w:p>
      <w:pPr>
        <w:bidi/>
        <w:spacing w:after="60" w:before="0"/>
      </w:pPr>
    </w:p>
    <w:p>
      <w:pPr>
        <w:pStyle w:val="Heading1"/>
        <w:bidi/>
      </w:pPr>
      <w:bookmarkStart w:name="_sec8" w:id="8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8. التدفقات</w:t>
      </w:r>
      <w:bookmarkEnd w:id="8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المدة بين قوسين حيث تنطبق.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8"/>
        <w:gridCol w:w="2645"/>
        <w:gridCol w:w="908"/>
        <w:gridCol w:w="3587"/>
        <w:gridCol w:w="908"/>
        <w:gridCol w:w="908"/>
      </w:tblGrid>
      <w:tr>
        <w:trPr>
          <w:cantSplit/>
          <w:tblHeader/>
        </w:trPr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26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التدفق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البروتوكول</w:t>
            </w:r>
          </w:p>
        </w:tc>
        <w:tc>
          <w:tcPr>
            <w:tcW w:type="dxa" w:w="35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الهوية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التصنيف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الحد</w:t>
            </w:r>
          </w:p>
        </w:tc>
      </w:tr>
      <w:tr>
        <w:trPr>
          <w:cantSplit/>
        </w:trPr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DF-01</w:t>
            </w:r>
          </w:p>
        </w:tc>
        <w:tc>
          <w:tcPr>
            <w:tcW w:type="dxa" w:w="26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المتصفح ← التطبيق: البريد وكلمة المرور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HTTPS</w:t>
            </w:r>
          </w:p>
        </w:tc>
        <w:tc>
          <w:tcPr>
            <w:tcW w:type="dxa" w:w="35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هوية بعد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مقيّدة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TB-1</w:t>
            </w:r>
          </w:p>
        </w:tc>
      </w:tr>
      <w:tr>
        <w:trPr>
          <w:cantSplit/>
        </w:trPr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DF-02</w:t>
            </w:r>
          </w:p>
        </w:tc>
        <w:tc>
          <w:tcPr>
            <w:tcW w:type="dxa" w:w="26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التطبيق ← المتصفح: رمز الجلسة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HTTPS، ملف تعريف ارتباط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35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الجلسة (خمول 30 د، مطلق 12 س؛ db/static/030_session_context.sql:117-118)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مقيّدة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TB-1</w:t>
            </w:r>
          </w:p>
        </w:tc>
      </w:tr>
      <w:tr>
        <w:trPr>
          <w:cantSplit/>
        </w:trPr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DF-03</w:t>
            </w:r>
          </w:p>
        </w:tc>
        <w:tc>
          <w:tcPr>
            <w:tcW w:type="dxa" w:w="26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المتصفح ← التطبيق: رمز TOTP أو رمز استرداد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HTTPS</w:t>
            </w:r>
          </w:p>
        </w:tc>
        <w:tc>
          <w:tcPr>
            <w:tcW w:type="dxa" w:w="35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جلسة غير مكتملة MFA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مقيّدة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TB-1</w:t>
            </w:r>
          </w:p>
        </w:tc>
      </w:tr>
      <w:tr>
        <w:trPr>
          <w:cantSplit/>
        </w:trPr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DF-04</w:t>
            </w:r>
          </w:p>
        </w:tc>
        <w:tc>
          <w:tcPr>
            <w:tcW w:type="dxa" w:w="26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التطبيق ← المتصفح: سر TOTP عند التسجيل مرة واحدة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HTTPS، رمز QR</w:t>
            </w:r>
          </w:p>
        </w:tc>
        <w:tc>
          <w:tcPr>
            <w:tcW w:type="dxa" w:w="35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جلسة المستخدم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مقيّدة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TB-1</w:t>
            </w:r>
          </w:p>
        </w:tc>
      </w:tr>
      <w:tr>
        <w:trPr>
          <w:cantSplit/>
        </w:trPr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DF-05</w:t>
            </w:r>
          </w:p>
        </w:tc>
        <w:tc>
          <w:tcPr>
            <w:tcW w:type="dxa" w:w="26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المتصفح ↔ التطبيق: طلبات الأعمال وردودها (FR-PLT-041)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HTTPS، REST</w:t>
            </w:r>
          </w:p>
        </w:tc>
        <w:tc>
          <w:tcPr>
            <w:tcW w:type="dxa" w:w="35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رمز الجلسة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داخلية، سرّية؛ المقيّد مقنَّع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TB-1</w:t>
            </w:r>
          </w:p>
        </w:tc>
      </w:tr>
      <w:tr>
        <w:trPr>
          <w:cantSplit/>
        </w:trPr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DF-06</w:t>
            </w:r>
          </w:p>
        </w:tc>
        <w:tc>
          <w:tcPr>
            <w:tcW w:type="dxa" w:w="26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المتصفح ↔ التطبيق: كشف رقم هوية أو IBAN (FR-PTY-007)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HTTPS</w:t>
            </w:r>
          </w:p>
        </w:tc>
        <w:tc>
          <w:tcPr>
            <w:tcW w:type="dxa" w:w="35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الجلسة وصلاحية الكشف (60 ث عرض)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مقيّدة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TB-1</w:t>
            </w:r>
          </w:p>
        </w:tc>
      </w:tr>
      <w:tr>
        <w:trPr>
          <w:cantSplit/>
        </w:trPr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DF-07</w:t>
            </w:r>
          </w:p>
        </w:tc>
        <w:tc>
          <w:tcPr>
            <w:tcW w:type="dxa" w:w="26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المتصفح ↔ التطبيق: رفع الملفات وتنزيلها (FR-PLT-029، FR-PLT-030)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HTTPS</w:t>
            </w:r>
          </w:p>
        </w:tc>
        <w:tc>
          <w:tcPr>
            <w:tcW w:type="dxa" w:w="35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الجلسة وصلاحية النوع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سرّية، مقيّدة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TB-1</w:t>
            </w:r>
          </w:p>
        </w:tc>
      </w:tr>
      <w:tr>
        <w:trPr>
          <w:cantSplit/>
        </w:trPr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DF-08</w:t>
            </w:r>
          </w:p>
        </w:tc>
        <w:tc>
          <w:tcPr>
            <w:tcW w:type="dxa" w:w="26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التطبيق ← المتصفح: حزمة تصدير (FR-PLT-039)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HTTPS</w:t>
            </w:r>
          </w:p>
        </w:tc>
        <w:tc>
          <w:tcPr>
            <w:tcW w:type="dxa" w:w="35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الجلسة وموافقة الكشف (7 أيام)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مقيّدة إن شملت المقيّد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TB-1</w:t>
            </w:r>
          </w:p>
        </w:tc>
      </w:tr>
      <w:tr>
        <w:trPr>
          <w:cantSplit/>
        </w:trPr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DF-09</w:t>
            </w:r>
          </w:p>
        </w:tc>
        <w:tc>
          <w:tcPr>
            <w:tcW w:type="dxa" w:w="26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المتصفح ← التطبيق: فتح رابط دعوة أو إعادة تعيين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HTTPS</w:t>
            </w:r>
          </w:p>
        </w:tc>
        <w:tc>
          <w:tcPr>
            <w:tcW w:type="dxa" w:w="35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رمز لمرة واحدة (48 س أو 30 د)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مقيّدة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TB-1</w:t>
            </w:r>
          </w:p>
        </w:tc>
      </w:tr>
      <w:tr>
        <w:trPr>
          <w:cantSplit/>
        </w:trPr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DF-10</w:t>
            </w:r>
          </w:p>
        </w:tc>
        <w:tc>
          <w:tcPr>
            <w:tcW w:type="dxa" w:w="26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متصفح المشغّل ← لوحة المشغّل: الدخول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HTTPS</w:t>
            </w:r>
          </w:p>
        </w:tc>
        <w:tc>
          <w:tcPr>
            <w:tcW w:type="dxa" w:w="35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‎PlatformOperator‎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وTOTP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مقيّدة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TB-2</w:t>
            </w:r>
          </w:p>
        </w:tc>
      </w:tr>
      <w:tr>
        <w:trPr>
          <w:cantSplit/>
        </w:trPr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DF-11</w:t>
            </w:r>
          </w:p>
        </w:tc>
        <w:tc>
          <w:tcPr>
            <w:tcW w:type="dxa" w:w="26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لوحة المشغّل ↔ التطبيق: المشتركون والباقات والوحدات والكتالوجات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HTTPS</w:t>
            </w:r>
          </w:p>
        </w:tc>
        <w:tc>
          <w:tcPr>
            <w:tcW w:type="dxa" w:w="35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جلسة المشغّل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داخلية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TB-2</w:t>
            </w:r>
          </w:p>
        </w:tc>
      </w:tr>
      <w:tr>
        <w:trPr>
          <w:cantSplit/>
        </w:trPr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DF-12</w:t>
            </w:r>
          </w:p>
        </w:tc>
        <w:tc>
          <w:tcPr>
            <w:tcW w:type="dxa" w:w="26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المشغّل ← بيانات مشترك بجلسة دعم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HTTPS ثم TDS</w:t>
            </w:r>
          </w:p>
        </w:tc>
        <w:tc>
          <w:tcPr>
            <w:tcW w:type="dxa" w:w="35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المشغّل والمنحة (1-72 س)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سرّية بلا مقيّد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TB-2، TB-3</w:t>
            </w:r>
          </w:p>
        </w:tc>
      </w:tr>
      <w:tr>
        <w:trPr>
          <w:cantSplit/>
        </w:trPr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DF-13</w:t>
            </w:r>
          </w:p>
        </w:tc>
        <w:tc>
          <w:tcPr>
            <w:tcW w:type="dxa" w:w="26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التطبيق ← القاعدة: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‎usp_GetPasswordParams‎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‎usp_StartSession‎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‎usp_ConfirmMfa‎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TDS</w:t>
            </w:r>
          </w:p>
        </w:tc>
        <w:tc>
          <w:tcPr>
            <w:tcW w:type="dxa" w:w="35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دخول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‎tp_app‎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تنفيذ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‎tp_auth_exec‎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مقيّدة (PHC، الرمز)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TB-3، TB-4</w:t>
            </w:r>
          </w:p>
        </w:tc>
      </w:tr>
      <w:tr>
        <w:trPr>
          <w:cantSplit/>
        </w:trPr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DF-14</w:t>
            </w:r>
          </w:p>
        </w:tc>
        <w:tc>
          <w:tcPr>
            <w:tcW w:type="dxa" w:w="26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التطبيق ← القاعدة: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‎usp_SetSessionContext(TenantId, SessionToken, ClientIp, CorrelationId)‎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لكل طلب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TDS</w:t>
            </w:r>
          </w:p>
        </w:tc>
        <w:tc>
          <w:tcPr>
            <w:tcW w:type="dxa" w:w="35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رمز الجلسة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مقيّدة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TB-3، TB-4</w:t>
            </w:r>
          </w:p>
        </w:tc>
      </w:tr>
      <w:tr>
        <w:trPr>
          <w:cantSplit/>
        </w:trPr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DF-15</w:t>
            </w:r>
          </w:p>
        </w:tc>
        <w:tc>
          <w:tcPr>
            <w:tcW w:type="dxa" w:w="26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التطبيق ↔ القاعدة: بيانات المشترك تحت RLS؛ المقيّد نص مشفّر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TDS</w:t>
            </w:r>
          </w:p>
        </w:tc>
        <w:tc>
          <w:tcPr>
            <w:tcW w:type="dxa" w:w="35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الاتصال المربوط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داخلية، سرّية، مقيّدة مشفّرة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TB-3</w:t>
            </w:r>
          </w:p>
        </w:tc>
      </w:tr>
      <w:tr>
        <w:trPr>
          <w:cantSplit/>
        </w:trPr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DF-16</w:t>
            </w:r>
          </w:p>
        </w:tc>
        <w:tc>
          <w:tcPr>
            <w:tcW w:type="dxa" w:w="26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التطبيق ← القاعدة: التدقيق والوصول الحساس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TDS</w:t>
            </w:r>
          </w:p>
        </w:tc>
        <w:tc>
          <w:tcPr>
            <w:tcW w:type="dxa" w:w="35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الاتصال المربوط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سرّية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TB-3</w:t>
            </w:r>
          </w:p>
        </w:tc>
      </w:tr>
      <w:tr>
        <w:trPr>
          <w:cantSplit/>
        </w:trPr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DF-17</w:t>
            </w:r>
          </w:p>
        </w:tc>
        <w:tc>
          <w:tcPr>
            <w:tcW w:type="dxa" w:w="26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التطبيق ← القاعدة: حدث Outbox في معاملة الحفظ نفسها (FR-PLT-042)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TDS</w:t>
            </w:r>
          </w:p>
        </w:tc>
        <w:tc>
          <w:tcPr>
            <w:tcW w:type="dxa" w:w="35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الاتصال المربوط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داخلية، معرّفات فقط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TB-3</w:t>
            </w:r>
          </w:p>
        </w:tc>
      </w:tr>
      <w:tr>
        <w:trPr>
          <w:cantSplit/>
        </w:trPr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DF-18</w:t>
            </w:r>
          </w:p>
        </w:tc>
        <w:tc>
          <w:tcPr>
            <w:tcW w:type="dxa" w:w="26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المهام وموزّع Outbox ↔ القاعدة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TDS</w:t>
            </w:r>
          </w:p>
        </w:tc>
        <w:tc>
          <w:tcPr>
            <w:tcW w:type="dxa" w:w="35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مستخدم الخدمة؛ الربط غير محسوم (DOC-F04)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داخلية، سرّية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TB-3</w:t>
            </w:r>
          </w:p>
        </w:tc>
      </w:tr>
      <w:tr>
        <w:trPr>
          <w:cantSplit/>
        </w:trPr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DF-19</w:t>
            </w:r>
          </w:p>
        </w:tc>
        <w:tc>
          <w:tcPr>
            <w:tcW w:type="dxa" w:w="26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لوحة المشغّل ↔ القاعدة: الجداول العالمية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‎plat‎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وأحداث المنصة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TDS</w:t>
            </w:r>
          </w:p>
        </w:tc>
        <w:tc>
          <w:tcPr>
            <w:tcW w:type="dxa" w:w="35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دخول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‎tp_platform‎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داخلية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TB-5</w:t>
            </w:r>
          </w:p>
        </w:tc>
      </w:tr>
      <w:tr>
        <w:trPr>
          <w:cantSplit/>
        </w:trPr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DF-20</w:t>
            </w:r>
          </w:p>
        </w:tc>
        <w:tc>
          <w:tcPr>
            <w:tcW w:type="dxa" w:w="26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التقارير ← القاعدة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TDS</w:t>
            </w:r>
          </w:p>
        </w:tc>
        <w:tc>
          <w:tcPr>
            <w:tcW w:type="dxa" w:w="35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دخول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‎tp_readonly‎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داخلية، سرّية بلا مقيّد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TB-6</w:t>
            </w:r>
          </w:p>
        </w:tc>
      </w:tr>
      <w:tr>
        <w:trPr>
          <w:cantSplit/>
        </w:trPr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DF-21</w:t>
            </w:r>
          </w:p>
        </w:tc>
        <w:tc>
          <w:tcPr>
            <w:tcW w:type="dxa" w:w="26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النشر ← القاعدة: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‎db/deploy.sql‎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TDS عبر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‎sqlcmd -C‎</w:t>
            </w:r>
          </w:p>
        </w:tc>
        <w:tc>
          <w:tcPr>
            <w:tcW w:type="dxa" w:w="35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‎sa‎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داخلية (المخطط)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TB-7</w:t>
            </w:r>
          </w:p>
        </w:tc>
      </w:tr>
      <w:tr>
        <w:trPr>
          <w:cantSplit/>
        </w:trPr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DF-22</w:t>
            </w:r>
          </w:p>
        </w:tc>
        <w:tc>
          <w:tcPr>
            <w:tcW w:type="dxa" w:w="26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التطبيق ↔ مخزن الملفات: كتابة الملف المشفّر وقراءته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غير محدد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35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هوية خدمة التطبيق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مقيّدة مشفّرة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TB-8</w:t>
            </w:r>
          </w:p>
        </w:tc>
      </w:tr>
      <w:tr>
        <w:trPr>
          <w:cantSplit/>
        </w:trPr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DF-23</w:t>
            </w:r>
          </w:p>
        </w:tc>
        <w:tc>
          <w:tcPr>
            <w:tcW w:type="dxa" w:w="26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التطبيق ↔ مخزن المفاتيح: فك لف مفاتيح المشترك ومفتاح المنصة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غير محدد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35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هوية خدمة التطبيق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مقيّدة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TB-9</w:t>
            </w:r>
          </w:p>
        </w:tc>
      </w:tr>
      <w:tr>
        <w:trPr>
          <w:cantSplit/>
        </w:trPr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DF-24</w:t>
            </w:r>
          </w:p>
        </w:tc>
        <w:tc>
          <w:tcPr>
            <w:tcW w:type="dxa" w:w="26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التطبيق ← مرحّل SMTP ← المستخدم: الدعوة وإعادة التعيين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SMTP</w:t>
            </w:r>
          </w:p>
        </w:tc>
        <w:tc>
          <w:tcPr>
            <w:tcW w:type="dxa" w:w="35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حساب الإرسال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مقيّدة (رابط لمرة واحدة)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TB-10</w:t>
            </w:r>
          </w:p>
        </w:tc>
      </w:tr>
      <w:tr>
        <w:trPr>
          <w:cantSplit/>
        </w:trPr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DF-25</w:t>
            </w:r>
          </w:p>
        </w:tc>
        <w:tc>
          <w:tcPr>
            <w:tcW w:type="dxa" w:w="26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المهام ← البريد: الإشعارات (S5، FR-NTF-013)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SMTP</w:t>
            </w:r>
          </w:p>
        </w:tc>
        <w:tc>
          <w:tcPr>
            <w:tcW w:type="dxa" w:w="35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حساب الإرسال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داخلية بلا مقيّد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TB-10</w:t>
            </w:r>
          </w:p>
        </w:tc>
      </w:tr>
      <w:tr>
        <w:trPr>
          <w:cantSplit/>
        </w:trPr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DF-26</w:t>
            </w:r>
          </w:p>
        </w:tc>
        <w:tc>
          <w:tcPr>
            <w:tcW w:type="dxa" w:w="26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المنصة ↔ ERP والبنوك: أحداث وواجهات (لاحقًا)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HTTPS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35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رمز خدمة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داخلية، معرّفات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TB-11</w:t>
            </w:r>
          </w:p>
        </w:tc>
      </w:tr>
      <w:tr>
        <w:trPr>
          <w:cantSplit/>
        </w:trPr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DF-27</w:t>
            </w:r>
          </w:p>
        </w:tc>
        <w:tc>
          <w:tcPr>
            <w:tcW w:type="dxa" w:w="26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مزوّد الهوية ← التطبيق: مطالبات OIDC (لاحقًا)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HTTPS</w:t>
            </w:r>
          </w:p>
        </w:tc>
        <w:tc>
          <w:tcPr>
            <w:tcW w:type="dxa" w:w="35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مطالبات موقّعة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سرّية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TB-11</w:t>
            </w:r>
          </w:p>
        </w:tc>
      </w:tr>
      <w:tr>
        <w:trPr>
          <w:cantSplit/>
        </w:trPr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DF-28</w:t>
            </w:r>
          </w:p>
        </w:tc>
        <w:tc>
          <w:tcPr>
            <w:tcW w:type="dxa" w:w="26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المسؤول ← VPS: إدارة النظام والقاعدة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SSH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35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حساب نظام مسمّى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كل المستويات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TB-12</w:t>
            </w:r>
          </w:p>
        </w:tc>
      </w:tr>
      <w:tr>
        <w:trPr>
          <w:cantSplit/>
        </w:trPr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DF-29</w:t>
            </w:r>
          </w:p>
        </w:tc>
        <w:tc>
          <w:tcPr>
            <w:tcW w:type="dxa" w:w="26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VPS ← تخزين المزوّد: النسخ الاحتياطية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غير محدد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35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حساب النسخ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كل المستويات، المقيّد مشفّر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TB-13</w:t>
            </w:r>
          </w:p>
        </w:tc>
      </w:tr>
      <w:tr>
        <w:trPr>
          <w:cantSplit/>
        </w:trPr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DF-30</w:t>
            </w:r>
          </w:p>
        </w:tc>
        <w:tc>
          <w:tcPr>
            <w:tcW w:type="dxa" w:w="26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المزوّد ← أقراص VPS ولقطاتها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طبقة افتراضية</w:t>
            </w:r>
          </w:p>
        </w:tc>
        <w:tc>
          <w:tcPr>
            <w:tcW w:type="dxa" w:w="35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موظفو المزوّد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كل المستويات</w:t>
            </w:r>
          </w:p>
        </w:tc>
        <w:tc>
          <w:tcPr>
            <w:tcW w:type="dxa" w:w="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TB-13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9" w:id="9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9. قواعد استعمال الحدود</w:t>
      </w:r>
      <w:bookmarkEnd w:id="9"/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كل تدفق جديد يسمّي حده من هذا المستند، وكل حد جديد يُضاف هنا قبل التنفيذ.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لا يحمل مكوّن واحد في Z1 أسرار حدين بامتيازين مختلفين: تطبيق المشترك لا يحمل دخول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‎tp_platform‎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ولوحة المشغّل لا تحمل دخول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‎tp_app‎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ومسار الدعم دخول ثالث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‎tp_support‎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وصفه الواحد في DQ-F01-7 أدناه (DQ-F01-2، DQ-F04-6) </w:t>
      </w:r>
      <w:r>
        <w:rPr>
          <w:rFonts w:ascii="Segoe UI Emoji" w:cs="Segoe UI Emoji" w:eastAsia="Segoe UI Emoji" w:hAnsi="Segoe UI Emoji"/>
          <w:sz w:val="21"/>
          <w:szCs w:val="21"/>
          <w:rtl/>
        </w:rPr>
        <w:t xml:space="preserve">✅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كل عبور لـ TB-1 وTB-2 يحمل معرّف ارتباط ينتقل إلى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‎@CorrelationId‎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(db/static/030_session_context.sql:169) ثم إلى التدقيق (db/model/10-platform.model:317).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عنوان IP العميل يُؤخذ عند TB-1 من مصدر موثوق ثم يُمرَّر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‎@ClientIp‎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(db/static/030_session_context.sql:168). المصدر يحدده DOC-S03.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لا قيمة مقيّدة تعبر TB-10 أو TB-11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(FR-PLT-042، FR-NTF-013). DOC-F02 يتتبع ذلك.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عند TB-13 يُفترض أن المزوّد يقرأ الأقراص والنسخ؛ لذلك يُشفَّر المقيّد قبل الكتابة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(docs/20-database-design.md:174-186)، ويلزم TDE للبقية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(docs/10-detailed-analysis/10-m0-m1-platform-organization.md:582).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قبل تحميل أي بيانات حقيقية تُحسم المفاتيح والإقامة والنسخ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(docs/adr/0001-schema-work-on-linux.md:26).</w:t>
      </w:r>
    </w:p>
    <w:p>
      <w:pPr>
        <w:bidi/>
        <w:spacing w:after="60" w:before="0"/>
      </w:pPr>
    </w:p>
    <w:p>
      <w:pPr>
        <w:pStyle w:val="Heading1"/>
        <w:bidi/>
      </w:pPr>
      <w:bookmarkStart w:name="_sec10" w:id="10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10. التثبيت المحلي لاحقًا</w:t>
      </w:r>
      <w:bookmarkEnd w:id="10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حزمة النشر قابلة للنقل إلى خادم محلي لمن يطلبه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(FR-PLT-047). الحدود نفسها تبقى، ويتغير مالكها: TB-12 وTB-13 عند المشترك لا عند المزوّد، وTB-9 يلزمه مخزن مفاتيح لدى المشترك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يُعاد تقييم DOC-S01 لكل تثبيت محلي.</w:t>
      </w:r>
    </w:p>
    <w:p>
      <w:pPr>
        <w:pStyle w:val="Heading1"/>
        <w:bidi/>
      </w:pPr>
      <w:bookmarkStart w:name="_sec11" w:id="1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11. فجوات يكشفها المخطط</w:t>
      </w:r>
      <w:bookmarkEnd w:id="11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"/>
        <w:gridCol w:w="2274"/>
        <w:gridCol w:w="4653"/>
        <w:gridCol w:w="1963"/>
      </w:tblGrid>
      <w:tr>
        <w:trPr>
          <w:cantSplit/>
          <w:tblHeader/>
        </w:trPr>
        <w:tc>
          <w:tcPr>
            <w:tcW w:type="dxa" w:w="9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22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الفجوة</w:t>
            </w:r>
          </w:p>
        </w:tc>
        <w:tc>
          <w:tcPr>
            <w:tcW w:type="dxa" w:w="46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الدليل</w:t>
            </w:r>
          </w:p>
        </w:tc>
        <w:tc>
          <w:tcPr>
            <w:tcW w:type="dxa" w:w="19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المالك</w:t>
            </w:r>
          </w:p>
        </w:tc>
      </w:tr>
      <w:tr>
        <w:trPr>
          <w:cantSplit/>
        </w:trPr>
        <w:tc>
          <w:tcPr>
            <w:tcW w:type="dxa" w:w="9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G-01</w:t>
            </w:r>
          </w:p>
        </w:tc>
        <w:tc>
          <w:tcPr>
            <w:tcW w:type="dxa" w:w="22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مسار قبل الدخول يحوّل العنوان الفرعي إلى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‎TenantId‎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‎plat.Tenant‎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محجوب عن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‎tp_app‎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والعرض يتطلب ربطًا،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‎usp_GetPasswordParams‎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يأخذ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‎@TenantId‎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رقمًا</w:t>
            </w:r>
          </w:p>
        </w:tc>
        <w:tc>
          <w:tcPr>
            <w:tcW w:type="dxa" w:w="46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db/generated/tsql/007_table_grants.sql:13-14؛ db/static/025_tenant_views.sql:14؛ db/static/030_session_context.sql:23-26</w:t>
            </w:r>
          </w:p>
        </w:tc>
        <w:tc>
          <w:tcPr>
            <w:tcW w:type="dxa" w:w="19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DOC-F03</w:t>
            </w:r>
          </w:p>
        </w:tc>
      </w:tr>
      <w:tr>
        <w:trPr>
          <w:cantSplit/>
        </w:trPr>
        <w:tc>
          <w:tcPr>
            <w:tcW w:type="dxa" w:w="9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G-02</w:t>
            </w:r>
          </w:p>
        </w:tc>
        <w:tc>
          <w:tcPr>
            <w:tcW w:type="dxa" w:w="22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مسار ربط للمهام الخلفية: مستخدم الخدمة بلا كلمة مرور،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‎usp_StartSession‎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يرفض من لا تجزئة له</w:t>
            </w:r>
          </w:p>
        </w:tc>
        <w:tc>
          <w:tcPr>
            <w:tcW w:type="dxa" w:w="46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db/model/10-platform.model:150؛ db/static/030_session_context.sql:85-86</w:t>
            </w:r>
          </w:p>
        </w:tc>
        <w:tc>
          <w:tcPr>
            <w:tcW w:type="dxa" w:w="19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DOC-F04</w:t>
            </w:r>
          </w:p>
        </w:tc>
      </w:tr>
      <w:tr>
        <w:trPr>
          <w:cantSplit/>
        </w:trPr>
        <w:tc>
          <w:tcPr>
            <w:tcW w:type="dxa" w:w="9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G-03</w:t>
            </w:r>
          </w:p>
        </w:tc>
        <w:tc>
          <w:tcPr>
            <w:tcW w:type="dxa" w:w="22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مغلقة: وصول الدعم منفّذ كما في DQ-F01-7 أدناه</w:t>
            </w:r>
          </w:p>
        </w:tc>
        <w:tc>
          <w:tcPr>
            <w:tcW w:type="dxa" w:w="46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docs/20-database-design.md:118؛ db/static/036_operator_and_support.sql:486</w:t>
            </w:r>
          </w:p>
        </w:tc>
        <w:tc>
          <w:tcPr>
            <w:tcW w:type="dxa" w:w="19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DOC-F04 §6.2 (O-12 في 20-database-design)</w:t>
            </w:r>
          </w:p>
        </w:tc>
      </w:tr>
      <w:tr>
        <w:trPr>
          <w:cantSplit/>
        </w:trPr>
        <w:tc>
          <w:tcPr>
            <w:tcW w:type="dxa" w:w="9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G-04</w:t>
            </w:r>
          </w:p>
        </w:tc>
        <w:tc>
          <w:tcPr>
            <w:tcW w:type="dxa" w:w="22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‎tp_readonly‎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بلا مسار ربط، فلا تقارير على بيانات المشترك</w:t>
            </w:r>
          </w:p>
        </w:tc>
        <w:tc>
          <w:tcPr>
            <w:tcW w:type="dxa" w:w="46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db/static/030_session_context.sql:229-232؛ db/static/010_rls.sql:52-57</w:t>
            </w:r>
          </w:p>
        </w:tc>
        <w:tc>
          <w:tcPr>
            <w:tcW w:type="dxa" w:w="19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DQ-F01-5</w:t>
            </w:r>
          </w:p>
        </w:tc>
      </w:tr>
      <w:tr>
        <w:trPr>
          <w:cantSplit/>
        </w:trPr>
        <w:tc>
          <w:tcPr>
            <w:tcW w:type="dxa" w:w="9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G-05</w:t>
            </w:r>
          </w:p>
        </w:tc>
        <w:tc>
          <w:tcPr>
            <w:tcW w:type="dxa" w:w="22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دخول المشغّل لا يمر بإجراء في القاعدة،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‎tp_platform‎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يقرأ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‎PasswordHash‎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للمشغّلين</w:t>
            </w:r>
          </w:p>
        </w:tc>
        <w:tc>
          <w:tcPr>
            <w:tcW w:type="dxa" w:w="46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db/generated/tsql/007_table_grants.sql:18؛ db/generated/tsql/006_sensitive_columns.sql:7 يحجبه عن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‎tp_readonly‎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فقط</w:t>
            </w:r>
          </w:p>
        </w:tc>
        <w:tc>
          <w:tcPr>
            <w:tcW w:type="dxa" w:w="19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DQ-F01-3</w:t>
            </w:r>
          </w:p>
        </w:tc>
      </w:tr>
      <w:tr>
        <w:trPr>
          <w:cantSplit/>
        </w:trPr>
        <w:tc>
          <w:tcPr>
            <w:tcW w:type="dxa" w:w="9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G-06</w:t>
            </w:r>
          </w:p>
        </w:tc>
        <w:tc>
          <w:tcPr>
            <w:tcW w:type="dxa" w:w="22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‎tp_platform‎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يكتب صف تدقيق لأي مشترك. </w:t>
            </w: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القراءة صُحّحت (1f0f0af): يقرأ صفوف المنصة فقط (T38)</w:t>
            </w:r>
          </w:p>
        </w:tc>
        <w:tc>
          <w:tcPr>
            <w:tcW w:type="dxa" w:w="46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db/static/010_rls.sql:83، :92؛ db/generated/tsql/007_table_grants.sql:55</w:t>
            </w:r>
          </w:p>
        </w:tc>
        <w:tc>
          <w:tcPr>
            <w:tcW w:type="dxa" w:w="19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DOC-S01</w:t>
            </w:r>
          </w:p>
        </w:tc>
      </w:tr>
      <w:tr>
        <w:trPr>
          <w:cantSplit/>
        </w:trPr>
        <w:tc>
          <w:tcPr>
            <w:tcW w:type="dxa" w:w="9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G-07</w:t>
            </w:r>
          </w:p>
        </w:tc>
        <w:tc>
          <w:tcPr>
            <w:tcW w:type="dxa" w:w="22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التحقق من TOTP قبل الربط يحتاج قراءة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‎MfaSecretEnc‎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والاتصال غير المربوط لا يرى صف المستخدم</w:t>
            </w:r>
          </w:p>
        </w:tc>
        <w:tc>
          <w:tcPr>
            <w:tcW w:type="dxa" w:w="46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db/static/030_session_context.sql:198؛ db/static/010_rls.sql:52-57</w:t>
            </w:r>
          </w:p>
        </w:tc>
        <w:tc>
          <w:tcPr>
            <w:tcW w:type="dxa" w:w="19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DOC-F03، DOC-F02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12" w:id="12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12. القرارات المطلوبة</w:t>
      </w:r>
      <w:bookmarkEnd w:id="12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4"/>
        <w:gridCol w:w="1090"/>
        <w:gridCol w:w="5575"/>
        <w:gridCol w:w="994"/>
        <w:gridCol w:w="1211"/>
      </w:tblGrid>
      <w:tr>
        <w:trPr>
          <w:cantSplit/>
          <w:tblHeader/>
        </w:trPr>
        <w:tc>
          <w:tcPr>
            <w:tcW w:type="dxa" w:w="9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10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</w:t>
            </w:r>
          </w:p>
        </w:tc>
        <w:tc>
          <w:tcPr>
            <w:tcW w:type="dxa" w:w="55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 المقترح</w:t>
            </w:r>
          </w:p>
        </w:tc>
        <w:tc>
          <w:tcPr>
            <w:tcW w:type="dxa" w:w="9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من يقرر</w:t>
            </w:r>
          </w:p>
        </w:tc>
        <w:tc>
          <w:tcPr>
            <w:tcW w:type="dxa" w:w="12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يعطّله</w:t>
            </w:r>
          </w:p>
        </w:tc>
      </w:tr>
      <w:tr>
        <w:trPr>
          <w:cantSplit/>
        </w:trPr>
        <w:tc>
          <w:tcPr>
            <w:tcW w:type="dxa" w:w="9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DQ-F01-1</w:t>
            </w:r>
          </w:p>
        </w:tc>
        <w:tc>
          <w:tcPr>
            <w:tcW w:type="dxa" w:w="10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أين تعمل طبقة التطبيق نسبة إلى VPS القاعدة؟</w:t>
            </w:r>
          </w:p>
        </w:tc>
        <w:tc>
          <w:tcPr>
            <w:tcW w:type="dxa" w:w="55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خادم أو آلة افتراضية منفصلة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؛ المنفذ 1433 لا يُفتح للإنترنت؛ شبكة خاصة بين الطبقتين؛ TLS للاتصال (DOC-S05)</w:t>
            </w:r>
          </w:p>
        </w:tc>
        <w:tc>
          <w:tcPr>
            <w:tcW w:type="dxa" w:w="9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معماري الحلول مع مهندس DevOps</w:t>
            </w:r>
          </w:p>
        </w:tc>
        <w:tc>
          <w:tcPr>
            <w:tcW w:type="dxa" w:w="12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DOC-B11، DOC-S05، DOC-S10</w:t>
            </w:r>
          </w:p>
        </w:tc>
      </w:tr>
      <w:tr>
        <w:trPr>
          <w:cantSplit/>
        </w:trPr>
        <w:tc>
          <w:tcPr>
            <w:tcW w:type="dxa" w:w="9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DQ-F01-2</w:t>
            </w:r>
          </w:p>
        </w:tc>
        <w:tc>
          <w:tcPr>
            <w:tcW w:type="dxa" w:w="10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هل تُفصل لوحة المشغّل عن تطبيق المشترك؟</w:t>
            </w:r>
          </w:p>
        </w:tc>
        <w:tc>
          <w:tcPr>
            <w:tcW w:type="dxa" w:w="55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عملية مستقلة على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‎admin.bankfas.com‎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بدخول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‎tp_platform‎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خاص بها؛ تطبيق المشترك لا يحمل هذا الدخول</w:t>
            </w:r>
          </w:p>
        </w:tc>
        <w:tc>
          <w:tcPr>
            <w:tcW w:type="dxa" w:w="9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معماري الحلول</w:t>
            </w:r>
          </w:p>
        </w:tc>
        <w:tc>
          <w:tcPr>
            <w:tcW w:type="dxa" w:w="12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DOC-S03، DOC-S08</w:t>
            </w:r>
          </w:p>
        </w:tc>
      </w:tr>
      <w:tr>
        <w:trPr>
          <w:cantSplit/>
        </w:trPr>
        <w:tc>
          <w:tcPr>
            <w:tcW w:type="dxa" w:w="9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DQ-F01-3</w:t>
            </w:r>
          </w:p>
        </w:tc>
        <w:tc>
          <w:tcPr>
            <w:tcW w:type="dxa" w:w="10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هل يمر دخول المشغّل بإجراءات في القاعدة كما في ADR 0002؟</w:t>
            </w:r>
          </w:p>
        </w:tc>
        <w:tc>
          <w:tcPr>
            <w:tcW w:type="dxa" w:w="55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نعم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: إجراءات بصفة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‎tp_auth_exec‎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وجدول جلسات للمشغّل، وDENY على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‎plat.PlatformOperator.PasswordHash‎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لـ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‎tp_platform‎</w:t>
            </w:r>
          </w:p>
        </w:tc>
        <w:tc>
          <w:tcPr>
            <w:tcW w:type="dxa" w:w="9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مسؤول الهوية والأمن</w:t>
            </w:r>
          </w:p>
        </w:tc>
        <w:tc>
          <w:tcPr>
            <w:tcW w:type="dxa" w:w="12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DOC-F03، DOC-S04، DOC-S08</w:t>
            </w:r>
          </w:p>
        </w:tc>
      </w:tr>
      <w:tr>
        <w:trPr>
          <w:cantSplit/>
        </w:trPr>
        <w:tc>
          <w:tcPr>
            <w:tcW w:type="dxa" w:w="9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DQ-F01-4</w:t>
            </w:r>
          </w:p>
        </w:tc>
        <w:tc>
          <w:tcPr>
            <w:tcW w:type="dxa" w:w="10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أين يقع مخزن الملفات؟</w:t>
            </w:r>
          </w:p>
        </w:tc>
        <w:tc>
          <w:tcPr>
            <w:tcW w:type="dxa" w:w="55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قرص منفصل على VPS نفسه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؛ الملف مشفّر بمفتاح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‎FILE‎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قبل الكتابة؛ يُنسخ مع النسخ الاحتياطي</w:t>
            </w:r>
          </w:p>
        </w:tc>
        <w:tc>
          <w:tcPr>
            <w:tcW w:type="dxa" w:w="9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مهندس DevOps</w:t>
            </w:r>
          </w:p>
        </w:tc>
        <w:tc>
          <w:tcPr>
            <w:tcW w:type="dxa" w:w="12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DOC-S09، DOC-S10</w:t>
            </w:r>
          </w:p>
        </w:tc>
      </w:tr>
      <w:tr>
        <w:trPr>
          <w:cantSplit/>
        </w:trPr>
        <w:tc>
          <w:tcPr>
            <w:tcW w:type="dxa" w:w="9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DQ-F01-5</w:t>
            </w:r>
          </w:p>
        </w:tc>
        <w:tc>
          <w:tcPr>
            <w:tcW w:type="dxa" w:w="10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كيف تقرأ التقارير بيانات المشترك؟</w:t>
            </w:r>
          </w:p>
        </w:tc>
        <w:tc>
          <w:tcPr>
            <w:tcW w:type="dxa" w:w="55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دخول إنتاجي لـ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‎tp_readonly‎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حتى يُقرَّر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؛ تقارير المشترك تمر عبر TB-3 باتصال مربوط؛ تقارير المشغّل عدّادات فقط (FR-PLT-005)</w:t>
            </w:r>
          </w:p>
        </w:tc>
        <w:tc>
          <w:tcPr>
            <w:tcW w:type="dxa" w:w="9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معماري قاعدة البيانات</w:t>
            </w:r>
          </w:p>
        </w:tc>
        <w:tc>
          <w:tcPr>
            <w:tcW w:type="dxa" w:w="12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DOC-S08، DOC-B03</w:t>
            </w:r>
          </w:p>
        </w:tc>
      </w:tr>
      <w:tr>
        <w:trPr>
          <w:cantSplit/>
        </w:trPr>
        <w:tc>
          <w:tcPr>
            <w:tcW w:type="dxa" w:w="9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DQ-F01-6</w:t>
            </w:r>
          </w:p>
        </w:tc>
        <w:tc>
          <w:tcPr>
            <w:tcW w:type="dxa" w:w="10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كيف يصل المسؤولون إلى VPS؟</w:t>
            </w:r>
          </w:p>
        </w:tc>
        <w:tc>
          <w:tcPr>
            <w:tcW w:type="dxa" w:w="55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SSH بالمفاتيح فقط عبر VPN أو مضيف وسيط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حسابات مسمّاة، لا دخول مباشر لـroot، وحساب نشر منفصل عن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‎sa‎</w:t>
            </w:r>
          </w:p>
        </w:tc>
        <w:tc>
          <w:tcPr>
            <w:tcW w:type="dxa" w:w="9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مهندس DevOps مع مسؤول الأمن</w:t>
            </w:r>
          </w:p>
        </w:tc>
        <w:tc>
          <w:tcPr>
            <w:tcW w:type="dxa" w:w="12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DOC-S10، DOC-S11، DOC-S08</w:t>
            </w:r>
          </w:p>
        </w:tc>
      </w:tr>
      <w:tr>
        <w:trPr>
          <w:cantSplit/>
        </w:trPr>
        <w:tc>
          <w:tcPr>
            <w:tcW w:type="dxa" w:w="9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DQ-F01-7</w:t>
            </w:r>
          </w:p>
        </w:tc>
        <w:tc>
          <w:tcPr>
            <w:tcW w:type="dxa" w:w="10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 أين يقرأ الدعم المؤقت بيانات المشترك؟</w:t>
            </w:r>
          </w:p>
        </w:tc>
        <w:tc>
          <w:tcPr>
            <w:tcW w:type="dxa" w:w="55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بجلسة دعم يتحقق إجراؤها من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‎plat.SupportAccessGrant‎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لا عبر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‎tp_platform‎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. </w:t>
            </w: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منفّذ بصيغة DQ-F04-6 المعتمدة في اليوم نفسه، لا عبر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‎tp_app‎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: دخول خاص في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‎tp_support‎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(عضو في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‎tp_readonly‎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: قراءة بلا الأعمدة المقيّدة ولا كتابة، وتحت مرشحات الصفوف)، يربطه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‎sec.usp_SetSupportContext‎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بمشترك واحد بعد التحقق من جلسة المشغّل بـ MFA ومن منحة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‎plat.SupportAccessGrant‎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سارية (db/static/036_operator_and_support.sql:23-32؛ DOC-F04 §6.2؛ DQ-F04-6). هذا هو الوصف المرجعي، وتحيل إليه G-03 وTHR-15 (DOC-S01)</w:t>
            </w:r>
          </w:p>
        </w:tc>
        <w:tc>
          <w:tcPr>
            <w:tcW w:type="dxa" w:w="9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معماري الأمن مع مالك المنتج</w:t>
            </w:r>
          </w:p>
        </w:tc>
        <w:tc>
          <w:tcPr>
            <w:tcW w:type="dxa" w:w="12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DOC-F04، FR-PLT-007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13" w:id="13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13. تعارضات وفجوات في المصادر</w:t>
      </w:r>
      <w:bookmarkEnd w:id="13"/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docs/20-database-design.md:267 يقول إن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‎tp_app‎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ينفّذ إجراء الربط وحده، وdb/static/030_session_context.sql:229-232 تمنحه أربعة إجراءات. وتعليقا db/static/020_roles_and_grants.sql:7 و:32 ما زالا يحصران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‎tp_auth‎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إجراء السياق وقراءة جدولين، والمنح في :59 و:67-69 أوسع (وصف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‎tp_auth‎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docs/20-database-design.md:94 و:269 صُحّح في 1f0f0af).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Segoe UI Emoji" w:cs="Segoe UI Emoji" w:eastAsia="Segoe UI Emoji" w:hAnsi="Segoe UI Emoji"/>
          <w:sz w:val="21"/>
          <w:szCs w:val="21"/>
          <w:rtl/>
        </w:rPr>
        <w:t xml:space="preserve">✅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القراءة صُحّحت (1f0f0af):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‎rls.fn_AuditRead‎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يقصر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‎tp_platform‎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على صفوف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‎TenantId IS NULL‎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(db/static/010_rls.sql:83؛ T38)، كما يقول docs/20-database-design.md:112. يبقى: docs/20-database-design.md:117 يقول إن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‎tp_platform‎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يكتب سجلات المنصة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‎aud‎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وdb/static/010_rls.sql:92 يتيح له إدراج صف تدقيق بأي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‎TenantId‎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(G-06).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Segoe UI Emoji" w:cs="Segoe UI Emoji" w:eastAsia="Segoe UI Emoji" w:hAnsi="Segoe UI Emoji"/>
          <w:sz w:val="21"/>
          <w:szCs w:val="21"/>
          <w:rtl/>
        </w:rPr>
        <w:t xml:space="preserve">✅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صُحّح (2026-10-12): O-09 في tools/dbgen/erd_open_items.py وdocs/20-database-design.md §14 يذكران الآن 41 حالة عزل (T1-T38).</w:t>
      </w:r>
    </w:p>
    <w:p>
      <w:pPr>
        <w:bidi/>
        <w:spacing w:after="60" w:before="0"/>
      </w:pPr>
    </w:p>
    <w:p>
      <w:pPr>
        <w:pStyle w:val="Heading1"/>
        <w:bidi/>
      </w:pPr>
      <w:bookmarkStart w:name="_sec14" w:id="14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14. التتبع</w:t>
      </w:r>
      <w:bookmarkEnd w:id="14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"/>
        <w:gridCol w:w="2221"/>
        <w:gridCol w:w="6664"/>
      </w:tblGrid>
      <w:tr>
        <w:trPr>
          <w:cantSplit/>
          <w:tblHeader/>
        </w:trPr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 في هذه الوثيقة</w:t>
            </w:r>
          </w:p>
        </w:tc>
        <w:tc>
          <w:tcPr>
            <w:tcW w:type="dxa" w:w="222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المتطلب أو القاعدة أو القرار</w:t>
            </w:r>
          </w:p>
        </w:tc>
        <w:tc>
          <w:tcPr>
            <w:tcW w:type="dxa" w:w="66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المصدر</w:t>
            </w:r>
          </w:p>
        </w:tc>
      </w:tr>
      <w:tr>
        <w:trPr>
          <w:cantSplit/>
        </w:trPr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Z2، TB-7</w:t>
            </w:r>
          </w:p>
        </w:tc>
        <w:tc>
          <w:tcPr>
            <w:tcW w:type="dxa" w:w="222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ADR 0001 (Ubuntu 24.04، SQL Server 2025)</w:t>
            </w:r>
          </w:p>
        </w:tc>
        <w:tc>
          <w:tcPr>
            <w:tcW w:type="dxa" w:w="66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docs/adr/0001-schema-work-on-linux.md:16، :19</w:t>
            </w:r>
          </w:p>
        </w:tc>
      </w:tr>
      <w:tr>
        <w:trPr>
          <w:cantSplit/>
        </w:trPr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TB-1، DF-01 إلى DF-03، DF-13، DF-14</w:t>
            </w:r>
          </w:p>
        </w:tc>
        <w:tc>
          <w:tcPr>
            <w:tcW w:type="dxa" w:w="222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ADR 0002، FR-PLT-010 إلى FR-PLT-014</w:t>
            </w:r>
          </w:p>
        </w:tc>
        <w:tc>
          <w:tcPr>
            <w:tcW w:type="dxa" w:w="66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docs/adr/0002-login-and-session-bound-context.md:17-22؛ db/static/030_session_context.sql:23-227</w:t>
            </w:r>
          </w:p>
        </w:tc>
      </w:tr>
      <w:tr>
        <w:trPr>
          <w:cantSplit/>
        </w:trPr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TB-1، DF-05</w:t>
            </w:r>
          </w:p>
        </w:tc>
        <w:tc>
          <w:tcPr>
            <w:tcW w:type="dxa" w:w="222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FR-PLT-041، FR-PLT-046</w:t>
            </w:r>
          </w:p>
        </w:tc>
        <w:tc>
          <w:tcPr>
            <w:tcW w:type="dxa" w:w="66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docs/10-detailed-analysis/10-m0-m1-platform-organization.md:143، :148</w:t>
            </w:r>
          </w:p>
        </w:tc>
      </w:tr>
      <w:tr>
        <w:trPr>
          <w:cantSplit/>
        </w:trPr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TB-2، A-06، A-07، DF-12</w:t>
            </w:r>
          </w:p>
        </w:tc>
        <w:tc>
          <w:tcPr>
            <w:tcW w:type="dxa" w:w="222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FR-PLT-005، FR-PLT-006، FR-PLT-007، BR-PLT-017</w:t>
            </w:r>
          </w:p>
        </w:tc>
        <w:tc>
          <w:tcPr>
            <w:tcW w:type="dxa" w:w="66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docs/10-detailed-analysis/10-m0-m1-platform-organization.md:107-109؛ db/model/10-platform.model:64-108</w:t>
            </w:r>
          </w:p>
        </w:tc>
      </w:tr>
      <w:tr>
        <w:trPr>
          <w:cantSplit/>
        </w:trPr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TB-3، TB-4، §7</w:t>
            </w:r>
          </w:p>
        </w:tc>
        <w:tc>
          <w:tcPr>
            <w:tcW w:type="dxa" w:w="222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FR-PLT-036، BR-PLT-001، O-16 وO-17 (erd_open_items)</w:t>
            </w:r>
          </w:p>
        </w:tc>
        <w:tc>
          <w:tcPr>
            <w:tcW w:type="dxa" w:w="66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db/static/010_rls.sql؛ tools/dbgen/erd_open_items.py:104-113</w:t>
            </w:r>
          </w:p>
        </w:tc>
      </w:tr>
      <w:tr>
        <w:trPr>
          <w:cantSplit/>
        </w:trPr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TB-5، G-06</w:t>
            </w:r>
          </w:p>
        </w:tc>
        <w:tc>
          <w:tcPr>
            <w:tcW w:type="dxa" w:w="222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FR-PLT-005، O-12 (20-database-design)</w:t>
            </w:r>
          </w:p>
        </w:tc>
        <w:tc>
          <w:tcPr>
            <w:tcW w:type="dxa" w:w="66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db/static/010_rls.sql:79-93؛ docs/20-database-design.md:540</w:t>
            </w:r>
          </w:p>
        </w:tc>
      </w:tr>
      <w:tr>
        <w:trPr>
          <w:cantSplit/>
        </w:trPr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TB-6، G-04</w:t>
            </w:r>
          </w:p>
        </w:tc>
        <w:tc>
          <w:tcPr>
            <w:tcW w:type="dxa" w:w="222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الأدوار (20-database-design §9.1)</w:t>
            </w:r>
          </w:p>
        </w:tc>
        <w:tc>
          <w:tcPr>
            <w:tcW w:type="dxa" w:w="66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db/static/020_roles_and_grants.sql:49-63</w:t>
            </w:r>
          </w:p>
        </w:tc>
      </w:tr>
      <w:tr>
        <w:trPr>
          <w:cantSplit/>
        </w:trPr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TB-8، D-03</w:t>
            </w:r>
          </w:p>
        </w:tc>
        <w:tc>
          <w:tcPr>
            <w:tcW w:type="dxa" w:w="222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FR-PLT-027، FR-PLT-029</w:t>
            </w:r>
          </w:p>
        </w:tc>
        <w:tc>
          <w:tcPr>
            <w:tcW w:type="dxa" w:w="66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db/model/10-platform.model:386-408</w:t>
            </w:r>
          </w:p>
        </w:tc>
      </w:tr>
      <w:tr>
        <w:trPr>
          <w:cantSplit/>
        </w:trPr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TB-9، A-11</w:t>
            </w:r>
          </w:p>
        </w:tc>
        <w:tc>
          <w:tcPr>
            <w:tcW w:type="dxa" w:w="222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FR-PLT-037، BR-PLT-015</w:t>
            </w:r>
          </w:p>
        </w:tc>
        <w:tc>
          <w:tcPr>
            <w:tcW w:type="dxa" w:w="66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db/model/10-platform.model:276-301</w:t>
            </w:r>
          </w:p>
        </w:tc>
      </w:tr>
      <w:tr>
        <w:trPr>
          <w:cantSplit/>
        </w:trPr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TB-10، A-09</w:t>
            </w:r>
          </w:p>
        </w:tc>
        <w:tc>
          <w:tcPr>
            <w:tcW w:type="dxa" w:w="222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FR-PLT-013، FR-NTF-013</w:t>
            </w:r>
          </w:p>
        </w:tc>
        <w:tc>
          <w:tcPr>
            <w:tcW w:type="dxa" w:w="66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docs/10-detailed-analysis/10-m0-m1-platform-organization.md:115</w:t>
            </w:r>
          </w:p>
        </w:tc>
      </w:tr>
      <w:tr>
        <w:trPr>
          <w:cantSplit/>
        </w:trPr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TB-11، A-14 إلى A-16</w:t>
            </w:r>
          </w:p>
        </w:tc>
        <w:tc>
          <w:tcPr>
            <w:tcW w:type="dxa" w:w="222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D-10، FR-PLT-015، FR-PLT-042</w:t>
            </w:r>
          </w:p>
        </w:tc>
        <w:tc>
          <w:tcPr>
            <w:tcW w:type="dxa" w:w="66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docs/10-detailed-analysis/10-m0-m1-platform-organization.md:562-575</w:t>
            </w:r>
          </w:p>
        </w:tc>
      </w:tr>
      <w:tr>
        <w:trPr>
          <w:cantSplit/>
        </w:trPr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TB-12، TB-13</w:t>
            </w:r>
          </w:p>
        </w:tc>
        <w:tc>
          <w:tcPr>
            <w:tcW w:type="dxa" w:w="222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Q-PLT-03، O-23 (erd_open_items)</w:t>
            </w:r>
          </w:p>
        </w:tc>
        <w:tc>
          <w:tcPr>
            <w:tcW w:type="dxa" w:w="66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docs/10-detailed-analysis/10-m0-m1-platform-organization.md:615؛ tools/dbgen/erd_open_items.py:146-150</w:t>
            </w:r>
          </w:p>
        </w:tc>
      </w:tr>
      <w:tr>
        <w:trPr>
          <w:cantSplit/>
        </w:trPr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§10</w:t>
            </w:r>
          </w:p>
        </w:tc>
        <w:tc>
          <w:tcPr>
            <w:tcW w:type="dxa" w:w="222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FR-PLT-047</w:t>
            </w:r>
          </w:p>
        </w:tc>
        <w:tc>
          <w:tcPr>
            <w:tcW w:type="dxa" w:w="66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docs/10-detailed-analysis/10-m0-m1-platform-organization.md:149</w:t>
            </w:r>
          </w:p>
        </w:tc>
      </w:tr>
      <w:tr>
        <w:trPr>
          <w:cantSplit/>
        </w:trPr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التصنيف</w:t>
            </w:r>
          </w:p>
        </w:tc>
        <w:tc>
          <w:tcPr>
            <w:tcW w:type="dxa" w:w="222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الأمن والتدقيق §12</w:t>
            </w:r>
          </w:p>
        </w:tc>
        <w:tc>
          <w:tcPr>
            <w:tcW w:type="dxa" w:w="66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docs/10-detailed-analysis/10-m0-m1-platform-organization.md:581</w:t>
            </w:r>
          </w:p>
        </w:tc>
      </w:tr>
    </w:tbl>
    <w:p>
      <w:pPr>
        <w:bidi/>
        <w:spacing w:after="120" w:before="0"/>
      </w:pPr>
    </w:p>
    <w:sectPr>
      <w:headerReference w:type="default" r:id="rId7"/>
      <w:footerReference w:type="default" r:id="rId8"/>
      <w:pgSz w:w="11906" w:h="16838" w:orient="portrait"/>
      <w:pgMar w:top="1134" w:right="1021" w:bottom="1134" w:left="1021" w:header="500" w:footer="500" w:gutter="0"/>
      <w:pgNumType/>
      <w:bidi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5B6670"/>
        <w:sz w:val="17"/>
        <w:szCs w:val="17"/>
        <w:rtl/>
      </w:rPr>
      <w:t xml:space="preserve">صفحة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670"/>
        <w:sz w:val="17"/>
        <w:szCs w:val="17"/>
        <w:rtl/>
      </w:rPr>
      <w:t xml:space="preserve"> من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6" w:sz="4" w:space="4"/>
      </w:pBdr>
      <w:bidi/>
      <w:spacing w:after="0"/>
    </w:pPr>
    <w:r>
      <w:rPr>
        <w:rFonts w:ascii="Arial" w:cs="Arial" w:eastAsia="Arial" w:hAnsi="Arial"/>
        <w:color w:val="5B6670"/>
        <w:sz w:val="17"/>
        <w:szCs w:val="17"/>
        <w:rtl/>
      </w:rPr>
      <w:t xml:space="preserve">DOC-F01 · BankFas · مستندات الجاهزية P0 · 0.1 مسودة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4" w:hanging="284"/>
      </w:pPr>
    </w:lvl>
    <w:lvl w:ilvl="1" w15:tentative="1">
      <w:start w:val="1"/>
      <w:numFmt w:val="bullet"/>
      <w:lvlText w:val="–"/>
      <w:lvlJc w:val="left"/>
      <w:pPr>
        <w:ind w:left="1028" w:hanging="284"/>
      </w:pPr>
    </w:lvl>
    <w:lvl w:ilvl="2" w15:tentative="1">
      <w:start w:val="1"/>
      <w:numFmt w:val="bullet"/>
      <w:lvlText w:val="·"/>
      <w:lvlJc w:val="left"/>
      <w:pPr>
        <w:ind w:left="1482" w:hanging="284"/>
      </w:pPr>
    </w:lvl>
    <w:lvl w:ilvl="3" w15:tentative="1">
      <w:start w:val="1"/>
      <w:numFmt w:val="bullet"/>
      <w:lvlText w:val="·"/>
      <w:lvlJc w:val="left"/>
      <w:pPr>
        <w:ind w:left="1936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rtl/>
        <w:lang w:val="ar-SA" w:bidi="ar-SA"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bidi/>
      <w:spacing w:after="160" w:before="0"/>
    </w:pPr>
    <w:rPr>
      <w:b/>
      <w:bCs/>
      <w:color w:val="1F3A5F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A5F" w:sz="8" w:space="3"/>
      </w:pBdr>
      <w:bidi/>
      <w:spacing w:after="140" w:before="38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bidi/>
      <w:spacing w:after="100" w:before="260"/>
      <w:outlineLvl w:val="1"/>
    </w:pPr>
    <w:rPr>
      <w:b/>
      <w:bCs/>
      <w:color w:val="2B5C8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bidi/>
      <w:spacing w:after="80" w:before="200"/>
      <w:outlineLvl w:val="2"/>
    </w:pPr>
    <w:rPr>
      <w:b/>
      <w:bCs/>
      <w:color w:val="2B5C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5b92f561573965f37d3192de8cfe7464bd45d87.png"/><Relationship Id="rId10" Type="http://schemas.openxmlformats.org/officeDocument/2006/relationships/image" Target="media/c359ca8dd2c621cdb8b2176c740213648f851de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DOC-F01 — مخطط السياق وحدود الثقة (DFD المستوى 0)</dc:title>
  <dc:creator>Claude</dc:creator>
  <dc:description>BankFas database design document</dc:description>
  <cp:lastModifiedBy>Un-named</cp:lastModifiedBy>
  <cp:revision>1</cp:revision>
  <dcterms:created xsi:type="dcterms:W3CDTF">2026-10-21T12:10:50.464Z</dcterms:created>
  <dcterms:modified xsi:type="dcterms:W3CDTF">2026-10-21T12:10:50.465Z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