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دراسة المراجعة المعمارية النقدية (النسخة 5.0)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80"/>
        <w:gridCol w:w="6784"/>
      </w:tblGrid>
      <w:tr>
        <w:trPr>
          <w:cantSplit/>
          <w:tblHeader/>
        </w:trPr>
        <w:tc>
          <w:tcPr>
            <w:tcW w:type="dxa" w:w="30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7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308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المراجعة</w:t>
            </w:r>
          </w:p>
        </w:tc>
        <w:tc>
          <w:tcPr>
            <w:tcW w:type="dxa" w:w="6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معمارية نقدية مستقلة»، النسخة 5.0، 2026-10-21، الحكم «مقبول مشروط» بدرجة 74.1 من 100، والسابقة 74.5 في 4.0 و72.6 في 3.0 و70.9 في 2.0. بُنيت على حزمة من 745 ملفًا، ومقارنة كل ملف ببصمته مع حزمة 4.0</w:t>
            </w:r>
          </w:p>
        </w:tc>
      </w:tr>
      <w:tr>
        <w:trPr>
          <w:cantSplit/>
        </w:trPr>
        <w:tc>
          <w:tcPr>
            <w:tcW w:type="dxa" w:w="308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 درس</w:t>
            </w:r>
          </w:p>
        </w:tc>
        <w:tc>
          <w:tcPr>
            <w:tcW w:type="dxa" w:w="6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Claude، بطلب المالك؛ لا خبراء بشريون. كل ادعاء قوبل بالملف والسطر في المستودع</w:t>
            </w:r>
          </w:p>
        </w:tc>
      </w:tr>
      <w:tr>
        <w:trPr>
          <w:cantSplit/>
        </w:trPr>
        <w:tc>
          <w:tcPr>
            <w:tcW w:type="dxa" w:w="308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الإيداع المدروس</w:t>
            </w:r>
          </w:p>
        </w:tc>
        <w:tc>
          <w:tcPr>
            <w:tcW w:type="dxa" w:w="6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‎d0ed2e8‎</w:t>
            </w:r>
            <w:r>
              <w:rPr>
                <w:rFonts w:ascii="Arial" w:cs="Arial" w:eastAsia="Arial" w:hAnsi="Arial"/>
                <w:b w:val="false"/>
                <w:bCs w:val="false"/>
                <w:sz w:val="18"/>
                <w:szCs w:val="18"/>
                <w:rtl/>
              </w:rPr>
              <w:t xml:space="preserve">، وهو إيداع الحزمة التي راجعتها؛ وما بُني بعدها مذكور في §7</w:t>
            </w:r>
          </w:p>
        </w:tc>
      </w:tr>
      <w:tr>
        <w:trPr>
          <w:cantSplit/>
        </w:trPr>
        <w:tc>
          <w:tcPr>
            <w:tcW w:type="dxa" w:w="308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ما بُني ردًّا عليها</w:t>
            </w:r>
          </w:p>
        </w:tc>
        <w:tc>
          <w:tcPr>
            <w:tcW w:type="dxa" w:w="6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الثلاثة المعلّقة من الجولة السابقة (ADR 0032 إلى 0034، الإيداع </w:t>
            </w:r>
            <w:r>
              <w:rPr>
                <w:rFonts w:ascii="Courier New" w:cs="Courier New" w:eastAsia="Courier New" w:hAnsi="Courier New"/>
                <w:b w:val="false"/>
                <w:bCs w:val="false"/>
                <w:color w:val="1F2937"/>
                <w:sz w:val="16"/>
                <w:szCs w:val="16"/>
                <w:shd w:fill="F1F3F5" w:color="auto" w:val="clear"/>
                <w:rtl/>
              </w:rPr>
              <w:t xml:space="preserve">‎cca3839‎</w:t>
            </w:r>
            <w:r>
              <w:rPr>
                <w:rFonts w:ascii="Arial" w:cs="Arial" w:eastAsia="Arial" w:hAnsi="Arial"/>
                <w:b w:val="false"/>
                <w:bCs w:val="false"/>
                <w:sz w:val="18"/>
                <w:szCs w:val="18"/>
                <w:rtl/>
              </w:rPr>
              <w:t xml:space="preserve">)، ثم الحزمة CORE.ROLES التي تغلق E2 (ADR 0035)</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الخلاصة</w:t>
        </w:r>
      </w:hyperlink>
    </w:p>
    <w:p>
      <w:pPr>
        <w:bidi/>
        <w:spacing w:after="50" w:before="0"/>
        <w:ind w:left="0"/>
      </w:pPr>
      <w:hyperlink w:history="1" w:anchor="_sec2">
        <w:r>
          <w:rPr>
            <w:rFonts w:ascii="Arial" w:cs="Arial" w:eastAsia="Arial" w:hAnsi="Arial"/>
            <w:b/>
            <w:bCs/>
            <w:color w:val="1F3A5F"/>
            <w:sz w:val="20"/>
            <w:szCs w:val="20"/>
            <w:rtl/>
          </w:rPr>
          <w:t xml:space="preserve">2. ملاحظات صحيحة نقبلها كما هي</w:t>
        </w:r>
      </w:hyperlink>
    </w:p>
    <w:p>
      <w:pPr>
        <w:bidi/>
        <w:spacing w:after="50" w:before="0"/>
        <w:ind w:left="0"/>
      </w:pPr>
      <w:hyperlink w:history="1" w:anchor="_sec3">
        <w:r>
          <w:rPr>
            <w:rFonts w:ascii="Arial" w:cs="Arial" w:eastAsia="Arial" w:hAnsi="Arial"/>
            <w:b/>
            <w:bCs/>
            <w:color w:val="1F3A5F"/>
            <w:sz w:val="20"/>
            <w:szCs w:val="20"/>
            <w:rtl/>
          </w:rPr>
          <w:t xml:space="preserve">3. الملاحظة E2: صحيحة، وأوسع مما قالت، وأُغلقت بالبناء</w:t>
        </w:r>
      </w:hyperlink>
    </w:p>
    <w:p>
      <w:pPr>
        <w:bidi/>
        <w:spacing w:after="50" w:before="0"/>
        <w:ind w:left="0"/>
      </w:pPr>
      <w:hyperlink w:history="1" w:anchor="_sec4">
        <w:r>
          <w:rPr>
            <w:rFonts w:ascii="Arial" w:cs="Arial" w:eastAsia="Arial" w:hAnsi="Arial"/>
            <w:b/>
            <w:bCs/>
            <w:color w:val="1F3A5F"/>
            <w:sz w:val="20"/>
            <w:szCs w:val="20"/>
            <w:rtl/>
          </w:rPr>
          <w:t xml:space="preserve">4. مواضع تحتاج ضبطًا</w:t>
        </w:r>
      </w:hyperlink>
    </w:p>
    <w:p>
      <w:pPr>
        <w:bidi/>
        <w:spacing w:after="50" w:before="0"/>
        <w:ind w:left="0"/>
      </w:pPr>
      <w:hyperlink w:history="1" w:anchor="_sec9">
        <w:r>
          <w:rPr>
            <w:rFonts w:ascii="Arial" w:cs="Arial" w:eastAsia="Arial" w:hAnsi="Arial"/>
            <w:b/>
            <w:bCs/>
            <w:color w:val="1F3A5F"/>
            <w:sz w:val="20"/>
            <w:szCs w:val="20"/>
            <w:rtl/>
          </w:rPr>
          <w:t xml:space="preserve">5. التحقق من أرقام المراجعة</w:t>
        </w:r>
      </w:hyperlink>
    </w:p>
    <w:p>
      <w:pPr>
        <w:bidi/>
        <w:spacing w:after="50" w:before="0"/>
        <w:ind w:left="0"/>
      </w:pPr>
      <w:hyperlink w:history="1" w:anchor="_sec10">
        <w:r>
          <w:rPr>
            <w:rFonts w:ascii="Arial" w:cs="Arial" w:eastAsia="Arial" w:hAnsi="Arial"/>
            <w:b/>
            <w:bCs/>
            <w:color w:val="1F3A5F"/>
            <w:sz w:val="20"/>
            <w:szCs w:val="20"/>
            <w:rtl/>
          </w:rPr>
          <w:t xml:space="preserve">6. القرارات المطلوبة من الإدارة: توصياتنا</w:t>
        </w:r>
      </w:hyperlink>
    </w:p>
    <w:p>
      <w:pPr>
        <w:bidi/>
        <w:spacing w:after="50" w:before="0"/>
        <w:ind w:left="0"/>
      </w:pPr>
      <w:hyperlink w:history="1" w:anchor="_sec11">
        <w:r>
          <w:rPr>
            <w:rFonts w:ascii="Arial" w:cs="Arial" w:eastAsia="Arial" w:hAnsi="Arial"/>
            <w:b/>
            <w:bCs/>
            <w:color w:val="1F3A5F"/>
            <w:sz w:val="20"/>
            <w:szCs w:val="20"/>
            <w:rtl/>
          </w:rPr>
          <w:t xml:space="preserve">7. ما بُني بعد الحزمة المراجَعة</w:t>
        </w:r>
      </w:hyperlink>
    </w:p>
    <w:p>
      <w:pPr>
        <w:bidi/>
        <w:spacing w:after="50" w:before="0"/>
        <w:ind w:left="0"/>
      </w:pPr>
      <w:hyperlink w:history="1" w:anchor="_sec12">
        <w:r>
          <w:rPr>
            <w:rFonts w:ascii="Arial" w:cs="Arial" w:eastAsia="Arial" w:hAnsi="Arial"/>
            <w:b/>
            <w:bCs/>
            <w:color w:val="1F3A5F"/>
            <w:sz w:val="20"/>
            <w:szCs w:val="20"/>
            <w:rtl/>
          </w:rPr>
          <w:t xml:space="preserve">8. بنود مقترحة للبناء (تنتظر موافقة المالك)</w:t>
        </w:r>
      </w:hyperlink>
    </w:p>
    <w:p>
      <w:r>
        <w:br w:type="page"/>
      </w:r>
    </w:p>
    <w:p>
      <w:pPr>
        <w:pStyle w:val="Heading1"/>
        <w:bidi/>
      </w:pPr>
      <w:bookmarkStart w:name="_sec1" w:id="1"/>
      <w:r>
        <w:rPr>
          <w:rFonts w:ascii="Arial" w:cs="Arial" w:eastAsia="Arial" w:hAnsi="Arial"/>
          <w:b/>
          <w:bCs/>
          <w:color w:val="1F3A5F"/>
          <w:sz w:val="32"/>
          <w:szCs w:val="32"/>
          <w:rtl/>
        </w:rPr>
        <w:t xml:space="preserve">1. الخلاصة</w:t>
      </w:r>
      <w:bookmarkEnd w:id="1"/>
    </w:p>
    <w:p>
      <w:pPr>
        <w:bidi/>
        <w:spacing w:after="110" w:before="0" w:line="312"/>
      </w:pPr>
      <w:r>
        <w:rPr>
          <w:rFonts w:ascii="Arial" w:cs="Arial" w:eastAsia="Arial" w:hAnsi="Arial"/>
          <w:b w:val="false"/>
          <w:bCs w:val="false"/>
          <w:sz w:val="21"/>
          <w:szCs w:val="21"/>
          <w:rtl/>
        </w:rPr>
        <w:t xml:space="preserve">المراجعة دقيقة، وحسابها صحيح. أعدنا الحساب بالأوزان الثلاثة عشر ومجموعها 100: المجموع المرجّح 7,411 ÷ 100 = 74.11. وتفكيك الفرق في §9.1 منها صحيح أيضًا: +111 وحدة مكتسبة، و−96 وحدة من تصحيح الأمن، فالصافي +15 وحدة. ونتفق معها في حكمها: قاعدة البيانات ناضجة، والمنتج فوقها غير مبني.</w:t>
      </w:r>
    </w:p>
    <w:p>
      <w:pPr>
        <w:bidi/>
        <w:spacing w:after="110" w:before="0" w:line="312"/>
      </w:pPr>
      <w:r>
        <w:rPr>
          <w:rFonts w:ascii="Arial" w:cs="Arial" w:eastAsia="Arial" w:hAnsi="Arial"/>
          <w:b w:val="false"/>
          <w:bCs w:val="false"/>
          <w:sz w:val="21"/>
          <w:szCs w:val="21"/>
          <w:rtl/>
        </w:rPr>
        <w:t xml:space="preserve">وجدنا فيها:</w:t>
      </w:r>
    </w:p>
    <w:p>
      <w:pPr>
        <w:pStyle w:val="ListParagraph"/>
        <w:numPr>
          <w:ilvl w:val="0"/>
          <w:numId w:val="2"/>
        </w:numPr>
        <w:bidi/>
        <w:spacing w:after="70" w:before="0" w:line="300"/>
      </w:pPr>
      <w:r>
        <w:rPr>
          <w:rFonts w:ascii="Arial" w:cs="Arial" w:eastAsia="Arial" w:hAnsi="Arial"/>
          <w:b/>
          <w:bCs/>
          <w:sz w:val="21"/>
          <w:szCs w:val="21"/>
          <w:rtl/>
        </w:rPr>
        <w:t xml:space="preserve">ثماني ملاحظات صحيحة</w:t>
      </w:r>
      <w:r>
        <w:rPr>
          <w:rFonts w:ascii="Arial" w:cs="Arial" w:eastAsia="Arial" w:hAnsi="Arial"/>
          <w:b w:val="false"/>
          <w:bCs w:val="false"/>
          <w:sz w:val="21"/>
          <w:szCs w:val="21"/>
          <w:rtl/>
        </w:rPr>
        <w:t xml:space="preserve"> نقبلها كما هي (§2).</w:t>
      </w:r>
    </w:p>
    <w:p>
      <w:pPr>
        <w:pStyle w:val="ListParagraph"/>
        <w:numPr>
          <w:ilvl w:val="0"/>
          <w:numId w:val="2"/>
        </w:numPr>
        <w:bidi/>
        <w:spacing w:after="70" w:before="0" w:line="300"/>
      </w:pPr>
      <w:r>
        <w:rPr>
          <w:rFonts w:ascii="Arial" w:cs="Arial" w:eastAsia="Arial" w:hAnsi="Arial"/>
          <w:b/>
          <w:bCs/>
          <w:sz w:val="21"/>
          <w:szCs w:val="21"/>
          <w:rtl/>
        </w:rPr>
        <w:t xml:space="preserve">ملاحظة واحدة صحيحة وأوسع مما قالت</w:t>
      </w:r>
      <w:r>
        <w:rPr>
          <w:rFonts w:ascii="Arial" w:cs="Arial" w:eastAsia="Arial" w:hAnsi="Arial"/>
          <w:b w:val="false"/>
          <w:bCs w:val="false"/>
          <w:sz w:val="21"/>
          <w:szCs w:val="21"/>
          <w:rtl/>
        </w:rPr>
        <w:t xml:space="preserve">، هي E2: لم يكن في الحزمة أي دور نظام مبذور، لا RK وحده. وقد أغلقناها بالبناء لا بتعديل النص (§3).</w:t>
      </w:r>
    </w:p>
    <w:p>
      <w:pPr>
        <w:pStyle w:val="ListParagraph"/>
        <w:numPr>
          <w:ilvl w:val="0"/>
          <w:numId w:val="2"/>
        </w:numPr>
        <w:bidi/>
        <w:spacing w:after="70" w:before="0" w:line="300"/>
      </w:pPr>
      <w:r>
        <w:rPr>
          <w:rFonts w:ascii="Arial" w:cs="Arial" w:eastAsia="Arial" w:hAnsi="Arial"/>
          <w:b/>
          <w:bCs/>
          <w:sz w:val="21"/>
          <w:szCs w:val="21"/>
          <w:rtl/>
        </w:rPr>
        <w:t xml:space="preserve">أربعة مواضع تحتاج ضبطًا</w:t>
      </w:r>
      <w:r>
        <w:rPr>
          <w:rFonts w:ascii="Arial" w:cs="Arial" w:eastAsia="Arial" w:hAnsi="Arial"/>
          <w:b w:val="false"/>
          <w:bCs w:val="false"/>
          <w:sz w:val="21"/>
          <w:szCs w:val="21"/>
          <w:rtl/>
        </w:rPr>
        <w:t xml:space="preserve">: منها موضعان تمنح فيهما المراجعة النظام أكثر مما يستحق، نصححهما أمانةً، وموضعان تحكم فيهما بأشد مما يدل عليه الأثر (§4).</w:t>
      </w:r>
    </w:p>
    <w:p>
      <w:pPr>
        <w:bidi/>
        <w:spacing w:after="60" w:before="0"/>
      </w:pPr>
    </w:p>
    <w:p>
      <w:pPr>
        <w:bidi/>
        <w:spacing w:after="110" w:before="0" w:line="312"/>
      </w:pPr>
      <w:r>
        <w:rPr>
          <w:rFonts w:ascii="Arial" w:cs="Arial" w:eastAsia="Arial" w:hAnsi="Arial"/>
          <w:b w:val="false"/>
          <w:bCs w:val="false"/>
          <w:sz w:val="21"/>
          <w:szCs w:val="21"/>
          <w:rtl/>
        </w:rPr>
        <w:t xml:space="preserve">ونقترح خمسة بنود للبناء تنتظر موافقة المالك (§8)، وتوصية لكل قرار من D-1 إلى D-6 (§6).</w:t>
      </w:r>
    </w:p>
    <w:p>
      <w:pPr>
        <w:pStyle w:val="Heading1"/>
        <w:bidi/>
      </w:pPr>
      <w:bookmarkStart w:name="_sec2" w:id="2"/>
      <w:r>
        <w:rPr>
          <w:rFonts w:ascii="Arial" w:cs="Arial" w:eastAsia="Arial" w:hAnsi="Arial"/>
          <w:b/>
          <w:bCs/>
          <w:color w:val="1F3A5F"/>
          <w:sz w:val="32"/>
          <w:szCs w:val="32"/>
          <w:rtl/>
        </w:rPr>
        <w:t xml:space="preserve">2. ملاحظات صحيحة نقبلها كما هي</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4"/>
        <w:gridCol w:w="1311"/>
        <w:gridCol w:w="7609"/>
      </w:tblGrid>
      <w:tr>
        <w:trPr>
          <w:cantSplit/>
          <w:tblHeader/>
        </w:trPr>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3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76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وجدناه</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كود تطبيق ولا واجهات (النتيجة 1، الخطر 1، P0-1)</w:t>
            </w:r>
          </w:p>
        </w:tc>
        <w:tc>
          <w:tcPr>
            <w:tcW w:type="dxa" w:w="7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الحزمة قاعدة بيانات ووثائق ومخططات وأدوات</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1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التشفير تصميم لا تنفيذ (النتيجة 2، تصحيح الأمن −8)</w:t>
            </w:r>
          </w:p>
        </w:tc>
        <w:tc>
          <w:tcPr>
            <w:tcW w:type="dxa" w:w="7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ونحن نقوله في </w:t>
            </w:r>
            <w:r>
              <w:rPr>
                <w:rFonts w:ascii="Courier New" w:cs="Courier New" w:eastAsia="Courier New" w:hAnsi="Courier New"/>
                <w:b w:val="false"/>
                <w:bCs w:val="false"/>
                <w:color w:val="1F2937"/>
                <w:sz w:val="16"/>
                <w:szCs w:val="16"/>
                <w:shd w:fill="F1F3F5" w:color="auto" w:val="clear"/>
                <w:rtl/>
              </w:rPr>
              <w:t xml:space="preserve">‎docs/30-readiness/DOC-S02-key-management-encryption.md:36‎</w:t>
            </w:r>
            <w:r>
              <w:rPr>
                <w:rFonts w:ascii="Arial" w:cs="Arial" w:eastAsia="Arial" w:hAnsi="Arial"/>
                <w:b w:val="false"/>
                <w:bCs w:val="false"/>
                <w:sz w:val="18"/>
                <w:szCs w:val="18"/>
                <w:rtl/>
              </w:rPr>
              <w:t xml:space="preserve">. وتصحيح الدرجة في محله</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اختبار حمل ولا تمرين استعادة (النتيجة 4، P0-2، P0-3)</w:t>
            </w:r>
          </w:p>
        </w:tc>
        <w:tc>
          <w:tcPr>
            <w:tcW w:type="dxa" w:w="7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الأحجام معرَّفة في DOC-B03 ولم تُقَس، وسجل التمرين في DOC-S09 §7.2 فارغ</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1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المراقبة معرَّفة لا مشغَّلة (النتيجة 5، P1-4)</w:t>
            </w:r>
          </w:p>
        </w:tc>
        <w:tc>
          <w:tcPr>
            <w:tcW w:type="dxa" w:w="7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التنبيهات AL-01 إلى AL-19 تنتظر اختيار المنظومة (DQ-S12-1)</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 تكشف ولا تمنع (§4.4، G4، P1-2)</w:t>
            </w:r>
          </w:p>
        </w:tc>
        <w:tc>
          <w:tcPr>
            <w:tcW w:type="dxa" w:w="7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w:t>
            </w:r>
            <w:r>
              <w:rPr>
                <w:rFonts w:ascii="Courier New" w:cs="Courier New" w:eastAsia="Courier New" w:hAnsi="Courier New"/>
                <w:b w:val="false"/>
                <w:bCs w:val="false"/>
                <w:color w:val="1F2937"/>
                <w:sz w:val="16"/>
                <w:szCs w:val="16"/>
                <w:shd w:fill="F1F3F5" w:color="auto" w:val="clear"/>
                <w:rtl/>
              </w:rPr>
              <w:t xml:space="preserve">‎CALIBRATION_OPTIMISTIC‎</w:t>
            </w:r>
            <w:r>
              <w:rPr>
                <w:rFonts w:ascii="Arial" w:cs="Arial" w:eastAsia="Arial" w:hAnsi="Arial"/>
                <w:b w:val="false"/>
                <w:bCs w:val="false"/>
                <w:sz w:val="18"/>
                <w:szCs w:val="18"/>
                <w:rtl/>
              </w:rPr>
              <w:t xml:space="preserve"> إنذار أصفر، والتصديق يمضي معه. وتحويله إلى ضابط وقائي بند مقترح (§8، البند 2)</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1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IFRS 9 مبسّط: مصفوفة أعمار بلا مراحل ولا PD/LGD/EAD (G5، الخطر 8)</w:t>
            </w:r>
          </w:p>
        </w:tc>
        <w:tc>
          <w:tcPr>
            <w:tcW w:type="dxa" w:w="7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وهو مقصود لمنصة تقيّم بها الشركة نفسها (قرار المالك 34). والنسب في FIN.PROVISION مسودة تنتظر الخزينة</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1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المحرك ليس مستقلًا (الخطر 9، P1-3)</w:t>
            </w:r>
          </w:p>
        </w:tc>
        <w:tc>
          <w:tcPr>
            <w:tcW w:type="dxa" w:w="7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المرجع من الفريق نفسه، والمراجعة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أجراها وكلاء ذكاء اصطناعي</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1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واحد بلا موازن ولا نسخة قراءة (§7.3)</w:t>
            </w:r>
          </w:p>
        </w:tc>
        <w:tc>
          <w:tcPr>
            <w:tcW w:type="dxa" w:w="7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وهو قرار DQ-B11-2 لشريحة S0</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الملاحظة E2: صحيحة، وأوسع مما قالت، وأُغلقت بالبناء</w:t>
      </w:r>
      <w:bookmarkEnd w:id="3"/>
    </w:p>
    <w:p>
      <w:pPr>
        <w:bidi/>
        <w:spacing w:after="110" w:before="0" w:line="312"/>
      </w:pPr>
      <w:r>
        <w:rPr>
          <w:rFonts w:ascii="Arial" w:cs="Arial" w:eastAsia="Arial" w:hAnsi="Arial"/>
          <w:b/>
          <w:bCs/>
          <w:sz w:val="21"/>
          <w:szCs w:val="21"/>
          <w:rtl/>
        </w:rPr>
        <w:t xml:space="preserve">ما قالته:</w:t>
      </w:r>
      <w:r>
        <w:rPr>
          <w:rFonts w:ascii="Arial" w:cs="Arial" w:eastAsia="Arial" w:hAnsi="Arial"/>
          <w:b w:val="false"/>
          <w:bCs w:val="false"/>
          <w:sz w:val="21"/>
          <w:szCs w:val="21"/>
          <w:rtl/>
        </w:rPr>
        <w:t xml:space="preserve"> «ADR 0030 §5 يعلن دور RK منتَجًا، والبحث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كله يعطي صفرًا».</w:t>
      </w:r>
    </w:p>
    <w:p>
      <w:pPr>
        <w:bidi/>
        <w:spacing w:after="110" w:before="0" w:line="312"/>
      </w:pPr>
      <w:r>
        <w:rPr>
          <w:rFonts w:ascii="Arial" w:cs="Arial" w:eastAsia="Arial" w:hAnsi="Arial"/>
          <w:b/>
          <w:bCs/>
          <w:sz w:val="21"/>
          <w:szCs w:val="21"/>
          <w:rtl/>
        </w:rPr>
        <w:t xml:space="preserve">ما وجدناه:</w:t>
      </w:r>
      <w:r>
        <w:rPr>
          <w:rFonts w:ascii="Arial" w:cs="Arial" w:eastAsia="Arial" w:hAnsi="Arial"/>
          <w:b w:val="false"/>
          <w:bCs w:val="false"/>
          <w:sz w:val="21"/>
          <w:szCs w:val="21"/>
          <w:rtl/>
        </w:rPr>
        <w:t xml:space="preserve"> الصورة أوسع. لم يكن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أي صف لأي دور نظام: لا TA ولا TM ولا FO ولا AU، ولا RK. فالأدوار الثمانية معرَّفة في مصفوفات المواصفات وفي DOC-B05 §5.1 فقط. وحزمة CORE.ROLES التي تبذرها كانت متروكة لطبقة التطبيق غير المبنية. حتى اختبار التهيئة O3 كان يُدخل الدور TA يدويًا. فعبارة ADR 0030 «دور نظام في CORE.ROLES» وصفت التصميم كأنه أثر. والنتيجة العملية هي ما قالته المراجعة: قيد التصديق في 052 قائم، ولا حامل مبذورًا لصلاحيته.</w:t>
      </w:r>
    </w:p>
    <w:p>
      <w:pPr>
        <w:bidi/>
        <w:spacing w:after="110" w:before="0" w:line="312"/>
      </w:pPr>
      <w:r>
        <w:rPr>
          <w:rFonts w:ascii="Arial" w:cs="Arial" w:eastAsia="Arial" w:hAnsi="Arial"/>
          <w:b/>
          <w:bCs/>
          <w:sz w:val="21"/>
          <w:szCs w:val="21"/>
          <w:rtl/>
        </w:rPr>
        <w:t xml:space="preserve">ما بنيناه (ADR 0035):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90"/>
        <w:gridCol w:w="3341"/>
        <w:gridCol w:w="4933"/>
      </w:tblGrid>
      <w:tr>
        <w:trPr>
          <w:cantSplit/>
          <w:tblHeader/>
        </w:trPr>
        <w:tc>
          <w:tcPr>
            <w:tcW w:type="dxa" w:w="15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3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 يقرأ في كل تشغيل مصفوفات المواصفات 11 إلى 14 وجدولي DOC-F07 §3 وDOC-F09 §3.2، فلا تنفصل الحزمة عن الوثائق. وCI يعيد التوليد ويرفض أي فرق</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‎tools/dbgen/core_roles_pack.py‎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‎tools/ci/db_ci.sh‎</w:t>
            </w:r>
            <w:r>
              <w:rPr>
                <w:rFonts w:ascii="Arial" w:cs="Arial" w:eastAsia="Arial" w:hAnsi="Arial"/>
                <w:b w:val="false"/>
                <w:bCs w:val="false"/>
                <w:sz w:val="18"/>
                <w:szCs w:val="18"/>
                <w:rtl/>
              </w:rPr>
              <w:t xml:space="preserve"> الخطوة 2</w:t>
            </w:r>
          </w:p>
        </w:tc>
      </w:tr>
      <w:tr>
        <w:trPr>
          <w:cantSplit/>
        </w:trPr>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أدوار و393 ربطًا: TA 46، وTM 127، وFO 100، وTE 51، وFA 9، وRQ 19، وAU 31، وRK 10</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‎db/seed/packs/CORE.ROLES/v1‎</w:t>
            </w:r>
          </w:p>
        </w:tc>
      </w:tr>
      <w:tr>
        <w:trPr>
          <w:cantSplit/>
        </w:trPr>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الخلايا</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 تمنحان الصلاحية، و◐ «مقيّدة» يضيّقها التطبيق بالنطاق. وR تمنح رمز العرض فقط، وM تمنح رمز عرض غير حساس. ويرفض المولّد قيمة ◐ واحدة لرمزين، لأنها لا تقول أيهما المقيَّد. وكشف هذا الفحص خليتين، فصُحّحت المواصفتان لا المولّد: الصف 14 من المواصفة 13 (الطالب يلغي طلباته فقط، لا أي طلب)، والصف 28 من المواصفة 14</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 </w:t>
            </w:r>
            <w:r>
              <w:rPr>
                <w:rFonts w:ascii="Courier New" w:cs="Courier New" w:eastAsia="Courier New" w:hAnsi="Courier New"/>
                <w:b w:val="false"/>
                <w:bCs w:val="false"/>
                <w:color w:val="1F2937"/>
                <w:sz w:val="16"/>
                <w:szCs w:val="16"/>
                <w:shd w:fill="F1F3F5" w:color="auto" w:val="clear"/>
                <w:rtl/>
              </w:rPr>
              <w:t xml:space="preserve">‎manifest.json‎</w:t>
            </w:r>
          </w:p>
        </w:tc>
      </w:tr>
      <w:tr>
        <w:trPr>
          <w:cantSplit/>
        </w:trPr>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توقف البناء</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رمز في الكتالوج؛ والصلاحيات المقفلة لـ TM وFO وحدهما؛ ولا دور يجمع التصديق مع الإعداد أو الاعتماد؛ ولكل دور صلاحية</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w:t>
            </w:r>
          </w:p>
        </w:tc>
      </w:tr>
      <w:tr>
        <w:trPr>
          <w:cantSplit/>
        </w:trPr>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في القاعدة</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‎sec.usp_SeedCoreRoles‎</w:t>
            </w:r>
            <w:r>
              <w:rPr>
                <w:rFonts w:ascii="Arial" w:cs="Arial" w:eastAsia="Arial" w:hAnsi="Arial"/>
                <w:b w:val="false"/>
                <w:bCs w:val="false"/>
                <w:sz w:val="18"/>
                <w:szCs w:val="18"/>
                <w:rtl/>
              </w:rPr>
              <w:t xml:space="preserve"> تشغّله مهمة التهيئة قبل دعوة أول مدير. وهو للإضافة فقط: التشغيل الثاني لا يعيد ما حذفه المشترك، ويعدّه ويسرده في </w:t>
            </w:r>
            <w:r>
              <w:rPr>
                <w:rFonts w:ascii="Courier New" w:cs="Courier New" w:eastAsia="Courier New" w:hAnsi="Courier New"/>
                <w:b w:val="false"/>
                <w:bCs w:val="false"/>
                <w:color w:val="1F2937"/>
                <w:sz w:val="16"/>
                <w:szCs w:val="16"/>
                <w:shd w:fill="F1F3F5" w:color="auto" w:val="clear"/>
                <w:rtl/>
              </w:rPr>
              <w:t xml:space="preserve">‎cfg.SeedRun‎</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‎db/static/057_core_roles.sql‎</w:t>
            </w:r>
          </w:p>
        </w:tc>
      </w:tr>
      <w:tr>
        <w:trPr>
          <w:cantSplit/>
        </w:trPr>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CR1 إلى CR6؛ وصار O3 يبذر الأدوار عبر الحزمة</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‎db/tests/core_roles_tests.sql‎</w:t>
            </w:r>
          </w:p>
        </w:tc>
      </w:tr>
    </w:tbl>
    <w:p>
      <w:pPr>
        <w:bidi/>
        <w:spacing w:after="120" w:before="0"/>
      </w:pPr>
    </w:p>
    <w:p>
      <w:pPr>
        <w:bidi/>
        <w:spacing w:after="110" w:before="0" w:line="312"/>
      </w:pPr>
      <w:r>
        <w:rPr>
          <w:rFonts w:ascii="Arial" w:cs="Arial" w:eastAsia="Arial" w:hAnsi="Arial"/>
          <w:b/>
          <w:bCs/>
          <w:sz w:val="21"/>
          <w:szCs w:val="21"/>
          <w:rtl/>
        </w:rPr>
        <w:t xml:space="preserve">أثرها على E2 وG2:</w:t>
      </w:r>
      <w:r>
        <w:rPr>
          <w:rFonts w:ascii="Arial" w:cs="Arial" w:eastAsia="Arial" w:hAnsi="Arial"/>
          <w:b w:val="false"/>
          <w:bCs w:val="false"/>
          <w:sz w:val="21"/>
          <w:szCs w:val="21"/>
          <w:rtl/>
        </w:rPr>
        <w:t xml:space="preserve"> صار RK مبذورًا في كل مشترك، ومعه </w:t>
      </w:r>
      <w:r>
        <w:rPr>
          <w:rFonts w:ascii="Courier New" w:cs="Courier New" w:eastAsia="Courier New" w:hAnsi="Courier New"/>
          <w:b w:val="false"/>
          <w:bCs w:val="false"/>
          <w:color w:val="1F2937"/>
          <w:sz w:val="18"/>
          <w:szCs w:val="18"/>
          <w:shd w:fill="F1F3F5" w:color="auto" w:val="clear"/>
          <w:rtl/>
        </w:rPr>
        <w:t xml:space="preserve">‎fin.credit.endorse‎</w:t>
      </w:r>
      <w:r>
        <w:rPr>
          <w:rFonts w:ascii="Arial" w:cs="Arial" w:eastAsia="Arial" w:hAnsi="Arial"/>
          <w:b w:val="false"/>
          <w:bCs w:val="false"/>
          <w:sz w:val="21"/>
          <w:szCs w:val="21"/>
          <w:rtl/>
        </w:rPr>
        <w:t xml:space="preserve"> وتسع صلاحيات قراءة وتفضيلات إشعاراته، ولا صلاحية إعداد ولا اعتماد. ومستخدم يُعطى RK يجتاز شرطَي قيد التصديق (CR4). فالضابط مبني، ومن يشغّله مبني أيضًا.</w:t>
      </w:r>
    </w:p>
    <w:p>
      <w:pPr>
        <w:bidi/>
        <w:spacing w:after="110" w:before="0" w:line="312"/>
      </w:pPr>
      <w:r>
        <w:rPr>
          <w:rFonts w:ascii="Arial" w:cs="Arial" w:eastAsia="Arial" w:hAnsi="Arial"/>
          <w:b/>
          <w:bCs/>
          <w:sz w:val="21"/>
          <w:szCs w:val="21"/>
          <w:rtl/>
        </w:rPr>
        <w:t xml:space="preserve">ما بقي في G2:</w:t>
      </w:r>
      <w:r>
        <w:rPr>
          <w:rFonts w:ascii="Arial" w:cs="Arial" w:eastAsia="Arial" w:hAnsi="Arial"/>
          <w:b w:val="false"/>
          <w:bCs w:val="false"/>
          <w:sz w:val="21"/>
          <w:szCs w:val="21"/>
          <w:rtl/>
        </w:rPr>
        <w:t xml:space="preserve"> الاستقلال الوظيفي في الشركة نفسها (من يُعطى RK، ولمن يتبع إداريًا) قرار تنظيمي لكل شركة، لا يفرضه النظام. والنظام يضمن الفصل البنيوي فقط: من يحمل RK لا يُعِدّ ولا يعتمد ما يصدّقه.</w:t>
      </w:r>
    </w:p>
    <w:p>
      <w:pPr>
        <w:bidi/>
        <w:spacing w:after="110" w:before="0" w:line="312"/>
      </w:pPr>
      <w:r>
        <w:rPr>
          <w:rFonts w:ascii="Arial" w:cs="Arial" w:eastAsia="Arial" w:hAnsi="Arial"/>
          <w:b/>
          <w:bCs/>
          <w:sz w:val="21"/>
          <w:szCs w:val="21"/>
          <w:rtl/>
        </w:rPr>
        <w:t xml:space="preserve">وملاحظة على معيار الإفصاح:</w:t>
      </w:r>
      <w:r>
        <w:rPr>
          <w:rFonts w:ascii="Arial" w:cs="Arial" w:eastAsia="Arial" w:hAnsi="Arial"/>
          <w:b w:val="false"/>
          <w:bCs w:val="false"/>
          <w:sz w:val="21"/>
          <w:szCs w:val="21"/>
          <w:rtl/>
        </w:rPr>
        <w:t xml:space="preserve"> سؤال المراجعة «كم ادعاءً آخر قبلتُه دون تحقق؟» سؤال مشروع. فبحثنا عن كل معرّف يذكره ADR 0029 إلى 0031 بخط الشيفرة (جداول وإجراءات وقوادح وصلاحيات وأحداث)، فوجدناه كله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‎tools/‎</w:t>
      </w:r>
      <w:r>
        <w:rPr>
          <w:rFonts w:ascii="Arial" w:cs="Arial" w:eastAsia="Arial" w:hAnsi="Arial"/>
          <w:b w:val="false"/>
          <w:bCs w:val="false"/>
          <w:sz w:val="21"/>
          <w:szCs w:val="21"/>
          <w:rtl/>
        </w:rPr>
        <w:t xml:space="preserve">. وكان الادعاء الوحيد بلا أثر هو دور RK، لأنه ورد نصًا عاديًا لا معرّفًا. وهذا فحص للأسماء، لا لسلوك كل ادعاء؛ والسلوك تغطيه الاختبارات المذكورة في كل سجل. وصححنا نص ADR 0030 §5 بتاريخه، ثم أشرنا فيه إلى ADR 0035.</w:t>
      </w:r>
    </w:p>
    <w:p>
      <w:pPr>
        <w:pStyle w:val="Heading1"/>
        <w:bidi/>
      </w:pPr>
      <w:bookmarkStart w:name="_sec4" w:id="4"/>
      <w:r>
        <w:rPr>
          <w:rFonts w:ascii="Arial" w:cs="Arial" w:eastAsia="Arial" w:hAnsi="Arial"/>
          <w:b/>
          <w:bCs/>
          <w:color w:val="1F3A5F"/>
          <w:sz w:val="32"/>
          <w:szCs w:val="32"/>
          <w:rtl/>
        </w:rPr>
        <w:t xml:space="preserve">4. مواضع تحتاج ضبطًا</w:t>
      </w:r>
      <w:bookmarkEnd w:id="4"/>
    </w:p>
    <w:p>
      <w:pPr>
        <w:pStyle w:val="Heading2"/>
        <w:bidi/>
      </w:pPr>
      <w:bookmarkStart w:name="_sec5" w:id="5"/>
      <w:r>
        <w:rPr>
          <w:rFonts w:ascii="Arial" w:cs="Arial" w:eastAsia="Arial" w:hAnsi="Arial"/>
          <w:b/>
          <w:bCs/>
          <w:color w:val="2B5C8A"/>
          <w:sz w:val="26"/>
          <w:szCs w:val="26"/>
          <w:rtl/>
        </w:rPr>
        <w:t xml:space="preserve">4.1 «التدقيق: سلسلة متسلسلة» (القسم 6، بُعد التدقيق 90)</w:t>
      </w:r>
      <w:bookmarkEnd w:id="5"/>
    </w:p>
    <w:p>
      <w:pPr>
        <w:bidi/>
        <w:spacing w:after="110" w:before="0" w:line="312"/>
      </w:pPr>
      <w:r>
        <w:rPr>
          <w:rFonts w:ascii="Arial" w:cs="Arial" w:eastAsia="Arial" w:hAnsi="Arial"/>
          <w:b/>
          <w:bCs/>
          <w:sz w:val="21"/>
          <w:szCs w:val="21"/>
          <w:rtl/>
        </w:rPr>
        <w:t xml:space="preserve">تمنح المراجعة أكثر مما يستحق النظام:</w:t>
      </w:r>
      <w:r>
        <w:rPr>
          <w:rFonts w:ascii="Arial" w:cs="Arial" w:eastAsia="Arial" w:hAnsi="Arial"/>
          <w:b w:val="false"/>
          <w:bCs w:val="false"/>
          <w:sz w:val="21"/>
          <w:szCs w:val="21"/>
          <w:rtl/>
        </w:rPr>
        <w:t xml:space="preserve"> أعمدة السلسلة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‎PrevHash‎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كانت في الحزمة المراجَعة فارغة، لا يكتبها شيء. ونص 029 نفسه قال ذلك: «تبقى فارغة حتى يُبنى FR-PLT-025». ولو صحّت القراءة لنقص هذا البعد. </w:t>
      </w:r>
      <w:r>
        <w:rPr>
          <w:rFonts w:ascii="Arial" w:cs="Arial" w:eastAsia="Arial" w:hAnsi="Arial"/>
          <w:b/>
          <w:bCs/>
          <w:sz w:val="21"/>
          <w:szCs w:val="21"/>
          <w:rtl/>
        </w:rPr>
        <w:t xml:space="preserve">وقد بُنيت السلسلة بعد الحزمة (ADR 0033):</w:t>
      </w:r>
      <w:r>
        <w:rPr>
          <w:rFonts w:ascii="Arial" w:cs="Arial" w:eastAsia="Arial" w:hAnsi="Arial"/>
          <w:b w:val="false"/>
          <w:bCs w:val="false"/>
          <w:sz w:val="21"/>
          <w:szCs w:val="21"/>
          <w:rtl/>
        </w:rPr>
        <w:t xml:space="preserve"> قادح يكتبها عند كل إدراج، ومراسٍ تُحفظ خارج القاعدة ويُتحقق منها. والاختبارات AC1 إلى AC6 وAA1 إلى AA3 تكتشف التعديل، والحذف، وإعادة حساب كل البصمات، والكتابة والقادح معطّل.</w:t>
      </w:r>
    </w:p>
    <w:p>
      <w:pPr>
        <w:pStyle w:val="Heading2"/>
        <w:bidi/>
      </w:pPr>
      <w:bookmarkStart w:name="_sec6" w:id="6"/>
      <w:r>
        <w:rPr>
          <w:rFonts w:ascii="Arial" w:cs="Arial" w:eastAsia="Arial" w:hAnsi="Arial"/>
          <w:b/>
          <w:bCs/>
          <w:color w:val="2B5C8A"/>
          <w:sz w:val="26"/>
          <w:szCs w:val="26"/>
          <w:rtl/>
        </w:rPr>
        <w:t xml:space="preserve">4.2 «aud — جدولان فقط يخدمان كل النطاقات» (§7.2)</w:t>
      </w:r>
      <w:bookmarkEnd w:id="6"/>
    </w:p>
    <w:p>
      <w:pPr>
        <w:bidi/>
        <w:spacing w:after="110" w:before="0" w:line="312"/>
      </w:pPr>
      <w:r>
        <w:rPr>
          <w:rFonts w:ascii="Arial" w:cs="Arial" w:eastAsia="Arial" w:hAnsi="Arial"/>
          <w:b w:val="false"/>
          <w:bCs w:val="false"/>
          <w:sz w:val="21"/>
          <w:szCs w:val="21"/>
          <w:rtl/>
        </w:rPr>
        <w:t xml:space="preserve">صحيح للحزمة المراجَعة، وصارت أربعة: </w:t>
      </w:r>
      <w:r>
        <w:rPr>
          <w:rFonts w:ascii="Courier New" w:cs="Courier New" w:eastAsia="Courier New" w:hAnsi="Courier New"/>
          <w:b w:val="false"/>
          <w:bCs w:val="false"/>
          <w:color w:val="1F2937"/>
          <w:sz w:val="18"/>
          <w:szCs w:val="18"/>
          <w:shd w:fill="F1F3F5" w:color="auto" w:val="clear"/>
          <w:rtl/>
        </w:rPr>
        <w:t xml:space="preserve">‎aud.AuditChainHead‎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‎aud.AuditChainAnchor‎</w:t>
      </w:r>
      <w:r>
        <w:rPr>
          <w:rFonts w:ascii="Arial" w:cs="Arial" w:eastAsia="Arial" w:hAnsi="Arial"/>
          <w:b w:val="false"/>
          <w:bCs w:val="false"/>
          <w:sz w:val="21"/>
          <w:szCs w:val="21"/>
          <w:rtl/>
        </w:rPr>
        <w:t xml:space="preserve">.</w:t>
      </w:r>
    </w:p>
    <w:p>
      <w:pPr>
        <w:pStyle w:val="Heading2"/>
        <w:bidi/>
      </w:pPr>
      <w:bookmarkStart w:name="_sec7" w:id="7"/>
      <w:r>
        <w:rPr>
          <w:rFonts w:ascii="Arial" w:cs="Arial" w:eastAsia="Arial" w:hAnsi="Arial"/>
          <w:b/>
          <w:bCs/>
          <w:color w:val="2B5C8A"/>
          <w:sz w:val="26"/>
          <w:szCs w:val="26"/>
          <w:rtl/>
        </w:rPr>
        <w:t xml:space="preserve">4.3 «التشفير مؤجَّل، فيبقى كل حقل حساس نصًا صريحًا» (§6.2)</w:t>
      </w:r>
      <w:bookmarkEnd w:id="7"/>
    </w:p>
    <w:p>
      <w:pPr>
        <w:bidi/>
        <w:spacing w:after="110" w:before="0" w:line="312"/>
      </w:pPr>
      <w:r>
        <w:rPr>
          <w:rFonts w:ascii="Arial" w:cs="Arial" w:eastAsia="Arial" w:hAnsi="Arial"/>
          <w:b/>
          <w:bCs/>
          <w:sz w:val="21"/>
          <w:szCs w:val="21"/>
          <w:rtl/>
        </w:rPr>
        <w:t xml:space="preserve">الحكم أشد مما يدل عليه الأثر:</w:t>
      </w:r>
      <w:r>
        <w:rPr>
          <w:rFonts w:ascii="Arial" w:cs="Arial" w:eastAsia="Arial" w:hAnsi="Arial"/>
          <w:b w:val="false"/>
          <w:bCs w:val="false"/>
          <w:sz w:val="21"/>
          <w:szCs w:val="21"/>
          <w:rtl/>
        </w:rPr>
        <w:t xml:space="preserve"> لا يوجد في القاعدة عمود نص صريح لرقم هوية أو حساب أو IBAN. الأعمدة ثلاثة لكل رقم:</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227"/>
        <w:gridCol w:w="5637"/>
      </w:tblGrid>
      <w:tr>
        <w:trPr>
          <w:cantSplit/>
          <w:tblHeader/>
        </w:trPr>
        <w:tc>
          <w:tcPr>
            <w:tcW w:type="dxa" w:w="42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56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فيه</w:t>
            </w:r>
          </w:p>
        </w:tc>
      </w:tr>
      <w:tr>
        <w:trPr>
          <w:cantSplit/>
        </w:trPr>
        <w:tc>
          <w:tcPr>
            <w:tcW w:type="dxa" w:w="4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المشفّر</w:t>
            </w:r>
          </w:p>
        </w:tc>
      </w:tr>
      <w:tr>
        <w:trPr>
          <w:cantSplit/>
        </w:trPr>
        <w:tc>
          <w:tcPr>
            <w:tcW w:type="dxa" w:w="4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‎…Mask‎</w:t>
            </w:r>
          </w:p>
        </w:tc>
        <w:tc>
          <w:tcPr>
            <w:tcW w:type="dxa" w:w="5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المقنَّع</w:t>
            </w:r>
          </w:p>
        </w:tc>
      </w:tr>
      <w:tr>
        <w:trPr>
          <w:cantSplit/>
        </w:trPr>
        <w:tc>
          <w:tcPr>
            <w:tcW w:type="dxa" w:w="4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w:t>
            </w:r>
          </w:p>
        </w:tc>
      </w:tr>
    </w:tbl>
    <w:p>
      <w:pPr>
        <w:bidi/>
        <w:spacing w:after="120" w:before="0"/>
      </w:pPr>
    </w:p>
    <w:p>
      <w:pPr>
        <w:bidi/>
        <w:spacing w:after="110" w:before="0" w:line="312"/>
      </w:pPr>
      <w:r>
        <w:rPr>
          <w:rFonts w:ascii="Arial" w:cs="Arial" w:eastAsia="Arial" w:hAnsi="Arial"/>
          <w:b w:val="false"/>
          <w:bCs w:val="false"/>
          <w:sz w:val="21"/>
          <w:szCs w:val="21"/>
          <w:rtl/>
        </w:rPr>
        <w:t xml:space="preserve">والقاعدة ترفض قيمة مشفّرة أقصر من 29 بايتًا، أي حد AES-GCM مع المتجه والوسم (</w:t>
      </w:r>
      <w:r>
        <w:rPr>
          <w:rFonts w:ascii="Courier New" w:cs="Courier New" w:eastAsia="Courier New" w:hAnsi="Courier New"/>
          <w:b w:val="false"/>
          <w:bCs w:val="false"/>
          <w:color w:val="1F2937"/>
          <w:sz w:val="18"/>
          <w:szCs w:val="18"/>
          <w:shd w:fill="F1F3F5" w:color="auto" w:val="clear"/>
          <w:rtl/>
        </w:rPr>
        <w:t xml:space="preserve">‎db/generated/tsql/001_tables.sql‎</w:t>
      </w:r>
      <w:r>
        <w:rPr>
          <w:rFonts w:ascii="Arial" w:cs="Arial" w:eastAsia="Arial" w:hAnsi="Arial"/>
          <w:b w:val="false"/>
          <w:bCs w:val="false"/>
          <w:sz w:val="21"/>
          <w:szCs w:val="21"/>
          <w:rtl/>
        </w:rPr>
        <w:t xml:space="preserve">، الجداول </w:t>
      </w:r>
      <w:r>
        <w:rPr>
          <w:rFonts w:ascii="Courier New" w:cs="Courier New" w:eastAsia="Courier New" w:hAnsi="Courier New"/>
          <w:b w:val="false"/>
          <w:bCs w:val="false"/>
          <w:color w:val="1F2937"/>
          <w:sz w:val="18"/>
          <w:szCs w:val="18"/>
          <w:shd w:fill="F1F3F5" w:color="auto" w:val="clear"/>
          <w:rtl/>
        </w:rPr>
        <w:t xml:space="preserve">‎pty.IdentityDocument‎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‎acc.BankAccount‎</w:t>
      </w:r>
      <w:r>
        <w:rPr>
          <w:rFonts w:ascii="Arial" w:cs="Arial" w:eastAsia="Arial" w:hAnsi="Arial"/>
          <w:b w:val="false"/>
          <w:bCs w:val="false"/>
          <w:sz w:val="21"/>
          <w:szCs w:val="21"/>
          <w:rtl/>
        </w:rPr>
        <w:t xml:space="preserve">). فالصحيح أن البيانات الحساسة لا يمكن حفظها أصلًا قبل بناء طبقة التشفير، لا أنها محفوظة نصًا صريحًا. ومع ذلك لا نعترض على خصم الدرجة: القاعدة لا تثبت أن ما يُكتب مشفّر فعلًا، بل تثبت شكله فقط. وما أضفناه بعد الحزمة (ADR 0032) يحمي سجل المفاتيح ولا يشفّر شيئًا.</w:t>
      </w:r>
    </w:p>
    <w:p>
      <w:pPr>
        <w:pStyle w:val="Heading2"/>
        <w:bidi/>
      </w:pPr>
      <w:bookmarkStart w:name="_sec8" w:id="8"/>
      <w:r>
        <w:rPr>
          <w:rFonts w:ascii="Arial" w:cs="Arial" w:eastAsia="Arial" w:hAnsi="Arial"/>
          <w:b/>
          <w:bCs/>
          <w:color w:val="2B5C8A"/>
          <w:sz w:val="26"/>
          <w:szCs w:val="26"/>
          <w:rtl/>
        </w:rPr>
        <w:t xml:space="preserve">4.4 «كل جولة تضيف جداول وقيودًا ولا تضيف قدرة» (D-6، الخاتمة)</w:t>
      </w:r>
      <w:bookmarkEnd w:id="8"/>
    </w:p>
    <w:p>
      <w:pPr>
        <w:bidi/>
        <w:spacing w:after="110" w:before="0" w:line="312"/>
      </w:pPr>
      <w:r>
        <w:rPr>
          <w:rFonts w:ascii="Arial" w:cs="Arial" w:eastAsia="Arial" w:hAnsi="Arial"/>
          <w:b/>
          <w:bCs/>
          <w:sz w:val="21"/>
          <w:szCs w:val="21"/>
          <w:rtl/>
        </w:rPr>
        <w:t xml:space="preserve">صحيح في الاتجاه،</w:t>
      </w:r>
      <w:r>
        <w:rPr>
          <w:rFonts w:ascii="Arial" w:cs="Arial" w:eastAsia="Arial" w:hAnsi="Arial"/>
          <w:b w:val="false"/>
          <w:bCs w:val="false"/>
          <w:sz w:val="21"/>
          <w:szCs w:val="21"/>
          <w:rtl/>
        </w:rPr>
        <w:t xml:space="preserve"> فطبقة الخدمة ما زالت صفرًا. </w:t>
      </w:r>
      <w:r>
        <w:rPr>
          <w:rFonts w:ascii="Arial" w:cs="Arial" w:eastAsia="Arial" w:hAnsi="Arial"/>
          <w:b/>
          <w:bCs/>
          <w:sz w:val="21"/>
          <w:szCs w:val="21"/>
          <w:rtl/>
        </w:rPr>
        <w:t xml:space="preserve">لكن الجولتين الأخيرتين ليستا توسيعًا للنموذج بمعنى الكلمة:</w:t>
      </w:r>
      <w:r>
        <w:rPr>
          <w:rFonts w:ascii="Arial" w:cs="Arial" w:eastAsia="Arial" w:hAnsi="Arial"/>
          <w:b w:val="false"/>
          <w:bCs w:val="false"/>
          <w:sz w:val="21"/>
          <w:szCs w:val="21"/>
          <w:rtl/>
        </w:rPr>
        <w:t xml:space="preserve"> الإقفال والتجميد والأدلة والسلسلة والترحيل ضوابط طلبتها المراجعات نفسها، وأداة الترحيل (ADR 0034) شرط لأي إصدار ثانٍ على بيانات حقيقية. ونقبل التوصية في جوهرها، وتوصيتنا في §6 (D-6).</w:t>
      </w:r>
    </w:p>
    <w:p>
      <w:pPr>
        <w:pStyle w:val="Heading1"/>
        <w:bidi/>
      </w:pPr>
      <w:bookmarkStart w:name="_sec9" w:id="9"/>
      <w:r>
        <w:rPr>
          <w:rFonts w:ascii="Arial" w:cs="Arial" w:eastAsia="Arial" w:hAnsi="Arial"/>
          <w:b/>
          <w:bCs/>
          <w:color w:val="1F3A5F"/>
          <w:sz w:val="32"/>
          <w:szCs w:val="32"/>
          <w:rtl/>
        </w:rPr>
        <w:t xml:space="preserve">5. التحقق من أرقام المراجعة</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24"/>
        <w:gridCol w:w="6256"/>
        <w:gridCol w:w="1684"/>
      </w:tblGrid>
      <w:tr>
        <w:trPr>
          <w:cantSplit/>
          <w:tblHeader/>
        </w:trPr>
        <w:tc>
          <w:tcPr>
            <w:tcW w:type="dxa" w:w="1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الرقم في المراجعة</w:t>
            </w:r>
          </w:p>
        </w:tc>
        <w:tc>
          <w:tcPr>
            <w:tcW w:type="dxa" w:w="62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c>
          <w:tcPr>
            <w:tcW w:type="dxa" w:w="1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r>
      <w:tr>
        <w:trPr>
          <w:cantSplit/>
        </w:trPr>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252 جدولًا، و936 مفتاحًا أجنبيًا، و801 فهرس</w:t>
            </w:r>
          </w:p>
        </w:tc>
        <w:tc>
          <w:tcPr>
            <w:tcW w:type="dxa" w:w="62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‎tools/dbgen/ddl_metrics.py‎</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‎d0ed2e8‎</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وهي بعد هذه الجولة 255 و936 و804</w:t>
            </w:r>
          </w:p>
        </w:tc>
      </w:tr>
      <w:tr>
        <w:trPr>
          <w:cantSplit/>
        </w:trPr>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الأوزان 100، والمرجّح 74.1</w:t>
            </w:r>
          </w:p>
        </w:tc>
        <w:tc>
          <w:tcPr>
            <w:tcW w:type="dxa" w:w="62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الحساب</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74.11</w:t>
            </w:r>
          </w:p>
        </w:tc>
      </w:tr>
      <w:tr>
        <w:trPr>
          <w:cantSplit/>
        </w:trPr>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تفكيك الفرق +111 و−96</w:t>
            </w:r>
          </w:p>
        </w:tc>
        <w:tc>
          <w:tcPr>
            <w:tcW w:type="dxa" w:w="62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الحساب</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w:t>
            </w:r>
          </w:p>
        </w:tc>
      </w:tr>
      <w:tr>
        <w:trPr>
          <w:cantSplit/>
        </w:trPr>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455 مخططًا (62 DOT، و229 PNG، و82 SVG، و82 MMD)</w:t>
            </w:r>
          </w:p>
        </w:tc>
        <w:tc>
          <w:tcPr>
            <w:tcW w:type="dxa" w:w="62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الجمع</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w:t>
            </w:r>
          </w:p>
        </w:tc>
      </w:tr>
      <w:tr>
        <w:trPr>
          <w:cantSplit/>
        </w:trPr>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التصديق في 052:44»</w:t>
            </w:r>
          </w:p>
        </w:tc>
        <w:tc>
          <w:tcPr>
            <w:tcW w:type="dxa" w:w="62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w:t>
            </w:r>
          </w:p>
        </w:tc>
      </w:tr>
      <w:tr>
        <w:trPr>
          <w:cantSplit/>
        </w:trPr>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«RK غائب عن db/»</w:t>
            </w:r>
          </w:p>
        </w:tc>
        <w:tc>
          <w:tcPr>
            <w:tcW w:type="dxa" w:w="62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وأوسع (§3)</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6. القرارات المطلوبة من الإدارة: توصياتنا</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28"/>
        <w:gridCol w:w="4015"/>
        <w:gridCol w:w="3621"/>
      </w:tblGrid>
      <w:tr>
        <w:trPr>
          <w:cantSplit/>
          <w:tblHeader/>
        </w:trPr>
        <w:tc>
          <w:tcPr>
            <w:tcW w:type="dxa" w:w="22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4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توصيتنا</w:t>
            </w:r>
          </w:p>
        </w:tc>
        <w:tc>
          <w:tcPr>
            <w:tcW w:type="dxa" w:w="36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2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 شحن دور المخاطر الآن أم تأجيله</w:t>
            </w:r>
          </w:p>
        </w:tc>
        <w:tc>
          <w:tcPr>
            <w:tcW w:type="dxa" w:w="4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حُسم بالبناء: الخيار أ.</w:t>
            </w:r>
            <w:r>
              <w:rPr>
                <w:rFonts w:ascii="Arial" w:cs="Arial" w:eastAsia="Arial" w:hAnsi="Arial"/>
                <w:b w:val="false"/>
                <w:bCs w:val="false"/>
                <w:sz w:val="18"/>
                <w:szCs w:val="18"/>
                <w:rtl/>
              </w:rPr>
              <w:t xml:space="preserve"> RK دور نظام مبذور، ومع ذلك يبقى للمشترك أن يمنح صلاحياته لأدوار مخصصة (FR-PLT-018)، فيجمع الخياران مزاياهما</w:t>
            </w:r>
          </w:p>
        </w:tc>
        <w:tc>
          <w:tcPr>
            <w:tcW w:type="dxa" w:w="3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0035</w:t>
            </w:r>
          </w:p>
        </w:tc>
      </w:tr>
      <w:tr>
        <w:trPr>
          <w:cantSplit/>
        </w:trPr>
        <w:tc>
          <w:tcPr>
            <w:tcW w:type="dxa" w:w="2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 الإطلاق بشريحة S0 بلا اختبار حمل</w:t>
            </w:r>
          </w:p>
        </w:tc>
        <w:tc>
          <w:tcPr>
            <w:tcW w:type="dxa" w:w="4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قبل قياس أولي.</w:t>
            </w:r>
            <w:r>
              <w:rPr>
                <w:rFonts w:ascii="Arial" w:cs="Arial" w:eastAsia="Arial" w:hAnsi="Arial"/>
                <w:b w:val="false"/>
                <w:bCs w:val="false"/>
                <w:sz w:val="18"/>
                <w:szCs w:val="18"/>
                <w:rtl/>
              </w:rPr>
              <w:t xml:space="preserve"> القياس ممكن الآن على القاعدة وحدها (§8، البند 1). بعده يكتب المالك حد الطاقة، ثم يُطلق إطلاقًا مشروطًا لعدد صغير من المشتركين</w:t>
            </w:r>
          </w:p>
        </w:tc>
        <w:tc>
          <w:tcPr>
            <w:tcW w:type="dxa" w:w="3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الخطر 2</w:t>
            </w:r>
          </w:p>
        </w:tc>
      </w:tr>
      <w:tr>
        <w:trPr>
          <w:cantSplit/>
        </w:trPr>
        <w:tc>
          <w:tcPr>
            <w:tcW w:type="dxa" w:w="2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D-3 اعتماد نسب الخسارة</w:t>
            </w:r>
          </w:p>
        </w:tc>
        <w:tc>
          <w:tcPr>
            <w:tcW w:type="dxa" w:w="4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للخزينة.</w:t>
            </w:r>
            <w:r>
              <w:rPr>
                <w:rFonts w:ascii="Arial" w:cs="Arial" w:eastAsia="Arial" w:hAnsi="Arial"/>
                <w:b w:val="false"/>
                <w:bCs w:val="false"/>
                <w:sz w:val="18"/>
                <w:szCs w:val="18"/>
                <w:rtl/>
              </w:rPr>
              <w:t xml:space="preserve"> النسب الافتراضية مقترح من الفريق، ولا نوصي باعتمادها دون مراجعة الخزينة</w:t>
            </w:r>
          </w:p>
        </w:tc>
        <w:tc>
          <w:tcPr>
            <w:tcW w:type="dxa" w:w="3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FIN.PROVISION</w:t>
            </w:r>
          </w:p>
        </w:tc>
      </w:tr>
      <w:tr>
        <w:trPr>
          <w:cantSplit/>
        </w:trPr>
        <w:tc>
          <w:tcPr>
            <w:tcW w:type="dxa" w:w="2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D-4 مراجعة المدقق الخارجي للنموذج الآن</w:t>
            </w:r>
          </w:p>
        </w:tc>
        <w:tc>
          <w:tcPr>
            <w:tcW w:type="dxa" w:w="4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نعم،</w:t>
            </w:r>
            <w:r>
              <w:rPr>
                <w:rFonts w:ascii="Arial" w:cs="Arial" w:eastAsia="Arial" w:hAnsi="Arial"/>
                <w:b w:val="false"/>
                <w:bCs w:val="false"/>
                <w:sz w:val="18"/>
                <w:szCs w:val="18"/>
                <w:rtl/>
              </w:rPr>
              <w:t xml:space="preserve"> وبالتحديد لحزمة الأدلة المختومة: هل تكفيه، وما الذي سيطلبه ولم يُبنَ</w:t>
            </w:r>
          </w:p>
        </w:tc>
        <w:tc>
          <w:tcPr>
            <w:tcW w:type="dxa" w:w="3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الآن أرخص</w:t>
            </w:r>
          </w:p>
        </w:tc>
      </w:tr>
      <w:tr>
        <w:trPr>
          <w:cantSplit/>
        </w:trPr>
        <w:tc>
          <w:tcPr>
            <w:tcW w:type="dxa" w:w="2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D-5 ميزان المراجعة خارج النطاق</w:t>
            </w:r>
          </w:p>
        </w:tc>
        <w:tc>
          <w:tcPr>
            <w:tcW w:type="dxa" w:w="4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نعم، بإقرار مكتوب</w:t>
            </w:r>
            <w:r>
              <w:rPr>
                <w:rFonts w:ascii="Arial" w:cs="Arial" w:eastAsia="Arial" w:hAnsi="Arial"/>
                <w:b w:val="false"/>
                <w:bCs w:val="false"/>
                <w:sz w:val="18"/>
                <w:szCs w:val="18"/>
                <w:rtl/>
              </w:rPr>
              <w:t xml:space="preserve"> يضاف إلى سجل قرارات المالك: التوازن يُتحقق منه في النظام المحاسبي للشركة، والمنصة تستقبل قوائم موزونة</w:t>
            </w:r>
          </w:p>
        </w:tc>
        <w:tc>
          <w:tcPr>
            <w:tcW w:type="dxa" w:w="3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لكي لا يكون مفاجأة في أول تدقيق</w:t>
            </w:r>
          </w:p>
        </w:tc>
      </w:tr>
      <w:tr>
        <w:trPr>
          <w:cantSplit/>
        </w:trPr>
        <w:tc>
          <w:tcPr>
            <w:tcW w:type="dxa" w:w="2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D-6 تجميد توسيع النموذج حتى توجد خدمة</w:t>
            </w:r>
          </w:p>
        </w:tc>
        <w:tc>
          <w:tcPr>
            <w:tcW w:type="dxa" w:w="4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نوافق،</w:t>
            </w:r>
            <w:r>
              <w:rPr>
                <w:rFonts w:ascii="Arial" w:cs="Arial" w:eastAsia="Arial" w:hAnsi="Arial"/>
                <w:b w:val="false"/>
                <w:bCs w:val="false"/>
                <w:sz w:val="18"/>
                <w:szCs w:val="18"/>
                <w:rtl/>
              </w:rPr>
              <w:t xml:space="preserve"> مع استثناءين: ما يصلح عيبًا، وما يلزم للقياس (البند 1)</w:t>
            </w:r>
          </w:p>
        </w:tc>
        <w:tc>
          <w:tcPr>
            <w:tcW w:type="dxa" w:w="3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توصية المراجعة في محلها</w:t>
            </w:r>
          </w:p>
        </w:tc>
      </w:tr>
    </w:tbl>
    <w:p>
      <w:pPr>
        <w:bidi/>
        <w:spacing w:after="120" w:before="0"/>
      </w:pPr>
    </w:p>
    <w:p>
      <w:pPr>
        <w:bidi/>
        <w:spacing w:after="110" w:before="0" w:line="312"/>
      </w:pPr>
      <w:r>
        <w:rPr>
          <w:rFonts w:ascii="Arial" w:cs="Arial" w:eastAsia="Arial" w:hAnsi="Arial"/>
          <w:b w:val="false"/>
          <w:bCs w:val="false"/>
          <w:sz w:val="21"/>
          <w:szCs w:val="21"/>
          <w:rtl/>
        </w:rPr>
        <w:t xml:space="preserve">وقرار جديد كشفه البناء: مواصفتا الطلبات والاعتمادات (13 و14) لم يكن فيهما عمود لـ FA ولا لـ RK، فلم يأخذ هذان الدوران «تفضيلات الإشعار» </w:t>
      </w:r>
      <w:r>
        <w:rPr>
          <w:rFonts w:ascii="Courier New" w:cs="Courier New" w:eastAsia="Courier New" w:hAnsi="Courier New"/>
          <w:b w:val="false"/>
          <w:bCs w:val="false"/>
          <w:color w:val="1F2937"/>
          <w:sz w:val="18"/>
          <w:szCs w:val="18"/>
          <w:shd w:fill="F1F3F5" w:color="auto" w:val="clear"/>
          <w:rtl/>
        </w:rPr>
        <w:t xml:space="preserve">‎ntf.prefs‎</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bCs/>
          <w:sz w:val="21"/>
          <w:szCs w:val="21"/>
          <w:rtl/>
        </w:rPr>
        <w:t xml:space="preserve"> وافق المالك (القرار 36، 2026-10-21):</w:t>
      </w:r>
      <w:r>
        <w:rPr>
          <w:rFonts w:ascii="Arial" w:cs="Arial" w:eastAsia="Arial" w:hAnsi="Arial"/>
          <w:b w:val="false"/>
          <w:bCs w:val="false"/>
          <w:sz w:val="21"/>
          <w:szCs w:val="21"/>
          <w:rtl/>
        </w:rPr>
        <w:t xml:space="preserve"> أُضيف العمودان إلى مصفوفة المواصفة 13، ولكل منهما </w:t>
      </w:r>
      <w:r>
        <w:rPr>
          <w:rFonts w:ascii="Courier New" w:cs="Courier New" w:eastAsia="Courier New" w:hAnsi="Courier New"/>
          <w:b w:val="false"/>
          <w:bCs w:val="false"/>
          <w:color w:val="1F2937"/>
          <w:sz w:val="18"/>
          <w:szCs w:val="18"/>
          <w:shd w:fill="F1F3F5" w:color="auto" w:val="clear"/>
          <w:rtl/>
        </w:rPr>
        <w:t xml:space="preserve">‎ntf.prefs‎</w:t>
      </w:r>
      <w:r>
        <w:rPr>
          <w:rFonts w:ascii="Arial" w:cs="Arial" w:eastAsia="Arial" w:hAnsi="Arial"/>
          <w:b w:val="false"/>
          <w:bCs w:val="false"/>
          <w:sz w:val="21"/>
          <w:szCs w:val="21"/>
          <w:rtl/>
        </w:rPr>
        <w:t xml:space="preserve"> وحدها، فتبعتها الحزمة آليًا.</w:t>
      </w:r>
    </w:p>
    <w:p>
      <w:pPr>
        <w:pStyle w:val="Heading1"/>
        <w:bidi/>
      </w:pPr>
      <w:bookmarkStart w:name="_sec11" w:id="11"/>
      <w:r>
        <w:rPr>
          <w:rFonts w:ascii="Arial" w:cs="Arial" w:eastAsia="Arial" w:hAnsi="Arial"/>
          <w:b/>
          <w:bCs/>
          <w:color w:val="1F3A5F"/>
          <w:sz w:val="32"/>
          <w:szCs w:val="32"/>
          <w:rtl/>
        </w:rPr>
        <w:t xml:space="preserve">7. ما بُني بعد الحزمة المراجَعة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76"/>
        <w:gridCol w:w="5193"/>
        <w:gridCol w:w="2595"/>
      </w:tblGrid>
      <w:tr>
        <w:trPr>
          <w:cantSplit/>
          <w:tblHeader/>
        </w:trPr>
        <w:tc>
          <w:tcPr>
            <w:tcW w:type="dxa" w:w="20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1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c>
          <w:tcPr>
            <w:tcW w:type="dxa" w:w="25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الاختبارات</w:t>
            </w:r>
          </w:p>
        </w:tc>
      </w:tr>
      <w:tr>
        <w:trPr>
          <w:cantSplit/>
        </w:trPr>
        <w:tc>
          <w:tcPr>
            <w:tcW w:type="dxa" w:w="2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بقية DR-20 (ADR 0032)</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قوادح حالة المفتاح على 9 أعمدة في 6 جداول، ودورة حياة للمفتاح تسير إلى الأمام فقط، ولا تقاعد لمفتاح ما زال مستعملًا</w:t>
            </w:r>
          </w:p>
        </w:tc>
        <w:tc>
          <w:tcPr>
            <w:tcW w:type="dxa" w:w="2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KG1 إلى KG6</w:t>
            </w:r>
          </w:p>
        </w:tc>
      </w:tr>
      <w:tr>
        <w:trPr>
          <w:cantSplit/>
        </w:trPr>
        <w:tc>
          <w:tcPr>
            <w:tcW w:type="dxa" w:w="2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التدقيق ومرساتها (ADR 0033)</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السلسلة، والمهمة JOB-PLT-AUDIT-CHAIN، والأداة </w:t>
            </w:r>
            <w:r>
              <w:rPr>
                <w:rFonts w:ascii="Courier New" w:cs="Courier New" w:eastAsia="Courier New" w:hAnsi="Courier New"/>
                <w:b w:val="false"/>
                <w:bCs w:val="false"/>
                <w:color w:val="1F2937"/>
                <w:sz w:val="16"/>
                <w:szCs w:val="16"/>
                <w:shd w:fill="F1F3F5" w:color="auto" w:val="clear"/>
                <w:rtl/>
              </w:rPr>
              <w:t xml:space="preserve">‎audit_anchor.sh‎</w:t>
            </w:r>
          </w:p>
        </w:tc>
        <w:tc>
          <w:tcPr>
            <w:tcW w:type="dxa" w:w="2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AC1 إلى AC6، وAA1 إلى AA3</w:t>
            </w:r>
          </w:p>
        </w:tc>
      </w:tr>
      <w:tr>
        <w:trPr>
          <w:cantSplit/>
        </w:trPr>
        <w:tc>
          <w:tcPr>
            <w:tcW w:type="dxa" w:w="2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الترحيل التدريجي (ADR 0034)</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دفتر الترحيلات، وبصمة المخطط، والأداة </w:t>
            </w:r>
            <w:r>
              <w:rPr>
                <w:rFonts w:ascii="Courier New" w:cs="Courier New" w:eastAsia="Courier New" w:hAnsi="Courier New"/>
                <w:b w:val="false"/>
                <w:bCs w:val="false"/>
                <w:color w:val="1F2937"/>
                <w:sz w:val="16"/>
                <w:szCs w:val="16"/>
                <w:shd w:fill="F1F3F5" w:color="auto" w:val="clear"/>
                <w:rtl/>
              </w:rPr>
              <w:t xml:space="preserve">‎migrate.sh‎</w:t>
            </w:r>
            <w:r>
              <w:rPr>
                <w:rFonts w:ascii="Arial" w:cs="Arial" w:eastAsia="Arial" w:hAnsi="Arial"/>
                <w:b w:val="false"/>
                <w:bCs w:val="false"/>
                <w:sz w:val="18"/>
                <w:szCs w:val="18"/>
                <w:rtl/>
              </w:rPr>
              <w:t xml:space="preserve">، وصارت الملفات الثابتة قابلة لإعادة التشغيل</w:t>
            </w:r>
          </w:p>
        </w:tc>
        <w:tc>
          <w:tcPr>
            <w:tcW w:type="dxa" w:w="2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MG1 إلى MG7</w:t>
            </w:r>
          </w:p>
        </w:tc>
      </w:tr>
      <w:tr>
        <w:trPr>
          <w:cantSplit/>
        </w:trPr>
        <w:tc>
          <w:tcPr>
            <w:tcW w:type="dxa" w:w="2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 (ADR 0035)</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CORE.ROLES</w:t>
            </w:r>
          </w:p>
        </w:tc>
        <w:tc>
          <w:tcPr>
            <w:tcW w:type="dxa" w:w="2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CR1 إلى CR6</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8. بنود مقترحة للبناء (تنتظر موافقة المالك)</w:t>
      </w:r>
      <w:bookmarkEnd w:id="12"/>
    </w:p>
    <w:p>
      <w:pPr>
        <w:pStyle w:val="ListParagraph"/>
        <w:numPr>
          <w:ilvl w:val="0"/>
          <w:numId w:val="3"/>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نُفّذ في 2026-10-21 (ADR 0036، </w:t>
      </w:r>
      <w:r>
        <w:rPr>
          <w:rFonts w:ascii="Courier New" w:cs="Courier New" w:eastAsia="Courier New" w:hAnsi="Courier New"/>
          <w:b/>
          <w:bCs/>
          <w:color w:val="1F2937"/>
          <w:sz w:val="18"/>
          <w:szCs w:val="18"/>
          <w:shd w:fill="F1F3F5" w:color="auto" w:val="clear"/>
          <w:rtl/>
        </w:rPr>
        <w:t xml:space="preserve">‎docs/40‎</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كل مسارات القاعدة داخل أهدافها، وكشف القياس أن الفحص الكامل لسلسلة التدقيق يزيد بلا حد، فصار يوميًا من المرساة. </w:t>
      </w:r>
      <w:r>
        <w:rPr>
          <w:rFonts w:ascii="Arial" w:cs="Arial" w:eastAsia="Arial" w:hAnsi="Arial"/>
          <w:b/>
          <w:bCs/>
          <w:sz w:val="21"/>
          <w:szCs w:val="21"/>
          <w:rtl/>
        </w:rPr>
        <w:t xml:space="preserve">قياس الأداء على القاعدة وحدها (P0-2):</w:t>
      </w:r>
    </w:p>
    <w:p>
      <w:pPr>
        <w:pStyle w:val="ListParagraph"/>
        <w:numPr>
          <w:ilvl w:val="1"/>
          <w:numId w:val="2"/>
        </w:numPr>
        <w:bidi/>
        <w:spacing w:after="70" w:before="0" w:line="300"/>
      </w:pPr>
      <w:r>
        <w:rPr>
          <w:rFonts w:ascii="Arial" w:cs="Arial" w:eastAsia="Arial" w:hAnsi="Arial"/>
          <w:b w:val="false"/>
          <w:bCs w:val="false"/>
          <w:sz w:val="21"/>
          <w:szCs w:val="21"/>
          <w:rtl/>
        </w:rPr>
        <w:t xml:space="preserve">مولّد بيانات اصطناعية بأحجام NFR: 300 مشترك و50,000 سجل للجدول، يحترم المفاتيح والقيود والحالات.</w:t>
      </w:r>
    </w:p>
    <w:p>
      <w:pPr>
        <w:pStyle w:val="ListParagraph"/>
        <w:numPr>
          <w:ilvl w:val="1"/>
          <w:numId w:val="2"/>
        </w:numPr>
        <w:bidi/>
        <w:spacing w:after="70" w:before="0" w:line="300"/>
      </w:pPr>
      <w:r>
        <w:rPr>
          <w:rFonts w:ascii="Arial" w:cs="Arial" w:eastAsia="Arial" w:hAnsi="Arial"/>
          <w:b w:val="false"/>
          <w:bCs w:val="false"/>
          <w:sz w:val="21"/>
          <w:szCs w:val="21"/>
          <w:rtl/>
        </w:rPr>
        <w:t xml:space="preserve">قياس الاستعلامات والإجراءات الثقيلة: المتاح من الحد، والتقييم، والإنذار المبكر، والجاهزية، وحزمة الأدلة.</w:t>
      </w:r>
    </w:p>
    <w:p>
      <w:pPr>
        <w:pStyle w:val="ListParagraph"/>
        <w:numPr>
          <w:ilvl w:val="1"/>
          <w:numId w:val="2"/>
        </w:numPr>
        <w:bidi/>
        <w:spacing w:after="70" w:before="0" w:line="300"/>
      </w:pPr>
      <w:r>
        <w:rPr>
          <w:rFonts w:ascii="Arial" w:cs="Arial" w:eastAsia="Arial" w:hAnsi="Arial"/>
          <w:b w:val="false"/>
          <w:bCs w:val="false"/>
          <w:sz w:val="21"/>
          <w:szCs w:val="21"/>
          <w:rtl/>
        </w:rPr>
        <w:t xml:space="preserve">تقرير بالأزمنة وخطط التنفيذ، وأي فهرس يلزم (P2-2).</w:t>
      </w:r>
    </w:p>
    <w:p>
      <w:pPr>
        <w:pStyle w:val="ListParagraph"/>
        <w:numPr>
          <w:ilvl w:val="0"/>
          <w:numId w:val="3"/>
        </w:numPr>
        <w:bidi/>
        <w:spacing w:after="70" w:before="0" w:line="300"/>
      </w:pPr>
      <w:r>
        <w:rPr>
          <w:rFonts w:ascii="Arial" w:cs="Arial" w:eastAsia="Arial" w:hAnsi="Arial"/>
          <w:b/>
          <w:bCs/>
          <w:sz w:val="21"/>
          <w:szCs w:val="21"/>
          <w:rtl/>
        </w:rPr>
        <w:t xml:space="preserve">التصديق المشروط للتقييم المتفائل (P1-2):</w:t>
      </w:r>
      <w:r>
        <w:rPr>
          <w:rFonts w:ascii="Arial" w:cs="Arial" w:eastAsia="Arial" w:hAnsi="Arial"/>
          <w:b w:val="false"/>
          <w:bCs w:val="false"/>
          <w:sz w:val="21"/>
          <w:szCs w:val="21"/>
          <w:rtl/>
        </w:rPr>
        <w:t xml:space="preserve"> إذا كان في التقييم إنذار </w:t>
      </w:r>
      <w:r>
        <w:rPr>
          <w:rFonts w:ascii="Courier New" w:cs="Courier New" w:eastAsia="Courier New" w:hAnsi="Courier New"/>
          <w:b w:val="false"/>
          <w:bCs w:val="false"/>
          <w:color w:val="1F2937"/>
          <w:sz w:val="18"/>
          <w:szCs w:val="18"/>
          <w:shd w:fill="F1F3F5" w:color="auto" w:val="clear"/>
          <w:rtl/>
        </w:rPr>
        <w:t xml:space="preserve">‎CALIBRATION_OPTIMISTIC‎</w:t>
      </w:r>
      <w:r>
        <w:rPr>
          <w:rFonts w:ascii="Arial" w:cs="Arial" w:eastAsia="Arial" w:hAnsi="Arial"/>
          <w:b w:val="false"/>
          <w:bCs w:val="false"/>
          <w:sz w:val="21"/>
          <w:szCs w:val="21"/>
          <w:rtl/>
        </w:rPr>
        <w:t xml:space="preserve">، فلا يُصدَّق إلا بسبب مكتوب واعتماد ثانٍ من حامل آخر لصلاحية التصديق. فيصير الضابط وقائيًا.</w:t>
      </w:r>
    </w:p>
    <w:p>
      <w:pPr>
        <w:pStyle w:val="ListParagraph"/>
        <w:numPr>
          <w:ilvl w:val="0"/>
          <w:numId w:val="3"/>
        </w:numPr>
        <w:bidi/>
        <w:spacing w:after="70" w:before="0" w:line="300"/>
      </w:pPr>
      <w:r>
        <w:rPr>
          <w:rFonts w:ascii="Arial" w:cs="Arial" w:eastAsia="Arial" w:hAnsi="Arial"/>
          <w:b/>
          <w:bCs/>
          <w:sz w:val="21"/>
          <w:szCs w:val="21"/>
          <w:rtl/>
        </w:rPr>
        <w:t xml:space="preserve">تمرين استعادة مُقاس في بيئة معزولة (P0-3):</w:t>
      </w:r>
    </w:p>
    <w:p>
      <w:pPr>
        <w:pStyle w:val="ListParagraph"/>
        <w:numPr>
          <w:ilvl w:val="1"/>
          <w:numId w:val="2"/>
        </w:numPr>
        <w:bidi/>
        <w:spacing w:after="70" w:before="0" w:line="300"/>
      </w:pPr>
      <w:r>
        <w:rPr>
          <w:rFonts w:ascii="Arial" w:cs="Arial" w:eastAsia="Arial" w:hAnsi="Arial"/>
          <w:b w:val="false"/>
          <w:bCs w:val="false"/>
          <w:sz w:val="21"/>
          <w:szCs w:val="21"/>
          <w:rtl/>
        </w:rPr>
        <w:t xml:space="preserve">نسخة كاملة، ثم استعادة إلى خادم آخر.</w:t>
      </w:r>
    </w:p>
    <w:p>
      <w:pPr>
        <w:pStyle w:val="ListParagraph"/>
        <w:numPr>
          <w:ilvl w:val="1"/>
          <w:numId w:val="2"/>
        </w:numPr>
        <w:bidi/>
        <w:spacing w:after="70" w:before="0" w:line="300"/>
      </w:pPr>
      <w:r>
        <w:rPr>
          <w:rFonts w:ascii="Arial" w:cs="Arial" w:eastAsia="Arial" w:hAnsi="Arial"/>
          <w:b w:val="false"/>
          <w:bCs w:val="false"/>
          <w:sz w:val="21"/>
          <w:szCs w:val="21"/>
          <w:rtl/>
        </w:rPr>
        <w:t xml:space="preserve">قياس الزمن ونقطة الاستعادة مقابل الهدف.</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التحقق من سلسلة التدقيق بعد الاستعادة مقابل المراسي الخارجية، فيثبت أن الاستعادة لم تغيّر السجل.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تعبئة سجل DOC-S09 §7.2.</w:t>
      </w:r>
    </w:p>
    <w:p>
      <w:pPr>
        <w:pStyle w:val="ListParagraph"/>
        <w:numPr>
          <w:ilvl w:val="0"/>
          <w:numId w:val="3"/>
        </w:numPr>
        <w:bidi/>
        <w:spacing w:after="70" w:before="0" w:line="300"/>
      </w:pPr>
      <w:r>
        <w:rPr>
          <w:rFonts w:ascii="Arial" w:cs="Arial" w:eastAsia="Arial" w:hAnsi="Arial"/>
          <w:b/>
          <w:bCs/>
          <w:sz w:val="21"/>
          <w:szCs w:val="21"/>
          <w:rtl/>
        </w:rPr>
        <w:t xml:space="preserve">شريحة خدمة رأسية واحدة (P0-1):</w:t>
      </w:r>
      <w:r>
        <w:rPr>
          <w:rFonts w:ascii="Arial" w:cs="Arial" w:eastAsia="Arial" w:hAnsi="Arial"/>
          <w:b w:val="false"/>
          <w:bCs w:val="false"/>
          <w:sz w:val="21"/>
          <w:szCs w:val="21"/>
          <w:rtl/>
        </w:rPr>
        <w:t xml:space="preserve"> دخول، ثم إدخال قائمة، ثم اعتمادها، ثم تقييم، ثم تصديق، ثم حزمة أدلة. وهي قرار المالك على مكدّس طبقة التطبيق، وأكبر هذه البنود.</w:t>
      </w:r>
    </w:p>
    <w:p>
      <w:pPr>
        <w:pStyle w:val="ListParagraph"/>
        <w:numPr>
          <w:ilvl w:val="0"/>
          <w:numId w:val="3"/>
        </w:numPr>
        <w:bidi/>
        <w:spacing w:after="70" w:before="0" w:line="300"/>
      </w:pPr>
      <w:r>
        <w:rPr>
          <w:rFonts w:ascii="Arial" w:cs="Arial" w:eastAsia="Arial" w:hAnsi="Arial"/>
          <w:b w:val="false"/>
          <w:bCs w:val="false"/>
          <w:sz w:val="21"/>
          <w:szCs w:val="21"/>
          <w:rtl/>
        </w:rPr>
        <w:t xml:space="preserve">تعديل مصفوفة المواصفة 13 لـ FA وRK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نُفّذ بالقرار 36.</w:t>
      </w:r>
    </w:p>
    <w:p>
      <w:pPr>
        <w:bidi/>
        <w:spacing w:after="60" w:before="0"/>
      </w:pPr>
    </w:p>
    <w:p>
      <w:pPr>
        <w:bidi/>
        <w:spacing w:after="110" w:before="0" w:line="312"/>
      </w:pPr>
      <w:r>
        <w:rPr>
          <w:rFonts w:ascii="Arial" w:cs="Arial" w:eastAsia="Arial" w:hAnsi="Arial"/>
          <w:b w:val="false"/>
          <w:bCs w:val="false"/>
          <w:sz w:val="21"/>
          <w:szCs w:val="21"/>
          <w:rtl/>
        </w:rPr>
        <w:t xml:space="preserve">ونقترح الترتيب الذي تقترحه المراجعة نفسها: البند 1 أولًا لأنه لا ينتظر شيئًا، ثم 2 و3، ثم 4.</w:t>
      </w: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دراسة المراجعة المعمارية 5.0 · BankFas · 2026-10-21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المراجعة المعمارية النقدية (النسخة 5.0)</dc:title>
  <dc:creator>Claude</dc:creator>
  <dc:description>BankFas database design document</dc:description>
  <cp:lastModifiedBy>Un-named</cp:lastModifiedBy>
  <cp:revision>1</cp:revision>
  <dcterms:created xsi:type="dcterms:W3CDTF">2026-10-21T12:09:16.440Z</dcterms:created>
  <dcterms:modified xsi:type="dcterms:W3CDTF">2026-10-21T12:09:16.440Z</dcterms:modified>
</cp:coreProperties>
</file>

<file path=docProps/custom.xml><?xml version="1.0" encoding="utf-8"?>
<Properties xmlns="http://schemas.openxmlformats.org/officeDocument/2006/custom-properties" xmlns:vt="http://schemas.openxmlformats.org/officeDocument/2006/docPropsVTypes"/>
</file>