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قياس أداء قاعدة البيانات (البند 1 من دراسة المراجعة 5.0)</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92"/>
        <w:gridCol w:w="7672"/>
      </w:tblGrid>
      <w:tr>
        <w:trPr>
          <w:cantSplit/>
          <w:tblHeader/>
        </w:trPr>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76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2192"/>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الطلب</w:t>
            </w:r>
          </w:p>
        </w:tc>
        <w:tc>
          <w:tcPr>
            <w:tcW w:type="dxa" w:w="76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البند 1 من </w:t>
            </w:r>
            <w:r>
              <w:rPr>
                <w:rFonts w:ascii="Courier New" w:cs="Courier New" w:eastAsia="Courier New" w:hAnsi="Courier New"/>
                <w:b w:val="false"/>
                <w:bCs w:val="false"/>
                <w:color w:val="1F2937"/>
                <w:sz w:val="16"/>
                <w:szCs w:val="16"/>
                <w:shd w:fill="F1F3F5" w:color="auto" w:val="clear"/>
                <w:rtl/>
              </w:rPr>
              <w:t xml:space="preserve">‎docs/39‎</w:t>
            </w:r>
            <w:r>
              <w:rPr>
                <w:rFonts w:ascii="Arial" w:cs="Arial" w:eastAsia="Arial" w:hAnsi="Arial"/>
                <w:b w:val="false"/>
                <w:bCs w:val="false"/>
                <w:sz w:val="18"/>
                <w:szCs w:val="18"/>
                <w:rtl/>
              </w:rPr>
              <w:t xml:space="preserve"> §8، وهو P0-2 في المراجعة 5.0: قياس الأداء على أحجام NFR قبل أي شيء آخر، لأنه لا ينتظر طبقة الخدمة</w:t>
            </w:r>
          </w:p>
        </w:tc>
      </w:tr>
      <w:tr>
        <w:trPr>
          <w:cantSplit/>
        </w:trPr>
        <w:tc>
          <w:tcPr>
            <w:tcW w:type="dxa" w:w="2192"/>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القرار المعماري</w:t>
            </w:r>
          </w:p>
        </w:tc>
        <w:tc>
          <w:tcPr>
            <w:tcW w:type="dxa" w:w="76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0036</w:t>
            </w:r>
          </w:p>
        </w:tc>
      </w:tr>
      <w:tr>
        <w:trPr>
          <w:cantSplit/>
        </w:trPr>
        <w:tc>
          <w:tcPr>
            <w:tcW w:type="dxa" w:w="2192"/>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الأدوات</w:t>
            </w:r>
          </w:p>
        </w:tc>
        <w:tc>
          <w:tcPr>
            <w:tcW w:type="dxa" w:w="76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‎tools/perf/perf_seed.sql‎</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‎tools/perf/perf_measure.sql‎</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‎tools/perf/run_perf.sh‎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‎tools/perf/perf_report.py‎</w:t>
            </w:r>
          </w:p>
        </w:tc>
      </w:tr>
      <w:tr>
        <w:trPr>
          <w:cantSplit/>
        </w:trPr>
        <w:tc>
          <w:tcPr>
            <w:tcW w:type="dxa" w:w="2192"/>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التشغيل المعتمد</w:t>
            </w:r>
          </w:p>
        </w:tc>
        <w:tc>
          <w:tcPr>
            <w:tcW w:type="dxa" w:w="76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الإيداع </w:t>
            </w:r>
            <w:r>
              <w:rPr>
                <w:rFonts w:ascii="Courier New" w:cs="Courier New" w:eastAsia="Courier New" w:hAnsi="Courier New"/>
                <w:b w:val="false"/>
                <w:bCs w:val="false"/>
                <w:color w:val="1F2937"/>
                <w:sz w:val="16"/>
                <w:szCs w:val="16"/>
                <w:shd w:fill="F1F3F5" w:color="auto" w:val="clear"/>
                <w:rtl/>
              </w:rPr>
              <w:t xml:space="preserve">‎36b06b9‎</w:t>
            </w:r>
            <w:r>
              <w:rPr>
                <w:rFonts w:ascii="Arial" w:cs="Arial" w:eastAsia="Arial" w:hAnsi="Arial"/>
                <w:b w:val="false"/>
                <w:bCs w:val="false"/>
                <w:sz w:val="18"/>
                <w:szCs w:val="18"/>
                <w:rtl/>
              </w:rPr>
              <w:t xml:space="preserve">، 2026-10-21. الأسطر الخام في </w:t>
            </w:r>
            <w:r>
              <w:rPr>
                <w:rFonts w:ascii="Courier New" w:cs="Courier New" w:eastAsia="Courier New" w:hAnsi="Courier New"/>
                <w:b w:val="false"/>
                <w:bCs w:val="false"/>
                <w:color w:val="1F2937"/>
                <w:sz w:val="16"/>
                <w:szCs w:val="16"/>
                <w:shd w:fill="F1F3F5" w:color="auto" w:val="clear"/>
                <w:rtl/>
              </w:rPr>
              <w:t xml:space="preserve">‎docs/perf/perf-run.txt‎</w:t>
            </w:r>
            <w:r>
              <w:rPr>
                <w:rFonts w:ascii="Arial" w:cs="Arial" w:eastAsia="Arial" w:hAnsi="Arial"/>
                <w:b w:val="false"/>
                <w:bCs w:val="false"/>
                <w:sz w:val="18"/>
                <w:szCs w:val="18"/>
                <w:rtl/>
              </w:rPr>
              <w:t xml:space="preserve">، والتقرير المولَّد منها في </w:t>
            </w:r>
            <w:r>
              <w:rPr>
                <w:rFonts w:ascii="Courier New" w:cs="Courier New" w:eastAsia="Courier New" w:hAnsi="Courier New"/>
                <w:b w:val="false"/>
                <w:bCs w:val="false"/>
                <w:color w:val="1F2937"/>
                <w:sz w:val="16"/>
                <w:szCs w:val="16"/>
                <w:shd w:fill="F1F3F5" w:color="auto" w:val="clear"/>
                <w:rtl/>
              </w:rPr>
              <w:t xml:space="preserve">‎docs/perf/perf-results.md‎</w:t>
            </w:r>
            <w:r>
              <w:rPr>
                <w:rFonts w:ascii="Arial" w:cs="Arial" w:eastAsia="Arial" w:hAnsi="Arial"/>
                <w:b w:val="false"/>
                <w:bCs w:val="false"/>
                <w:sz w:val="18"/>
                <w:szCs w:val="18"/>
                <w:rtl/>
              </w:rPr>
              <w:t xml:space="preserve">. كل رقم هنا منقول منهما</w:t>
            </w:r>
          </w:p>
        </w:tc>
      </w:tr>
      <w:tr>
        <w:trPr>
          <w:cantSplit/>
        </w:trPr>
        <w:tc>
          <w:tcPr>
            <w:tcW w:type="dxa" w:w="2192"/>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البيئة</w:t>
            </w:r>
          </w:p>
        </w:tc>
        <w:tc>
          <w:tcPr>
            <w:tcW w:type="dxa" w:w="76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حاوية بأربعة معالجات و15 غيغابايت ذاكرة، وSQL Server 2025 (17.0.5015.4) Developer، بالعزل الافتراضي READ_COMMITTED</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الخلاصة</w:t>
        </w:r>
      </w:hyperlink>
    </w:p>
    <w:p>
      <w:pPr>
        <w:bidi/>
        <w:spacing w:after="50" w:before="0"/>
        <w:ind w:left="0"/>
      </w:pPr>
      <w:hyperlink w:history="1" w:anchor="_sec2">
        <w:r>
          <w:rPr>
            <w:rFonts w:ascii="Arial" w:cs="Arial" w:eastAsia="Arial" w:hAnsi="Arial"/>
            <w:b/>
            <w:bCs/>
            <w:color w:val="1F3A5F"/>
            <w:sz w:val="20"/>
            <w:szCs w:val="20"/>
            <w:rtl/>
          </w:rPr>
          <w:t xml:space="preserve">2. ما قيس وكيف</w:t>
        </w:r>
      </w:hyperlink>
    </w:p>
    <w:p>
      <w:pPr>
        <w:bidi/>
        <w:spacing w:after="50" w:before="0"/>
        <w:ind w:left="0"/>
      </w:pPr>
      <w:hyperlink w:history="1" w:anchor="_sec5">
        <w:r>
          <w:rPr>
            <w:rFonts w:ascii="Arial" w:cs="Arial" w:eastAsia="Arial" w:hAnsi="Arial"/>
            <w:b/>
            <w:bCs/>
            <w:color w:val="1F3A5F"/>
            <w:sz w:val="20"/>
            <w:szCs w:val="20"/>
            <w:rtl/>
          </w:rPr>
          <w:t xml:space="preserve">3. النتائج</w:t>
        </w:r>
      </w:hyperlink>
    </w:p>
    <w:p>
      <w:pPr>
        <w:bidi/>
        <w:spacing w:after="50" w:before="0"/>
        <w:ind w:left="0"/>
      </w:pPr>
      <w:hyperlink w:history="1" w:anchor="_sec6">
        <w:r>
          <w:rPr>
            <w:rFonts w:ascii="Arial" w:cs="Arial" w:eastAsia="Arial" w:hAnsi="Arial"/>
            <w:b/>
            <w:bCs/>
            <w:color w:val="1F3A5F"/>
            <w:sz w:val="20"/>
            <w:szCs w:val="20"/>
            <w:rtl/>
          </w:rPr>
          <w:t xml:space="preserve">4. ما كشفه القياس، وما فُعل به</w:t>
        </w:r>
      </w:hyperlink>
    </w:p>
    <w:p>
      <w:pPr>
        <w:bidi/>
        <w:spacing w:after="50" w:before="0"/>
        <w:ind w:left="0"/>
      </w:pPr>
      <w:hyperlink w:history="1" w:anchor="_sec11">
        <w:r>
          <w:rPr>
            <w:rFonts w:ascii="Arial" w:cs="Arial" w:eastAsia="Arial" w:hAnsi="Arial"/>
            <w:b/>
            <w:bCs/>
            <w:color w:val="1F3A5F"/>
            <w:sz w:val="20"/>
            <w:szCs w:val="20"/>
            <w:rtl/>
          </w:rPr>
          <w:t xml:space="preserve">5. حدود القياس</w:t>
        </w:r>
      </w:hyperlink>
    </w:p>
    <w:p>
      <w:pPr>
        <w:bidi/>
        <w:spacing w:after="50" w:before="0"/>
        <w:ind w:left="0"/>
      </w:pPr>
      <w:hyperlink w:history="1" w:anchor="_sec12">
        <w:r>
          <w:rPr>
            <w:rFonts w:ascii="Arial" w:cs="Arial" w:eastAsia="Arial" w:hAnsi="Arial"/>
            <w:b/>
            <w:bCs/>
            <w:color w:val="1F3A5F"/>
            <w:sz w:val="20"/>
            <w:szCs w:val="20"/>
            <w:rtl/>
          </w:rPr>
          <w:t xml:space="preserve">6. إعادة القياس</w:t>
        </w:r>
      </w:hyperlink>
    </w:p>
    <w:p>
      <w:pPr>
        <w:bidi/>
        <w:spacing w:after="50" w:before="0"/>
        <w:ind w:left="0"/>
      </w:pPr>
      <w:hyperlink w:history="1" w:anchor="_sec13">
        <w:r>
          <w:rPr>
            <w:rFonts w:ascii="Arial" w:cs="Arial" w:eastAsia="Arial" w:hAnsi="Arial"/>
            <w:b/>
            <w:bCs/>
            <w:color w:val="1F3A5F"/>
            <w:sz w:val="20"/>
            <w:szCs w:val="20"/>
            <w:rtl/>
          </w:rPr>
          <w:t xml:space="preserve">7. ما بقي</w:t>
        </w:r>
      </w:hyperlink>
    </w:p>
    <w:p>
      <w:r>
        <w:br w:type="page"/>
      </w:r>
    </w:p>
    <w:p>
      <w:pPr>
        <w:pStyle w:val="Heading1"/>
        <w:bidi/>
      </w:pPr>
      <w:bookmarkStart w:name="_sec1" w:id="1"/>
      <w:r>
        <w:rPr>
          <w:rFonts w:ascii="Arial" w:cs="Arial" w:eastAsia="Arial" w:hAnsi="Arial"/>
          <w:b/>
          <w:bCs/>
          <w:color w:val="1F3A5F"/>
          <w:sz w:val="32"/>
          <w:szCs w:val="32"/>
          <w:rtl/>
        </w:rPr>
        <w:t xml:space="preserve">1. الخلاصة</w:t>
      </w:r>
      <w:bookmarkEnd w:id="1"/>
    </w:p>
    <w:p>
      <w:pPr>
        <w:bidi/>
        <w:spacing w:after="110" w:before="0" w:line="312"/>
      </w:pPr>
      <w:r>
        <w:rPr>
          <w:rFonts w:ascii="Arial" w:cs="Arial" w:eastAsia="Arial" w:hAnsi="Arial"/>
          <w:b/>
          <w:bCs/>
          <w:sz w:val="21"/>
          <w:szCs w:val="21"/>
          <w:rtl/>
        </w:rPr>
        <w:t xml:space="preserve">كل ما قيس من مسارات القاعدة داخل هدفه:</w:t>
      </w:r>
    </w:p>
    <w:p>
      <w:pPr>
        <w:pStyle w:val="ListParagraph"/>
        <w:numPr>
          <w:ilvl w:val="0"/>
          <w:numId w:val="2"/>
        </w:numPr>
        <w:bidi/>
        <w:spacing w:after="70" w:before="0" w:line="300"/>
      </w:pPr>
      <w:r>
        <w:rPr>
          <w:rFonts w:ascii="Arial" w:cs="Arial" w:eastAsia="Arial" w:hAnsi="Arial"/>
          <w:b w:val="false"/>
          <w:bCs w:val="false"/>
          <w:sz w:val="21"/>
          <w:szCs w:val="21"/>
          <w:rtl/>
        </w:rPr>
        <w:t xml:space="preserve">ربط الجلسة 4.3 مللي ثانية في p95، والهدف 20 (NFR-PERF-06).</w:t>
      </w:r>
    </w:p>
    <w:p>
      <w:pPr>
        <w:pStyle w:val="ListParagraph"/>
        <w:numPr>
          <w:ilvl w:val="0"/>
          <w:numId w:val="2"/>
        </w:numPr>
        <w:bidi/>
        <w:spacing w:after="70" w:before="0" w:line="300"/>
      </w:pPr>
      <w:r>
        <w:rPr>
          <w:rFonts w:ascii="Arial" w:cs="Arial" w:eastAsia="Arial" w:hAnsi="Arial"/>
          <w:b w:val="false"/>
          <w:bCs w:val="false"/>
          <w:sz w:val="21"/>
          <w:szCs w:val="21"/>
          <w:rtl/>
        </w:rPr>
        <w:t xml:space="preserve">ما تقرؤه الشاشات بين 0.2 و1.3 مللي ثانية في p95، والحصة المقترحة 200.</w:t>
      </w:r>
    </w:p>
    <w:p>
      <w:pPr>
        <w:pStyle w:val="ListParagraph"/>
        <w:numPr>
          <w:ilvl w:val="0"/>
          <w:numId w:val="2"/>
        </w:numPr>
        <w:bidi/>
        <w:spacing w:after="70" w:before="0" w:line="300"/>
      </w:pPr>
      <w:r>
        <w:rPr>
          <w:rFonts w:ascii="Arial" w:cs="Arial" w:eastAsia="Arial" w:hAnsi="Arial"/>
          <w:b w:val="false"/>
          <w:bCs w:val="false"/>
          <w:sz w:val="21"/>
          <w:szCs w:val="21"/>
          <w:rtl/>
        </w:rPr>
        <w:t xml:space="preserve">قراءة الإنذار المبكر للمشترك كله 72 مللي ثانية.</w:t>
      </w:r>
    </w:p>
    <w:p>
      <w:pPr>
        <w:bidi/>
        <w:spacing w:after="60" w:before="0"/>
      </w:pPr>
    </w:p>
    <w:p>
      <w:pPr>
        <w:bidi/>
        <w:spacing w:after="110" w:before="0" w:line="312"/>
      </w:pPr>
      <w:r>
        <w:rPr>
          <w:rFonts w:ascii="Arial" w:cs="Arial" w:eastAsia="Arial" w:hAnsi="Arial"/>
          <w:b/>
          <w:bCs/>
          <w:sz w:val="21"/>
          <w:szCs w:val="21"/>
          <w:rtl/>
        </w:rPr>
        <w:t xml:space="preserve">فالقاعدة ليست عنق الزجاجة لهدف الثانيتين في NFR-PERF-01.</w:t>
      </w:r>
      <w:r>
        <w:rPr>
          <w:rFonts w:ascii="Arial" w:cs="Arial" w:eastAsia="Arial" w:hAnsi="Arial"/>
          <w:b w:val="false"/>
          <w:bCs w:val="false"/>
          <w:sz w:val="21"/>
          <w:szCs w:val="21"/>
          <w:rtl/>
        </w:rPr>
        <w:t xml:space="preserve"> ما يبقى من هذا الهدف يقع على طبقة الخدمة والشبكة والعرض، ويقاس معها.</w:t>
      </w:r>
    </w:p>
    <w:p>
      <w:pPr>
        <w:bidi/>
        <w:spacing w:after="110" w:before="0" w:line="312"/>
      </w:pPr>
      <w:r>
        <w:rPr>
          <w:rFonts w:ascii="Arial" w:cs="Arial" w:eastAsia="Arial" w:hAnsi="Arial"/>
          <w:b/>
          <w:bCs/>
          <w:sz w:val="21"/>
          <w:szCs w:val="21"/>
          <w:rtl/>
        </w:rPr>
        <w:t xml:space="preserve">وكشف القياس مشكلة حقيقية واحدة في التصميم، فأُصلحت:</w:t>
      </w:r>
    </w:p>
    <w:p>
      <w:pPr>
        <w:pStyle w:val="ListParagraph"/>
        <w:numPr>
          <w:ilvl w:val="0"/>
          <w:numId w:val="2"/>
        </w:numPr>
        <w:bidi/>
        <w:spacing w:after="70" w:before="0" w:line="300"/>
      </w:pPr>
      <w:r>
        <w:rPr>
          <w:rFonts w:ascii="Arial" w:cs="Arial" w:eastAsia="Arial" w:hAnsi="Arial"/>
          <w:b w:val="false"/>
          <w:bCs w:val="false"/>
          <w:sz w:val="21"/>
          <w:szCs w:val="21"/>
          <w:rtl/>
        </w:rPr>
        <w:t xml:space="preserve">الفحص الكامل لسلسلة التدقيق يكلّف نحو 40 ميكروثانية للصف، أي 2 ثانية لمشترك من 50 ألف صف، ويزيد بلا حد مع نمو السجل.</w:t>
      </w:r>
    </w:p>
    <w:p>
      <w:pPr>
        <w:pStyle w:val="ListParagraph"/>
        <w:numPr>
          <w:ilvl w:val="0"/>
          <w:numId w:val="2"/>
        </w:numPr>
        <w:bidi/>
        <w:spacing w:after="70" w:before="0" w:line="300"/>
      </w:pPr>
      <w:r>
        <w:rPr>
          <w:rFonts w:ascii="Arial" w:cs="Arial" w:eastAsia="Arial" w:hAnsi="Arial"/>
          <w:b w:val="false"/>
          <w:bCs w:val="false"/>
          <w:sz w:val="21"/>
          <w:szCs w:val="21"/>
          <w:rtl/>
        </w:rPr>
        <w:t xml:space="preserve">صار الفحص اليومي يبدأ من آخر مرساة، فيكلّف 0.17 ثانية ليوم من 500 صف، والفحص الكامل أسبوعي (§4.1).</w:t>
      </w:r>
    </w:p>
    <w:p>
      <w:pPr>
        <w:bidi/>
        <w:spacing w:after="60" w:before="0"/>
      </w:pPr>
    </w:p>
    <w:p>
      <w:pPr>
        <w:bidi/>
        <w:spacing w:after="110" w:before="0" w:line="312"/>
      </w:pPr>
      <w:r>
        <w:rPr>
          <w:rFonts w:ascii="Arial" w:cs="Arial" w:eastAsia="Arial" w:hAnsi="Arial"/>
          <w:b/>
          <w:bCs/>
          <w:sz w:val="21"/>
          <w:szCs w:val="21"/>
          <w:rtl/>
        </w:rPr>
        <w:t xml:space="preserve">ولم يُضف أي فهرس:</w:t>
      </w:r>
    </w:p>
    <w:p>
      <w:pPr>
        <w:pStyle w:val="ListParagraph"/>
        <w:numPr>
          <w:ilvl w:val="0"/>
          <w:numId w:val="2"/>
        </w:numPr>
        <w:bidi/>
        <w:spacing w:after="70" w:before="0" w:line="300"/>
      </w:pPr>
      <w:r>
        <w:rPr>
          <w:rFonts w:ascii="Arial" w:cs="Arial" w:eastAsia="Arial" w:hAnsi="Arial"/>
          <w:b w:val="false"/>
          <w:bCs w:val="false"/>
          <w:sz w:val="21"/>
          <w:szCs w:val="21"/>
          <w:rtl/>
        </w:rPr>
        <w:t xml:space="preserve">الطلبات التي جاءت من استعلامات أداة القياس نفسها استُبعدت.</w:t>
      </w:r>
    </w:p>
    <w:p>
      <w:pPr>
        <w:pStyle w:val="ListParagraph"/>
        <w:numPr>
          <w:ilvl w:val="0"/>
          <w:numId w:val="2"/>
        </w:numPr>
        <w:bidi/>
        <w:spacing w:after="70" w:before="0" w:line="300"/>
      </w:pPr>
      <w:r>
        <w:rPr>
          <w:rFonts w:ascii="Arial" w:cs="Arial" w:eastAsia="Arial" w:hAnsi="Arial"/>
          <w:b w:val="false"/>
          <w:bCs w:val="false"/>
          <w:sz w:val="21"/>
          <w:szCs w:val="21"/>
          <w:rtl/>
        </w:rPr>
        <w:t xml:space="preserve">طلب واحد يخص النظام نفسه، على </w:t>
      </w:r>
      <w:r>
        <w:rPr>
          <w:rFonts w:ascii="Courier New" w:cs="Courier New" w:eastAsia="Courier New" w:hAnsi="Courier New"/>
          <w:b w:val="false"/>
          <w:bCs w:val="false"/>
          <w:color w:val="1F2937"/>
          <w:sz w:val="18"/>
          <w:szCs w:val="18"/>
          <w:shd w:fill="F1F3F5" w:color="auto" w:val="clear"/>
          <w:rtl/>
        </w:rPr>
        <w:t xml:space="preserve">‎fin.BankFlowEntry‎</w:t>
      </w:r>
      <w:r>
        <w:rPr>
          <w:rFonts w:ascii="Arial" w:cs="Arial" w:eastAsia="Arial" w:hAnsi="Arial"/>
          <w:b w:val="false"/>
          <w:bCs w:val="false"/>
          <w:sz w:val="21"/>
          <w:szCs w:val="21"/>
          <w:rtl/>
        </w:rPr>
        <w:t xml:space="preserve">، مقترح للقرار (§4.3).</w:t>
      </w:r>
    </w:p>
    <w:p>
      <w:pPr>
        <w:bidi/>
        <w:spacing w:after="60" w:before="0"/>
      </w:pPr>
    </w:p>
    <w:p>
      <w:pPr>
        <w:bidi/>
        <w:spacing w:after="110" w:before="0" w:line="312"/>
      </w:pPr>
      <w:r>
        <w:rPr>
          <w:rFonts w:ascii="Arial" w:cs="Arial" w:eastAsia="Arial" w:hAnsi="Arial"/>
          <w:b/>
          <w:bCs/>
          <w:sz w:val="21"/>
          <w:szCs w:val="21"/>
          <w:rtl/>
        </w:rPr>
        <w:t xml:space="preserve">وحدود القياس صريحة (§5):</w:t>
      </w:r>
    </w:p>
    <w:p>
      <w:pPr>
        <w:pStyle w:val="ListParagraph"/>
        <w:numPr>
          <w:ilvl w:val="0"/>
          <w:numId w:val="2"/>
        </w:numPr>
        <w:bidi/>
        <w:spacing w:after="70" w:before="0" w:line="300"/>
      </w:pPr>
      <w:r>
        <w:rPr>
          <w:rFonts w:ascii="Arial" w:cs="Arial" w:eastAsia="Arial" w:hAnsi="Arial"/>
          <w:b w:val="false"/>
          <w:bCs w:val="false"/>
          <w:sz w:val="21"/>
          <w:szCs w:val="21"/>
          <w:rtl/>
        </w:rPr>
        <w:t xml:space="preserve">ثلاثة مشتركين فقط بالحجم الكامل، و297 أخف حجمًا.</w:t>
      </w:r>
    </w:p>
    <w:p>
      <w:pPr>
        <w:pStyle w:val="ListParagraph"/>
        <w:numPr>
          <w:ilvl w:val="0"/>
          <w:numId w:val="2"/>
        </w:numPr>
        <w:bidi/>
        <w:spacing w:after="70" w:before="0" w:line="300"/>
      </w:pPr>
      <w:r>
        <w:rPr>
          <w:rFonts w:ascii="Arial" w:cs="Arial" w:eastAsia="Arial" w:hAnsi="Arial"/>
          <w:b w:val="false"/>
          <w:bCs w:val="false"/>
          <w:sz w:val="21"/>
          <w:szCs w:val="21"/>
          <w:rtl/>
        </w:rPr>
        <w:t xml:space="preserve">حاوية لا بيئة إنتاج.</w:t>
      </w:r>
    </w:p>
    <w:p>
      <w:pPr>
        <w:pStyle w:val="ListParagraph"/>
        <w:numPr>
          <w:ilvl w:val="0"/>
          <w:numId w:val="2"/>
        </w:numPr>
        <w:bidi/>
        <w:spacing w:after="70" w:before="0" w:line="300"/>
      </w:pPr>
      <w:r>
        <w:rPr>
          <w:rFonts w:ascii="Arial" w:cs="Arial" w:eastAsia="Arial" w:hAnsi="Arial"/>
          <w:b w:val="false"/>
          <w:bCs w:val="false"/>
          <w:sz w:val="21"/>
          <w:szCs w:val="21"/>
          <w:rtl/>
        </w:rPr>
        <w:t xml:space="preserve">مسارات طبقة الخدمة لم تُقس.</w:t>
      </w:r>
    </w:p>
    <w:p>
      <w:pPr>
        <w:bidi/>
        <w:spacing w:after="60" w:before="0"/>
      </w:pPr>
    </w:p>
    <w:p>
      <w:pPr>
        <w:pStyle w:val="Heading1"/>
        <w:bidi/>
      </w:pPr>
      <w:bookmarkStart w:name="_sec2" w:id="2"/>
      <w:r>
        <w:rPr>
          <w:rFonts w:ascii="Arial" w:cs="Arial" w:eastAsia="Arial" w:hAnsi="Arial"/>
          <w:b/>
          <w:bCs/>
          <w:color w:val="1F3A5F"/>
          <w:sz w:val="32"/>
          <w:szCs w:val="32"/>
          <w:rtl/>
        </w:rPr>
        <w:t xml:space="preserve">2. ما قيس وكيف</w:t>
      </w:r>
      <w:bookmarkEnd w:id="2"/>
    </w:p>
    <w:p>
      <w:pPr>
        <w:pStyle w:val="Heading2"/>
        <w:bidi/>
      </w:pPr>
      <w:bookmarkStart w:name="_sec3" w:id="3"/>
      <w:r>
        <w:rPr>
          <w:rFonts w:ascii="Arial" w:cs="Arial" w:eastAsia="Arial" w:hAnsi="Arial"/>
          <w:b/>
          <w:bCs/>
          <w:color w:val="2B5C8A"/>
          <w:sz w:val="26"/>
          <w:szCs w:val="26"/>
          <w:rtl/>
        </w:rPr>
        <w:t xml:space="preserve">2.1 البيانات</w:t>
      </w:r>
      <w:bookmarkEnd w:id="3"/>
    </w:p>
    <w:p>
      <w:pPr>
        <w:bidi/>
        <w:spacing w:after="110" w:before="0" w:line="312"/>
      </w:pPr>
      <w:r>
        <w:rPr>
          <w:rFonts w:ascii="Arial" w:cs="Arial" w:eastAsia="Arial" w:hAnsi="Arial"/>
          <w:b w:val="false"/>
          <w:bCs w:val="false"/>
          <w:sz w:val="21"/>
          <w:szCs w:val="21"/>
          <w:rtl/>
        </w:rPr>
        <w:t xml:space="preserve">تُكتب كل البيانات عبر الجداول والمفاتيح والقيود ومرشحات الصفوف والقوادح نفسها التي تمر بها بيانات التطبيق. يكتبها مستخدم مربوط بمشتركه، ولا يُعطَّل شيء. وتأتي الأدوار من الحزمة CORE.ROLES.</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85"/>
        <w:gridCol w:w="1785"/>
        <w:gridCol w:w="6294"/>
      </w:tblGrid>
      <w:tr>
        <w:trPr>
          <w:cantSplit/>
          <w:tblHeader/>
        </w:trPr>
        <w:tc>
          <w:tcPr>
            <w:tcW w:type="dxa" w:w="17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17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العدد</w:t>
            </w:r>
          </w:p>
        </w:tc>
        <w:tc>
          <w:tcPr>
            <w:tcW w:type="dxa" w:w="62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فيه</w:t>
            </w:r>
          </w:p>
        </w:tc>
      </w:tr>
      <w:tr>
        <w:trPr>
          <w:cantSplit/>
        </w:trPr>
        <w:tc>
          <w:tcPr>
            <w:tcW w:type="dxa" w:w="1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كامل الحجم</w:t>
            </w:r>
          </w:p>
        </w:tc>
        <w:tc>
          <w:tcPr>
            <w:tcW w:type="dxa" w:w="17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62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 شركة؛ وخمس سنوات من القوائم المعتمدة بـ55 سطرًا للقائمة، أي 55 ألف سطر؛ وتسهيل لكل شركة بجهته وحده واستخدامه ومراجعته وتعهّده؛ و57 شهرًا من التحويلات المؤكدة لكل شركة؛ وتقييم ائتماني محسوب ومعتمد لكل شركة، صدّق مسؤول المخاطر 20 منها؛ و50 ألف صف تدقيق في سلسلته، و50 ألف جلسة سابقة</w:t>
            </w:r>
          </w:p>
        </w:tc>
      </w:tr>
      <w:tr>
        <w:trPr>
          <w:cantSplit/>
        </w:trPr>
        <w:tc>
          <w:tcPr>
            <w:tcW w:type="dxa" w:w="1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خفيف</w:t>
            </w:r>
          </w:p>
        </w:tc>
        <w:tc>
          <w:tcPr>
            <w:tcW w:type="dxa" w:w="17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297</w:t>
            </w:r>
          </w:p>
        </w:tc>
        <w:tc>
          <w:tcPr>
            <w:tcW w:type="dxa" w:w="62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شركة وقائمة، و2,000 صف تدقيق، و500 جلسة؛ ليحمل كل جدول مشترك 300 مشترك حول المشترك المقاس (NFR-SCL-01)</w:t>
            </w:r>
          </w:p>
        </w:tc>
      </w:tr>
    </w:tbl>
    <w:p>
      <w:pPr>
        <w:bidi/>
        <w:spacing w:after="120" w:before="0"/>
      </w:pPr>
    </w:p>
    <w:p>
      <w:pPr>
        <w:bidi/>
        <w:spacing w:after="110" w:before="0" w:line="312"/>
      </w:pPr>
      <w:r>
        <w:rPr>
          <w:rFonts w:ascii="Arial" w:cs="Arial" w:eastAsia="Arial" w:hAnsi="Arial"/>
          <w:b/>
          <w:bCs/>
          <w:sz w:val="21"/>
          <w:szCs w:val="21"/>
          <w:rtl/>
        </w:rPr>
        <w:t xml:space="preserve">الأحجام الناتجة: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7610"/>
        <w:gridCol w:w="2254"/>
      </w:tblGrid>
      <w:tr>
        <w:trPr>
          <w:cantSplit/>
          <w:tblHeader/>
        </w:trPr>
        <w:tc>
          <w:tcPr>
            <w:tcW w:type="dxa" w:w="76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22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الحجم</w:t>
            </w:r>
          </w:p>
        </w:tc>
      </w:tr>
      <w:tr>
        <w:trPr>
          <w:cantSplit/>
        </w:trPr>
        <w:tc>
          <w:tcPr>
            <w:tcW w:type="dxa" w:w="761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حجم القاعدة</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840 ميغابايت</w:t>
            </w:r>
          </w:p>
        </w:tc>
      </w:tr>
      <w:tr>
        <w:trPr>
          <w:cantSplit/>
        </w:trPr>
        <w:tc>
          <w:tcPr>
            <w:tcW w:type="dxa" w:w="761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bCs/>
                <w:color w:val="1F2937"/>
                <w:sz w:val="16"/>
                <w:szCs w:val="16"/>
                <w:shd w:fill="F1F3F5" w:color="auto" w:val="clear"/>
                <w:rtl/>
              </w:rPr>
              <w:t xml:space="preserve">‎aud.AuditLog‎</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744,878 صفًا، كلها في سلاسلها</w:t>
            </w:r>
          </w:p>
        </w:tc>
      </w:tr>
      <w:tr>
        <w:trPr>
          <w:cantSplit/>
        </w:trPr>
        <w:tc>
          <w:tcPr>
            <w:tcW w:type="dxa" w:w="761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bCs/>
                <w:color w:val="1F2937"/>
                <w:sz w:val="16"/>
                <w:szCs w:val="16"/>
                <w:shd w:fill="F1F3F5" w:color="auto" w:val="clear"/>
                <w:rtl/>
              </w:rPr>
              <w:t xml:space="preserve">‎sec.UserSession‎</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358,500</w:t>
            </w:r>
          </w:p>
        </w:tc>
      </w:tr>
      <w:tr>
        <w:trPr>
          <w:cantSplit/>
        </w:trPr>
        <w:tc>
          <w:tcPr>
            <w:tcW w:type="dxa" w:w="761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bCs/>
                <w:color w:val="1F2937"/>
                <w:sz w:val="16"/>
                <w:szCs w:val="16"/>
                <w:shd w:fill="F1F3F5" w:color="auto" w:val="clear"/>
                <w:rtl/>
              </w:rPr>
              <w:t xml:space="preserve">‎fin.StatementLine‎</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154,959</w:t>
            </w:r>
          </w:p>
        </w:tc>
      </w:tr>
      <w:tr>
        <w:trPr>
          <w:cantSplit/>
        </w:trPr>
        <w:tc>
          <w:tcPr>
            <w:tcW w:type="dxa" w:w="761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bCs/>
                <w:color w:val="1F2937"/>
                <w:sz w:val="16"/>
                <w:szCs w:val="16"/>
                <w:shd w:fill="F1F3F5" w:color="auto" w:val="clear"/>
                <w:rtl/>
              </w:rPr>
              <w:t xml:space="preserve">‎sec.RolePermission‎</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117,900، أي 300 × 393</w:t>
            </w:r>
          </w:p>
        </w:tc>
      </w:tr>
      <w:tr>
        <w:trPr>
          <w:cantSplit/>
        </w:trPr>
        <w:tc>
          <w:tcPr>
            <w:tcW w:type="dxa" w:w="761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bCs/>
                <w:color w:val="1F2937"/>
                <w:sz w:val="16"/>
                <w:szCs w:val="16"/>
                <w:shd w:fill="F1F3F5" w:color="auto" w:val="clear"/>
                <w:rtl/>
              </w:rPr>
              <w:t xml:space="preserve">‎fin.CreditAssessmentFinding‎</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95,128</w:t>
            </w:r>
          </w:p>
        </w:tc>
      </w:tr>
      <w:tr>
        <w:trPr>
          <w:cantSplit/>
        </w:trPr>
        <w:tc>
          <w:tcPr>
            <w:tcW w:type="dxa" w:w="761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bCs/>
                <w:color w:val="1F2937"/>
                <w:sz w:val="16"/>
                <w:szCs w:val="16"/>
                <w:shd w:fill="F1F3F5" w:color="auto" w:val="clear"/>
                <w:rtl/>
              </w:rPr>
              <w:t xml:space="preserve">‎fin.BankFlowEntry‎</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34,200</w:t>
            </w:r>
          </w:p>
        </w:tc>
      </w:tr>
    </w:tbl>
    <w:p>
      <w:pPr>
        <w:bidi/>
        <w:spacing w:after="120" w:before="0"/>
      </w:pPr>
    </w:p>
    <w:p>
      <w:pPr>
        <w:bidi/>
        <w:spacing w:after="110" w:before="0" w:line="312"/>
      </w:pPr>
      <w:r>
        <w:rPr>
          <w:rFonts w:ascii="Arial" w:cs="Arial" w:eastAsia="Arial" w:hAnsi="Arial"/>
          <w:b/>
          <w:bCs/>
          <w:sz w:val="21"/>
          <w:szCs w:val="21"/>
          <w:rtl/>
        </w:rPr>
        <w:t xml:space="preserve">التوليد:</w:t>
      </w:r>
      <w:r>
        <w:rPr>
          <w:rFonts w:ascii="Arial" w:cs="Arial" w:eastAsia="Arial" w:hAnsi="Arial"/>
          <w:b w:val="false"/>
          <w:bCs w:val="false"/>
          <w:sz w:val="21"/>
          <w:szCs w:val="21"/>
          <w:rtl/>
        </w:rPr>
        <w:t xml:space="preserve"> استغرق 23 دقيقة. وحُسب أثناءه 600 تقييم ائتماني بمتوسط 1.28 ثانية، وهو أبطأ من القياس (§3)، لأنه يجري والجداول تنمو والذاكرة باردة.</w:t>
      </w:r>
    </w:p>
    <w:p>
      <w:pPr>
        <w:bidi/>
        <w:spacing w:after="110" w:before="0" w:line="312"/>
      </w:pPr>
      <w:r>
        <w:rPr>
          <w:rFonts w:ascii="Arial" w:cs="Arial" w:eastAsia="Arial" w:hAnsi="Arial"/>
          <w:b/>
          <w:bCs/>
          <w:sz w:val="21"/>
          <w:szCs w:val="21"/>
          <w:rtl/>
        </w:rPr>
        <w:t xml:space="preserve">لماذا ليس 300 مشترك كامل الحجم:</w:t>
      </w:r>
    </w:p>
    <w:p>
      <w:pPr>
        <w:pStyle w:val="ListParagraph"/>
        <w:numPr>
          <w:ilvl w:val="0"/>
          <w:numId w:val="2"/>
        </w:numPr>
        <w:bidi/>
        <w:spacing w:after="70" w:before="0" w:line="300"/>
      </w:pPr>
      <w:r>
        <w:rPr>
          <w:rFonts w:ascii="Arial" w:cs="Arial" w:eastAsia="Arial" w:hAnsi="Arial"/>
          <w:b w:val="false"/>
          <w:bCs w:val="false"/>
          <w:sz w:val="21"/>
          <w:szCs w:val="21"/>
          <w:rtl/>
        </w:rPr>
        <w:t xml:space="preserve">ذلك نحو 20 مليون صف على هذه الجداول وحدها، فوق طاقة الحاوية في زمن معقول.</w:t>
      </w:r>
    </w:p>
    <w:p>
      <w:pPr>
        <w:pStyle w:val="ListParagraph"/>
        <w:numPr>
          <w:ilvl w:val="0"/>
          <w:numId w:val="2"/>
        </w:numPr>
        <w:bidi/>
        <w:spacing w:after="70" w:before="0" w:line="300"/>
      </w:pPr>
      <w:r>
        <w:rPr>
          <w:rFonts w:ascii="Arial" w:cs="Arial" w:eastAsia="Arial" w:hAnsi="Arial"/>
          <w:b w:val="false"/>
          <w:bCs w:val="false"/>
          <w:sz w:val="21"/>
          <w:szCs w:val="21"/>
          <w:rtl/>
        </w:rPr>
        <w:t xml:space="preserve">كل فهرس يبدأ بـ TenantId، وكل مرشح صفوف يضيّق القراءة إلى مشترك واحد. فقراءة المشترك تتبع صفوفه هو.</w:t>
      </w:r>
    </w:p>
    <w:p>
      <w:pPr>
        <w:pStyle w:val="ListParagraph"/>
        <w:numPr>
          <w:ilvl w:val="0"/>
          <w:numId w:val="2"/>
        </w:numPr>
        <w:bidi/>
        <w:spacing w:after="70" w:before="0" w:line="300"/>
      </w:pPr>
      <w:r>
        <w:rPr>
          <w:rFonts w:ascii="Arial" w:cs="Arial" w:eastAsia="Arial" w:hAnsi="Arial"/>
          <w:b w:val="false"/>
          <w:bCs w:val="false"/>
          <w:sz w:val="21"/>
          <w:szCs w:val="21"/>
          <w:rtl/>
        </w:rPr>
        <w:t xml:space="preserve">والجيران يضيفون عمق الفهارس المشتركة، وهذا ما يقيسه المشتركون الخفاف.</w:t>
      </w:r>
    </w:p>
    <w:p>
      <w:pPr>
        <w:pStyle w:val="ListParagraph"/>
        <w:numPr>
          <w:ilvl w:val="0"/>
          <w:numId w:val="2"/>
        </w:numPr>
        <w:bidi/>
        <w:spacing w:after="70" w:before="0" w:line="300"/>
      </w:pPr>
      <w:r>
        <w:rPr>
          <w:rFonts w:ascii="Arial" w:cs="Arial" w:eastAsia="Arial" w:hAnsi="Arial"/>
          <w:b w:val="false"/>
          <w:bCs w:val="false"/>
          <w:sz w:val="21"/>
          <w:szCs w:val="21"/>
          <w:rtl/>
        </w:rPr>
        <w:t xml:space="preserve">والأداة نفسها تعمل بالحجم الكامل حين تتوفر بيئة DQ-B03-9: </w:t>
      </w:r>
      <w:r>
        <w:rPr>
          <w:rFonts w:ascii="Courier New" w:cs="Courier New" w:eastAsia="Courier New" w:hAnsi="Courier New"/>
          <w:b w:val="false"/>
          <w:bCs w:val="false"/>
          <w:color w:val="1F2937"/>
          <w:sz w:val="18"/>
          <w:szCs w:val="18"/>
          <w:shd w:fill="F1F3F5" w:color="auto" w:val="clear"/>
          <w:rtl/>
        </w:rPr>
        <w:t xml:space="preserve">‎PERF_FULL=300 PERF_LIGHT=0‎</w:t>
      </w:r>
      <w:r>
        <w:rPr>
          <w:rFonts w:ascii="Arial" w:cs="Arial" w:eastAsia="Arial" w:hAnsi="Arial"/>
          <w:b w:val="false"/>
          <w:bCs w:val="false"/>
          <w:sz w:val="21"/>
          <w:szCs w:val="21"/>
          <w:rtl/>
        </w:rPr>
        <w:t xml:space="preserve">.</w:t>
      </w:r>
    </w:p>
    <w:p>
      <w:pPr>
        <w:bidi/>
        <w:spacing w:after="60" w:before="0"/>
      </w:pPr>
    </w:p>
    <w:p>
      <w:pPr>
        <w:pStyle w:val="Heading2"/>
        <w:bidi/>
      </w:pPr>
      <w:bookmarkStart w:name="_sec4" w:id="4"/>
      <w:r>
        <w:rPr>
          <w:rFonts w:ascii="Arial" w:cs="Arial" w:eastAsia="Arial" w:hAnsi="Arial"/>
          <w:b/>
          <w:bCs/>
          <w:color w:val="2B5C8A"/>
          <w:sz w:val="26"/>
          <w:szCs w:val="26"/>
          <w:rtl/>
        </w:rPr>
        <w:t xml:space="preserve">2.2 القياس</w:t>
      </w:r>
      <w:bookmarkEnd w:id="4"/>
    </w:p>
    <w:p>
      <w:pPr>
        <w:pStyle w:val="ListParagraph"/>
        <w:numPr>
          <w:ilvl w:val="0"/>
          <w:numId w:val="2"/>
        </w:numPr>
        <w:bidi/>
        <w:spacing w:after="70" w:before="0" w:line="300"/>
      </w:pPr>
      <w:r>
        <w:rPr>
          <w:rFonts w:ascii="Arial" w:cs="Arial" w:eastAsia="Arial" w:hAnsi="Arial"/>
          <w:b/>
          <w:bCs/>
          <w:sz w:val="21"/>
          <w:szCs w:val="21"/>
          <w:rtl/>
        </w:rPr>
        <w:t xml:space="preserve">العيّنات:</w:t>
      </w:r>
      <w:r>
        <w:rPr>
          <w:rFonts w:ascii="Arial" w:cs="Arial" w:eastAsia="Arial" w:hAnsi="Arial"/>
          <w:b w:val="false"/>
          <w:bCs w:val="false"/>
          <w:sz w:val="21"/>
          <w:szCs w:val="21"/>
          <w:rtl/>
        </w:rPr>
        <w:t xml:space="preserve"> تقيس كل حالة زمن الخادم لاستدعاء واحد، وتعطي p50 وp95 والأقصى.</w:t>
      </w:r>
    </w:p>
    <w:p>
      <w:pPr>
        <w:pStyle w:val="ListParagraph"/>
        <w:numPr>
          <w:ilvl w:val="0"/>
          <w:numId w:val="2"/>
        </w:numPr>
        <w:bidi/>
        <w:spacing w:after="70" w:before="0" w:line="300"/>
      </w:pPr>
      <w:r>
        <w:rPr>
          <w:rFonts w:ascii="Arial" w:cs="Arial" w:eastAsia="Arial" w:hAnsi="Arial"/>
          <w:b/>
          <w:bCs/>
          <w:sz w:val="21"/>
          <w:szCs w:val="21"/>
          <w:rtl/>
        </w:rPr>
        <w:t xml:space="preserve">القراءات السريعة:</w:t>
      </w:r>
      <w:r>
        <w:rPr>
          <w:rFonts w:ascii="Arial" w:cs="Arial" w:eastAsia="Arial" w:hAnsi="Arial"/>
          <w:b w:val="false"/>
          <w:bCs w:val="false"/>
          <w:sz w:val="21"/>
          <w:szCs w:val="21"/>
          <w:rtl/>
        </w:rPr>
        <w:t xml:space="preserve"> تُعاد 20 مرة في العيّنة الواحدة ويؤخذ المتوسط، لأن ساعة الخادم تتحرك بخطوات من نحو 4 مللي ثانية.</w:t>
      </w:r>
    </w:p>
    <w:p>
      <w:pPr>
        <w:pStyle w:val="ListParagraph"/>
        <w:numPr>
          <w:ilvl w:val="0"/>
          <w:numId w:val="2"/>
        </w:numPr>
        <w:bidi/>
        <w:spacing w:after="70" w:before="0" w:line="300"/>
      </w:pPr>
      <w:r>
        <w:rPr>
          <w:rFonts w:ascii="Arial" w:cs="Arial" w:eastAsia="Arial" w:hAnsi="Arial"/>
          <w:b/>
          <w:bCs/>
          <w:sz w:val="21"/>
          <w:szCs w:val="21"/>
          <w:rtl/>
        </w:rPr>
        <w:t xml:space="preserve">ربط الجلسة:</w:t>
      </w:r>
      <w:r>
        <w:rPr>
          <w:rFonts w:ascii="Arial" w:cs="Arial" w:eastAsia="Arial" w:hAnsi="Arial"/>
          <w:b w:val="false"/>
          <w:bCs w:val="false"/>
          <w:sz w:val="21"/>
          <w:szCs w:val="21"/>
          <w:rtl/>
        </w:rPr>
        <w:t xml:space="preserve"> يجري باتصال جديد لكل استدعاء، لأن مفاتيح الربط للقراءة فقط طوال عمر الاتصال، ثم يُقاس زمنه على الخادم.</w:t>
      </w:r>
    </w:p>
    <w:p>
      <w:pPr>
        <w:pStyle w:val="ListParagraph"/>
        <w:numPr>
          <w:ilvl w:val="0"/>
          <w:numId w:val="2"/>
        </w:numPr>
        <w:bidi/>
        <w:spacing w:after="70" w:before="0" w:line="300"/>
      </w:pPr>
      <w:r>
        <w:rPr>
          <w:rFonts w:ascii="Arial" w:cs="Arial" w:eastAsia="Arial" w:hAnsi="Arial"/>
          <w:b/>
          <w:bCs/>
          <w:sz w:val="21"/>
          <w:szCs w:val="21"/>
          <w:rtl/>
        </w:rPr>
        <w:t xml:space="preserve">الأهداف:</w:t>
      </w:r>
    </w:p>
    <w:p>
      <w:pPr>
        <w:pStyle w:val="ListParagraph"/>
        <w:numPr>
          <w:ilvl w:val="1"/>
          <w:numId w:val="2"/>
        </w:numPr>
        <w:bidi/>
        <w:spacing w:after="70" w:before="0" w:line="300"/>
      </w:pPr>
      <w:r>
        <w:rPr>
          <w:rFonts w:ascii="Arial" w:cs="Arial" w:eastAsia="Arial" w:hAnsi="Arial"/>
          <w:b w:val="false"/>
          <w:bCs w:val="false"/>
          <w:sz w:val="21"/>
          <w:szCs w:val="21"/>
          <w:rtl/>
        </w:rPr>
        <w:t xml:space="preserve">ربط الجلسة: 20 مللي ثانية (NFR-PERF-06).</w:t>
      </w:r>
    </w:p>
    <w:p>
      <w:pPr>
        <w:pStyle w:val="ListParagraph"/>
        <w:numPr>
          <w:ilvl w:val="1"/>
          <w:numId w:val="2"/>
        </w:numPr>
        <w:bidi/>
        <w:spacing w:after="70" w:before="0" w:line="300"/>
      </w:pPr>
      <w:r>
        <w:rPr>
          <w:rFonts w:ascii="Arial" w:cs="Arial" w:eastAsia="Arial" w:hAnsi="Arial"/>
          <w:b w:val="false"/>
          <w:bCs w:val="false"/>
          <w:sz w:val="21"/>
          <w:szCs w:val="21"/>
          <w:rtl/>
        </w:rPr>
        <w:t xml:space="preserve">ما تقرؤه الشاشة: 200 مللي ثانية، أي عُشر ثانيتي NFR-PERF-01. وهو اقتراح سُجّل قرارًا معلّقًا DQ-B03-11 في DOC-B03.</w:t>
      </w:r>
    </w:p>
    <w:p>
      <w:pPr>
        <w:pStyle w:val="ListParagraph"/>
        <w:numPr>
          <w:ilvl w:val="1"/>
          <w:numId w:val="2"/>
        </w:numPr>
        <w:bidi/>
        <w:spacing w:after="70" w:before="0" w:line="300"/>
      </w:pPr>
      <w:r>
        <w:rPr>
          <w:rFonts w:ascii="Arial" w:cs="Arial" w:eastAsia="Arial" w:hAnsi="Arial"/>
          <w:b w:val="false"/>
          <w:bCs w:val="false"/>
          <w:sz w:val="21"/>
          <w:szCs w:val="21"/>
          <w:rtl/>
        </w:rPr>
        <w:t xml:space="preserve">الشاشات الثقيلة: الثانيتان كاملتين.</w:t>
      </w:r>
    </w:p>
    <w:p>
      <w:pPr>
        <w:pStyle w:val="ListParagraph"/>
        <w:numPr>
          <w:ilvl w:val="1"/>
          <w:numId w:val="2"/>
        </w:numPr>
        <w:bidi/>
        <w:spacing w:after="70" w:before="0" w:line="300"/>
      </w:pPr>
      <w:r>
        <w:rPr>
          <w:rFonts w:ascii="Arial" w:cs="Arial" w:eastAsia="Arial" w:hAnsi="Arial"/>
          <w:b w:val="false"/>
          <w:bCs w:val="false"/>
          <w:sz w:val="21"/>
          <w:szCs w:val="21"/>
          <w:rtl/>
        </w:rPr>
        <w:t xml:space="preserve">المهام ونافذة النشر: لا هدف لها في DOC-B03، فتُعرض دون حكم.</w:t>
      </w:r>
    </w:p>
    <w:p>
      <w:pPr>
        <w:bidi/>
        <w:spacing w:after="60" w:before="0"/>
      </w:pPr>
    </w:p>
    <w:p>
      <w:pPr>
        <w:pStyle w:val="Heading1"/>
        <w:bidi/>
      </w:pPr>
      <w:bookmarkStart w:name="_sec5" w:id="5"/>
      <w:r>
        <w:rPr>
          <w:rFonts w:ascii="Arial" w:cs="Arial" w:eastAsia="Arial" w:hAnsi="Arial"/>
          <w:b/>
          <w:bCs/>
          <w:color w:val="1F3A5F"/>
          <w:sz w:val="32"/>
          <w:szCs w:val="32"/>
          <w:rtl/>
        </w:rPr>
        <w:t xml:space="preserve">3. النتائج</w:t>
      </w:r>
      <w:bookmarkEnd w:id="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12"/>
        <w:gridCol w:w="3128"/>
        <w:gridCol w:w="1000"/>
        <w:gridCol w:w="1000"/>
        <w:gridCol w:w="1000"/>
        <w:gridCol w:w="1000"/>
        <w:gridCol w:w="912"/>
        <w:gridCol w:w="912"/>
      </w:tblGrid>
      <w:tr>
        <w:trPr>
          <w:cantSplit/>
          <w:tblHeader/>
        </w:trPr>
        <w:tc>
          <w:tcPr>
            <w:tcW w:type="dxa" w:w="9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31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قيس</w:t>
            </w:r>
          </w:p>
        </w:tc>
        <w:tc>
          <w:tcPr>
            <w:tcW w:type="dxa" w:w="10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العيّنات</w:t>
            </w:r>
          </w:p>
        </w:tc>
        <w:tc>
          <w:tcPr>
            <w:tcW w:type="dxa" w:w="10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p50 م.ث</w:t>
            </w:r>
          </w:p>
        </w:tc>
        <w:tc>
          <w:tcPr>
            <w:tcW w:type="dxa" w:w="10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p95 م.ث</w:t>
            </w:r>
          </w:p>
        </w:tc>
        <w:tc>
          <w:tcPr>
            <w:tcW w:type="dxa" w:w="10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الأقصى</w:t>
            </w:r>
          </w:p>
        </w:tc>
        <w:tc>
          <w:tcPr>
            <w:tcW w:type="dxa" w:w="9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الهدف</w:t>
            </w:r>
          </w:p>
        </w:tc>
        <w:tc>
          <w:tcPr>
            <w:tcW w:type="dxa" w:w="9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الحكم</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31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ربط الجلسة </w:t>
            </w:r>
            <w:r>
              <w:rPr>
                <w:rFonts w:ascii="Courier New" w:cs="Courier New" w:eastAsia="Courier New" w:hAnsi="Courier New"/>
                <w:b w:val="false"/>
                <w:bCs w:val="false"/>
                <w:color w:val="1F2937"/>
                <w:sz w:val="16"/>
                <w:szCs w:val="16"/>
                <w:shd w:fill="F1F3F5" w:color="auto" w:val="clear"/>
                <w:rtl/>
              </w:rPr>
              <w:t xml:space="preserve">‎sec.usp_SetSessionContext‎</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4.10</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4.30</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507.30 (أول استدعاء بارد)</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Q1</w:t>
            </w:r>
          </w:p>
        </w:tc>
        <w:tc>
          <w:tcPr>
            <w:tcW w:type="dxa" w:w="31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عارض التدقيق: آخر 50 صفًا للمشترك</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0.20</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0.21</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0.27</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Q2</w:t>
            </w:r>
          </w:p>
        </w:tc>
        <w:tc>
          <w:tcPr>
            <w:tcW w:type="dxa" w:w="31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عارض التدقيق: آخر 50 صفًا من الخزينة</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0.20</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0.21</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0.23</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Q3</w:t>
            </w:r>
          </w:p>
        </w:tc>
        <w:tc>
          <w:tcPr>
            <w:tcW w:type="dxa" w:w="31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الشركات: صفحة من 50</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0.82</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1.23</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1.28</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Q4</w:t>
            </w:r>
          </w:p>
        </w:tc>
        <w:tc>
          <w:tcPr>
            <w:tcW w:type="dxa" w:w="31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شركة بأسطرها</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0.83</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1.16</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1.46</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R1</w:t>
            </w:r>
          </w:p>
        </w:tc>
        <w:tc>
          <w:tcPr>
            <w:tcW w:type="dxa" w:w="31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التقييم: الرأس والملاحظات</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0.83</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1.18</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1.45</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R2</w:t>
            </w:r>
          </w:p>
        </w:tc>
        <w:tc>
          <w:tcPr>
            <w:tcW w:type="dxa" w:w="31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الإنذار المبكر للمشترك كله (شاشة الجاهزية)</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62.50</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72.48</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74.26</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2,000</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R3</w:t>
            </w:r>
          </w:p>
        </w:tc>
        <w:tc>
          <w:tcPr>
            <w:tcW w:type="dxa" w:w="31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خروقات التعهدات للمشترك</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0.00</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0.21</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0.22</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2,000</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W1</w:t>
            </w:r>
          </w:p>
        </w:tc>
        <w:tc>
          <w:tcPr>
            <w:tcW w:type="dxa" w:w="31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كتابة صف تدقيق في مكانه من السلسلة</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4.12</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6.68</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225.47</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W2</w:t>
            </w:r>
          </w:p>
        </w:tc>
        <w:tc>
          <w:tcPr>
            <w:tcW w:type="dxa" w:w="31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تقييم ائتماني واحد</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157.58</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361.84</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3,013.88 (أول حساب بارد)</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يُعرض</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W3</w:t>
            </w:r>
          </w:p>
        </w:tc>
        <w:tc>
          <w:tcPr>
            <w:tcW w:type="dxa" w:w="31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أدلة تقييم مصدَّق</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25.04</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88.61</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1,181.01 (الأول)</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يُعرض</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J1</w:t>
            </w:r>
          </w:p>
        </w:tc>
        <w:tc>
          <w:tcPr>
            <w:tcW w:type="dxa" w:w="31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الإنذار المبكر اليومية للمشترك (200 شركة، 48 إنذارًا)</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882.05</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1,161.60</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1,192.66</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يُعرض</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J2</w:t>
            </w:r>
          </w:p>
        </w:tc>
        <w:tc>
          <w:tcPr>
            <w:tcW w:type="dxa" w:w="31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الفحص الكامل لسلسلة تدقيق المشترك (50,071 صفًا)</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1,982.80</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2,220.16</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2,246.54</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يُعرض</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J3</w:t>
            </w:r>
          </w:p>
        </w:tc>
        <w:tc>
          <w:tcPr>
            <w:tcW w:type="dxa" w:w="31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مراسي السلاسل كلها (301 سلسلة)</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24.88</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32.51</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33.36</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يُعرض</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J4</w:t>
            </w:r>
          </w:p>
        </w:tc>
        <w:tc>
          <w:tcPr>
            <w:tcW w:type="dxa" w:w="31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الفحص اليومي من المرساة (يوم من 500 صف)</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206.40</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244.25</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248.46</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يُعرض</w:t>
            </w:r>
          </w:p>
        </w:tc>
      </w:tr>
      <w:tr>
        <w:trPr>
          <w:cantSplit/>
        </w:trPr>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w:t>
            </w:r>
          </w:p>
        </w:tc>
        <w:tc>
          <w:tcPr>
            <w:tcW w:type="dxa" w:w="31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بصمة المخطط</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1,671.66</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2,520.78</w:t>
            </w:r>
          </w:p>
        </w:tc>
        <w:tc>
          <w:tcPr>
            <w:tcW w:type="dxa" w:w="1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2,615.12</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يُعرض</w:t>
            </w:r>
          </w:p>
        </w:tc>
      </w:tr>
      <w:tr>
        <w:trPr>
          <w:cantSplit/>
        </w:trPr>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D2</w:t>
            </w:r>
          </w:p>
        </w:tc>
        <w:tc>
          <w:tcPr>
            <w:tcW w:type="dxa" w:w="31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السكربتات المتكررة على القاعدة المحمَّلة (</w:t>
            </w:r>
            <w:r>
              <w:rPr>
                <w:rFonts w:ascii="Courier New" w:cs="Courier New" w:eastAsia="Courier New" w:hAnsi="Courier New"/>
                <w:b w:val="false"/>
                <w:bCs w:val="false"/>
                <w:color w:val="1F2937"/>
                <w:sz w:val="16"/>
                <w:szCs w:val="16"/>
                <w:shd w:fill="F1F3F5" w:color="auto" w:val="clear"/>
                <w:rtl/>
              </w:rPr>
              <w:t xml:space="preserve">‎migrate.sh apply --repeatable‎</w:t>
            </w:r>
            <w:r>
              <w:rPr>
                <w:rFonts w:ascii="Arial" w:cs="Arial" w:eastAsia="Arial" w:hAnsi="Arial"/>
                <w:b w:val="false"/>
                <w:bCs w:val="false"/>
                <w:sz w:val="18"/>
                <w:szCs w:val="18"/>
                <w:rtl/>
              </w:rPr>
              <w:t xml:space="preserve">)</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18,079</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يُعرض</w:t>
            </w:r>
          </w:p>
        </w:tc>
      </w:tr>
    </w:tbl>
    <w:p>
      <w:pPr>
        <w:bidi/>
        <w:spacing w:after="120" w:before="0"/>
      </w:pPr>
    </w:p>
    <w:p>
      <w:pPr>
        <w:bidi/>
        <w:spacing w:after="110" w:before="0" w:line="312"/>
      </w:pPr>
      <w:r>
        <w:rPr>
          <w:rFonts w:ascii="Arial" w:cs="Arial" w:eastAsia="Arial" w:hAnsi="Arial"/>
          <w:b/>
          <w:bCs/>
          <w:sz w:val="21"/>
          <w:szCs w:val="21"/>
          <w:rtl/>
        </w:rPr>
        <w:t xml:space="preserve">الكتّاب المتزامنون (C1):</w:t>
      </w:r>
      <w:r>
        <w:rPr>
          <w:rFonts w:ascii="Arial" w:cs="Arial" w:eastAsia="Arial" w:hAnsi="Arial"/>
          <w:b w:val="false"/>
          <w:bCs w:val="false"/>
          <w:sz w:val="21"/>
          <w:szCs w:val="21"/>
          <w:rtl/>
        </w:rPr>
        <w:t xml:space="preserve"> أربعة كتّاب كتبوا 2,000 صف في سلسلة مشترك واحد في 4.5 ثانية، أي 442 صفًا في الثانية. ثم فُحصت السلسلة فكانت سليمة (52,571 صفًا، OK).</w:t>
      </w:r>
    </w:p>
    <w:p>
      <w:pPr>
        <w:pStyle w:val="Heading1"/>
        <w:bidi/>
      </w:pPr>
      <w:bookmarkStart w:name="_sec6" w:id="6"/>
      <w:r>
        <w:rPr>
          <w:rFonts w:ascii="Arial" w:cs="Arial" w:eastAsia="Arial" w:hAnsi="Arial"/>
          <w:b/>
          <w:bCs/>
          <w:color w:val="1F3A5F"/>
          <w:sz w:val="32"/>
          <w:szCs w:val="32"/>
          <w:rtl/>
        </w:rPr>
        <w:t xml:space="preserve">4. ما كشفه القياس، وما فُعل به</w:t>
      </w:r>
      <w:bookmarkEnd w:id="6"/>
    </w:p>
    <w:p>
      <w:pPr>
        <w:pStyle w:val="Heading2"/>
        <w:bidi/>
      </w:pPr>
      <w:bookmarkStart w:name="_sec7" w:id="7"/>
      <w:r>
        <w:rPr>
          <w:rFonts w:ascii="Arial" w:cs="Arial" w:eastAsia="Arial" w:hAnsi="Arial"/>
          <w:b/>
          <w:bCs/>
          <w:color w:val="2B5C8A"/>
          <w:sz w:val="26"/>
          <w:szCs w:val="26"/>
          <w:rtl/>
        </w:rPr>
        <w:t xml:space="preserve">4.1 الفحص الكامل لسلسلة التدقيق يزيد بلا حد ← يومي من المرساة، وكامل أسبوعيًا</w:t>
      </w:r>
      <w:bookmarkEnd w:id="7"/>
    </w:p>
    <w:p>
      <w:pPr>
        <w:pStyle w:val="ListParagraph"/>
        <w:numPr>
          <w:ilvl w:val="0"/>
          <w:numId w:val="2"/>
        </w:numPr>
        <w:bidi/>
        <w:spacing w:after="70" w:before="0" w:line="300"/>
      </w:pPr>
      <w:r>
        <w:rPr>
          <w:rFonts w:ascii="Arial" w:cs="Arial" w:eastAsia="Arial" w:hAnsi="Arial"/>
          <w:b/>
          <w:bCs/>
          <w:sz w:val="21"/>
          <w:szCs w:val="21"/>
          <w:rtl/>
        </w:rPr>
        <w:t xml:space="preserve">المشكلة:</w:t>
      </w:r>
    </w:p>
    <w:p>
      <w:pPr>
        <w:pStyle w:val="ListParagraph"/>
        <w:numPr>
          <w:ilvl w:val="1"/>
          <w:numId w:val="2"/>
        </w:numPr>
        <w:bidi/>
        <w:spacing w:after="70" w:before="0" w:line="300"/>
      </w:pPr>
      <w:r>
        <w:rPr>
          <w:rFonts w:ascii="Arial" w:cs="Arial" w:eastAsia="Arial" w:hAnsi="Arial"/>
          <w:b w:val="false"/>
          <w:bCs w:val="false"/>
          <w:sz w:val="21"/>
          <w:szCs w:val="21"/>
          <w:rtl/>
        </w:rPr>
        <w:t xml:space="preserve">J2 ثانيتان لمشترك من 50 ألف صف، والكلفة في إعادة حساب بصمة كل صف (نحو 40 ميكروثانية).</w:t>
      </w:r>
    </w:p>
    <w:p>
      <w:pPr>
        <w:pStyle w:val="ListParagraph"/>
        <w:numPr>
          <w:ilvl w:val="1"/>
          <w:numId w:val="2"/>
        </w:numPr>
        <w:bidi/>
        <w:spacing w:after="70" w:before="0" w:line="300"/>
      </w:pPr>
      <w:r>
        <w:rPr>
          <w:rFonts w:ascii="Arial" w:cs="Arial" w:eastAsia="Arial" w:hAnsi="Arial"/>
          <w:b w:val="false"/>
          <w:bCs w:val="false"/>
          <w:sz w:val="21"/>
          <w:szCs w:val="21"/>
          <w:rtl/>
        </w:rPr>
        <w:t xml:space="preserve">مشترك من مليون صف يحتاج نحو 40 ثانية كل يوم، والرقم يكبر بلا حد مع السجل.</w:t>
      </w:r>
    </w:p>
    <w:p>
      <w:pPr>
        <w:pStyle w:val="ListParagraph"/>
        <w:numPr>
          <w:ilvl w:val="1"/>
          <w:numId w:val="2"/>
        </w:numPr>
        <w:bidi/>
        <w:spacing w:after="70" w:before="0" w:line="300"/>
      </w:pPr>
      <w:r>
        <w:rPr>
          <w:rFonts w:ascii="Arial" w:cs="Arial" w:eastAsia="Arial" w:hAnsi="Arial"/>
          <w:b w:val="false"/>
          <w:bCs w:val="false"/>
          <w:sz w:val="21"/>
          <w:szCs w:val="21"/>
          <w:rtl/>
        </w:rPr>
        <w:t xml:space="preserve">وفي القياس الأول طلب المحسّن فهرسًا على </w:t>
      </w:r>
      <w:r>
        <w:rPr>
          <w:rFonts w:ascii="Courier New" w:cs="Courier New" w:eastAsia="Courier New" w:hAnsi="Courier New"/>
          <w:b w:val="false"/>
          <w:bCs w:val="false"/>
          <w:color w:val="1F2937"/>
          <w:sz w:val="18"/>
          <w:szCs w:val="18"/>
          <w:shd w:fill="F1F3F5" w:color="auto" w:val="clear"/>
          <w:rtl/>
        </w:rPr>
        <w:t xml:space="preserve">‎ChainSeq‎</w:t>
      </w:r>
      <w:r>
        <w:rPr>
          <w:rFonts w:ascii="Arial" w:cs="Arial" w:eastAsia="Arial" w:hAnsi="Arial"/>
          <w:b w:val="false"/>
          <w:bCs w:val="false"/>
          <w:sz w:val="21"/>
          <w:szCs w:val="21"/>
          <w:rtl/>
        </w:rPr>
        <w:t xml:space="preserve"> بأثر 100%.</w:t>
      </w:r>
    </w:p>
    <w:p>
      <w:pPr>
        <w:pStyle w:val="ListParagraph"/>
        <w:numPr>
          <w:ilvl w:val="0"/>
          <w:numId w:val="2"/>
        </w:numPr>
        <w:bidi/>
        <w:spacing w:after="70" w:before="0" w:line="300"/>
      </w:pPr>
      <w:r>
        <w:rPr>
          <w:rFonts w:ascii="Arial" w:cs="Arial" w:eastAsia="Arial" w:hAnsi="Arial"/>
          <w:b/>
          <w:bCs/>
          <w:sz w:val="21"/>
          <w:szCs w:val="21"/>
          <w:rtl/>
        </w:rPr>
        <w:t xml:space="preserve">الإصلاح:</w:t>
      </w:r>
    </w:p>
    <w:p>
      <w:pPr>
        <w:pStyle w:val="ListParagraph"/>
        <w:numPr>
          <w:ilvl w:val="1"/>
          <w:numId w:val="2"/>
        </w:numPr>
        <w:bidi/>
        <w:spacing w:after="70" w:before="0" w:line="300"/>
      </w:pPr>
      <w:r>
        <w:rPr>
          <w:rFonts w:ascii="Arial" w:cs="Arial" w:eastAsia="Arial" w:hAnsi="Arial"/>
          <w:b w:val="false"/>
          <w:bCs w:val="false"/>
          <w:sz w:val="21"/>
          <w:szCs w:val="21"/>
          <w:rtl/>
        </w:rPr>
        <w:t xml:space="preserve">المعامل </w:t>
      </w:r>
      <w:r>
        <w:rPr>
          <w:rFonts w:ascii="Courier New" w:cs="Courier New" w:eastAsia="Courier New" w:hAnsi="Courier New"/>
          <w:b w:val="false"/>
          <w:bCs w:val="false"/>
          <w:color w:val="1F2937"/>
          <w:sz w:val="18"/>
          <w:szCs w:val="18"/>
          <w:shd w:fill="F1F3F5" w:color="auto" w:val="clear"/>
          <w:rtl/>
        </w:rPr>
        <w:t xml:space="preserve">‎@FromAnchor‎</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‎aud.usp_VerifyAuditChain‎</w:t>
      </w:r>
      <w:r>
        <w:rPr>
          <w:rFonts w:ascii="Arial" w:cs="Arial" w:eastAsia="Arial" w:hAnsi="Arial"/>
          <w:b w:val="false"/>
          <w:bCs w:val="false"/>
          <w:sz w:val="21"/>
          <w:szCs w:val="21"/>
          <w:rtl/>
        </w:rPr>
        <w:t xml:space="preserve">، والأمر </w:t>
      </w:r>
      <w:r>
        <w:rPr>
          <w:rFonts w:ascii="Courier New" w:cs="Courier New" w:eastAsia="Courier New" w:hAnsi="Courier New"/>
          <w:b w:val="false"/>
          <w:bCs w:val="false"/>
          <w:color w:val="1F2937"/>
          <w:sz w:val="18"/>
          <w:szCs w:val="18"/>
          <w:shd w:fill="F1F3F5" w:color="auto" w:val="clear"/>
          <w:rtl/>
        </w:rPr>
        <w:t xml:space="preserve">‎audit_anchor.sh verify‎</w:t>
      </w:r>
      <w:r>
        <w:rPr>
          <w:rFonts w:ascii="Arial" w:cs="Arial" w:eastAsia="Arial" w:hAnsi="Arial"/>
          <w:b w:val="false"/>
          <w:bCs w:val="false"/>
          <w:sz w:val="21"/>
          <w:szCs w:val="21"/>
          <w:rtl/>
        </w:rPr>
        <w:t xml:space="preserve"> للفحص اليومي و</w:t>
      </w:r>
      <w:r>
        <w:rPr>
          <w:rFonts w:ascii="Courier New" w:cs="Courier New" w:eastAsia="Courier New" w:hAnsi="Courier New"/>
          <w:b w:val="false"/>
          <w:bCs w:val="false"/>
          <w:color w:val="1F2937"/>
          <w:sz w:val="18"/>
          <w:szCs w:val="18"/>
          <w:shd w:fill="F1F3F5" w:color="auto" w:val="clear"/>
          <w:rtl/>
        </w:rPr>
        <w:t xml:space="preserve">‎verify --full‎</w:t>
      </w:r>
      <w:r>
        <w:rPr>
          <w:rFonts w:ascii="Arial" w:cs="Arial" w:eastAsia="Arial" w:hAnsi="Arial"/>
          <w:b w:val="false"/>
          <w:bCs w:val="false"/>
          <w:sz w:val="21"/>
          <w:szCs w:val="21"/>
          <w:rtl/>
        </w:rPr>
        <w:t xml:space="preserve"> للأسبوعي.</w:t>
      </w:r>
    </w:p>
    <w:p>
      <w:pPr>
        <w:pStyle w:val="ListParagraph"/>
        <w:numPr>
          <w:ilvl w:val="1"/>
          <w:numId w:val="2"/>
        </w:numPr>
        <w:bidi/>
        <w:spacing w:after="70" w:before="0" w:line="300"/>
      </w:pPr>
      <w:r>
        <w:rPr>
          <w:rFonts w:ascii="Arial" w:cs="Arial" w:eastAsia="Arial" w:hAnsi="Arial"/>
          <w:b w:val="false"/>
          <w:bCs w:val="false"/>
          <w:sz w:val="21"/>
          <w:szCs w:val="21"/>
          <w:rtl/>
        </w:rPr>
        <w:t xml:space="preserve">الفحص اليومي يقرأ صف المرساة وما بعده، فتتبع كلفته صفوف اليوم لا حجم السجل.</w:t>
      </w:r>
    </w:p>
    <w:p>
      <w:pPr>
        <w:pStyle w:val="ListParagraph"/>
        <w:numPr>
          <w:ilvl w:val="1"/>
          <w:numId w:val="2"/>
        </w:numPr>
        <w:bidi/>
        <w:spacing w:after="70" w:before="0" w:line="300"/>
      </w:pPr>
      <w:r>
        <w:rPr>
          <w:rFonts w:ascii="Arial" w:cs="Arial" w:eastAsia="Arial" w:hAnsi="Arial"/>
          <w:b w:val="false"/>
          <w:bCs w:val="false"/>
          <w:sz w:val="21"/>
          <w:szCs w:val="21"/>
          <w:rtl/>
        </w:rPr>
        <w:t xml:space="preserve">إعادة كتابة صفوف قديمة مع إعادة حساب بصماتها تغيّر صف المرساة، فيكشفها الفحص اليومي.</w:t>
      </w:r>
    </w:p>
    <w:p>
      <w:pPr>
        <w:pStyle w:val="ListParagraph"/>
        <w:numPr>
          <w:ilvl w:val="1"/>
          <w:numId w:val="2"/>
        </w:numPr>
        <w:bidi/>
        <w:spacing w:after="70" w:before="0" w:line="300"/>
      </w:pPr>
      <w:r>
        <w:rPr>
          <w:rFonts w:ascii="Arial" w:cs="Arial" w:eastAsia="Arial" w:hAnsi="Arial"/>
          <w:b w:val="false"/>
          <w:bCs w:val="false"/>
          <w:sz w:val="21"/>
          <w:szCs w:val="21"/>
          <w:rtl/>
        </w:rPr>
        <w:t xml:space="preserve">تعديل صف قديم دون إعادة بصمته لا يراه إلا الفحص الكامل الأسبوعي. الاختباران AC7 وAA3 يثبتان الحالتين.</w:t>
      </w:r>
    </w:p>
    <w:p>
      <w:pPr>
        <w:pStyle w:val="ListParagraph"/>
        <w:numPr>
          <w:ilvl w:val="0"/>
          <w:numId w:val="2"/>
        </w:numPr>
        <w:bidi/>
        <w:spacing w:after="70" w:before="0" w:line="300"/>
      </w:pPr>
      <w:r>
        <w:rPr>
          <w:rFonts w:ascii="Arial" w:cs="Arial" w:eastAsia="Arial" w:hAnsi="Arial"/>
          <w:b/>
          <w:bCs/>
          <w:sz w:val="21"/>
          <w:szCs w:val="21"/>
          <w:rtl/>
        </w:rPr>
        <w:t xml:space="preserve">وإصلاح ثانٍ بعد التشغيل المعتمد:</w:t>
      </w:r>
    </w:p>
    <w:p>
      <w:pPr>
        <w:pStyle w:val="ListParagraph"/>
        <w:numPr>
          <w:ilvl w:val="1"/>
          <w:numId w:val="2"/>
        </w:numPr>
        <w:bidi/>
        <w:spacing w:after="70" w:before="0" w:line="300"/>
      </w:pPr>
      <w:r>
        <w:rPr>
          <w:rFonts w:ascii="Arial" w:cs="Arial" w:eastAsia="Arial" w:hAnsi="Arial"/>
          <w:b w:val="false"/>
          <w:bCs w:val="false"/>
          <w:sz w:val="21"/>
          <w:szCs w:val="21"/>
          <w:rtl/>
        </w:rPr>
        <w:t xml:space="preserve">كان الفلتر بصيغة </w:t>
      </w:r>
      <w:r>
        <w:rPr>
          <w:rFonts w:ascii="Courier New" w:cs="Courier New" w:eastAsia="Courier New" w:hAnsi="Courier New"/>
          <w:b w:val="false"/>
          <w:bCs w:val="false"/>
          <w:color w:val="1F2937"/>
          <w:sz w:val="18"/>
          <w:szCs w:val="18"/>
          <w:shd w:fill="F1F3F5" w:color="auto" w:val="clear"/>
          <w:rtl/>
        </w:rPr>
        <w:t xml:space="preserve">‎ISNULL(TenantId, 0) = @ChainKey‎</w:t>
      </w:r>
      <w:r>
        <w:rPr>
          <w:rFonts w:ascii="Arial" w:cs="Arial" w:eastAsia="Arial" w:hAnsi="Arial"/>
          <w:b w:val="false"/>
          <w:bCs w:val="false"/>
          <w:sz w:val="21"/>
          <w:szCs w:val="21"/>
          <w:rtl/>
        </w:rPr>
        <w:t xml:space="preserve">، ثم بصيغة OR، وكلتاهما لا تبحث في الفهرس (TenantId, ChainSeq) المصفّى.</w:t>
      </w:r>
    </w:p>
    <w:p>
      <w:pPr>
        <w:pStyle w:val="ListParagraph"/>
        <w:numPr>
          <w:ilvl w:val="1"/>
          <w:numId w:val="2"/>
        </w:numPr>
        <w:bidi/>
        <w:spacing w:after="70" w:before="0" w:line="300"/>
      </w:pPr>
      <w:r>
        <w:rPr>
          <w:rFonts w:ascii="Arial" w:cs="Arial" w:eastAsia="Arial" w:hAnsi="Arial"/>
          <w:b w:val="false"/>
          <w:bCs w:val="false"/>
          <w:sz w:val="21"/>
          <w:szCs w:val="21"/>
          <w:rtl/>
        </w:rPr>
        <w:t xml:space="preserve">صارت كل قراءة جملتين محروستين، واحدة لسلسلة المشترك وأخرى للمنصة، فتبحث في الفهرس.</w:t>
      </w:r>
    </w:p>
    <w:p>
      <w:pPr>
        <w:pStyle w:val="ListParagraph"/>
        <w:numPr>
          <w:ilvl w:val="1"/>
          <w:numId w:val="2"/>
        </w:numPr>
        <w:bidi/>
        <w:spacing w:after="70" w:before="0" w:line="300"/>
      </w:pPr>
      <w:r>
        <w:rPr>
          <w:rFonts w:ascii="Arial" w:cs="Arial" w:eastAsia="Arial" w:hAnsi="Arial"/>
          <w:b w:val="false"/>
          <w:bCs w:val="false"/>
          <w:sz w:val="21"/>
          <w:szCs w:val="21"/>
          <w:rtl/>
        </w:rPr>
        <w:t xml:space="preserve">القراءات المنطقية لاستعلام السلسلة: من 2,422 إلى 176.</w:t>
      </w:r>
    </w:p>
    <w:p>
      <w:pPr>
        <w:pStyle w:val="ListParagraph"/>
        <w:numPr>
          <w:ilvl w:val="1"/>
          <w:numId w:val="2"/>
        </w:numPr>
        <w:bidi/>
        <w:spacing w:after="70" w:before="0" w:line="300"/>
      </w:pPr>
      <w:r>
        <w:rPr>
          <w:rFonts w:ascii="Arial" w:cs="Arial" w:eastAsia="Arial" w:hAnsi="Arial"/>
          <w:b w:val="false"/>
          <w:bCs w:val="false"/>
          <w:sz w:val="21"/>
          <w:szCs w:val="21"/>
          <w:rtl/>
        </w:rPr>
        <w:t xml:space="preserve">J4 على القاعدة المحمَّلة: من 0.25 إلى 0.17 ثانية.</w:t>
      </w:r>
    </w:p>
    <w:p>
      <w:pPr>
        <w:pStyle w:val="ListParagraph"/>
        <w:numPr>
          <w:ilvl w:val="1"/>
          <w:numId w:val="2"/>
        </w:numPr>
        <w:bidi/>
        <w:spacing w:after="70" w:before="0" w:line="300"/>
      </w:pPr>
      <w:r>
        <w:rPr>
          <w:rFonts w:ascii="Arial" w:cs="Arial" w:eastAsia="Arial" w:hAnsi="Arial"/>
          <w:b w:val="false"/>
          <w:bCs w:val="false"/>
          <w:sz w:val="21"/>
          <w:szCs w:val="21"/>
          <w:rtl/>
        </w:rPr>
        <w:t xml:space="preserve">هذان الرقمان من قياس مستقل بعد التشغيل المعتمد، لا من </w:t>
      </w:r>
      <w:r>
        <w:rPr>
          <w:rFonts w:ascii="Courier New" w:cs="Courier New" w:eastAsia="Courier New" w:hAnsi="Courier New"/>
          <w:b w:val="false"/>
          <w:bCs w:val="false"/>
          <w:color w:val="1F2937"/>
          <w:sz w:val="18"/>
          <w:szCs w:val="18"/>
          <w:shd w:fill="F1F3F5" w:color="auto" w:val="clear"/>
          <w:rtl/>
        </w:rPr>
        <w:t xml:space="preserve">‎perf-run.txt‎</w:t>
      </w:r>
      <w:r>
        <w:rPr>
          <w:rFonts w:ascii="Arial" w:cs="Arial" w:eastAsia="Arial" w:hAnsi="Arial"/>
          <w:b w:val="false"/>
          <w:bCs w:val="false"/>
          <w:sz w:val="21"/>
          <w:szCs w:val="21"/>
          <w:rtl/>
        </w:rPr>
        <w:t xml:space="preserve">، وتعيد أداة القياس إثباتهما في تشغيلها التالي.</w:t>
      </w:r>
    </w:p>
    <w:p>
      <w:pPr>
        <w:bidi/>
        <w:spacing w:after="60" w:before="0"/>
      </w:pPr>
    </w:p>
    <w:p>
      <w:pPr>
        <w:pStyle w:val="Heading2"/>
        <w:bidi/>
      </w:pPr>
      <w:bookmarkStart w:name="_sec8" w:id="8"/>
      <w:r>
        <w:rPr>
          <w:rFonts w:ascii="Arial" w:cs="Arial" w:eastAsia="Arial" w:hAnsi="Arial"/>
          <w:b/>
          <w:bCs/>
          <w:color w:val="2B5C8A"/>
          <w:sz w:val="26"/>
          <w:szCs w:val="26"/>
          <w:rtl/>
        </w:rPr>
        <w:t xml:space="preserve">4.2 أول استدعاء بارد</w:t>
      </w:r>
      <w:bookmarkEnd w:id="8"/>
    </w:p>
    <w:p>
      <w:pPr>
        <w:pStyle w:val="ListParagraph"/>
        <w:numPr>
          <w:ilvl w:val="0"/>
          <w:numId w:val="2"/>
        </w:numPr>
        <w:bidi/>
        <w:spacing w:after="70" w:before="0" w:line="300"/>
      </w:pPr>
      <w:r>
        <w:rPr>
          <w:rFonts w:ascii="Arial" w:cs="Arial" w:eastAsia="Arial" w:hAnsi="Arial"/>
          <w:b/>
          <w:bCs/>
          <w:sz w:val="21"/>
          <w:szCs w:val="21"/>
          <w:rtl/>
        </w:rPr>
        <w:t xml:space="preserve">ما يحدث:</w:t>
      </w:r>
      <w:r>
        <w:rPr>
          <w:rFonts w:ascii="Arial" w:cs="Arial" w:eastAsia="Arial" w:hAnsi="Arial"/>
          <w:b w:val="false"/>
          <w:bCs w:val="false"/>
          <w:sz w:val="21"/>
          <w:szCs w:val="21"/>
          <w:rtl/>
        </w:rPr>
        <w:t xml:space="preserve"> أول حساب تقييم يستغرق 3 ثوانٍ، وأول ربط جلسة 0.5 ثانية، وأول حزمة أدلة 1.2 ثانية. والسبب ترجمة الخطط وذاكرة باردة. والاستدعاءات التالية ضمن الأرقام أعلاه.</w:t>
      </w:r>
    </w:p>
    <w:p>
      <w:pPr>
        <w:pStyle w:val="ListParagraph"/>
        <w:numPr>
          <w:ilvl w:val="0"/>
          <w:numId w:val="2"/>
        </w:numPr>
        <w:bidi/>
        <w:spacing w:after="70" w:before="0" w:line="300"/>
      </w:pPr>
      <w:r>
        <w:rPr>
          <w:rFonts w:ascii="Arial" w:cs="Arial" w:eastAsia="Arial" w:hAnsi="Arial"/>
          <w:b/>
          <w:bCs/>
          <w:sz w:val="21"/>
          <w:szCs w:val="21"/>
          <w:rtl/>
        </w:rPr>
        <w:t xml:space="preserve">التوصية:</w:t>
      </w:r>
      <w:r>
        <w:rPr>
          <w:rFonts w:ascii="Arial" w:cs="Arial" w:eastAsia="Arial" w:hAnsi="Arial"/>
          <w:b w:val="false"/>
          <w:bCs w:val="false"/>
          <w:sz w:val="21"/>
          <w:szCs w:val="21"/>
          <w:rtl/>
        </w:rPr>
        <w:t xml:space="preserve"> «تسخين» بعد كل نشر يستدعي هذه الإجراءات مرة. وهو بند تشغيلي يضاف إلى DOC-S11.</w:t>
      </w:r>
    </w:p>
    <w:p>
      <w:pPr>
        <w:bidi/>
        <w:spacing w:after="60" w:before="0"/>
      </w:pPr>
    </w:p>
    <w:p>
      <w:pPr>
        <w:pStyle w:val="Heading2"/>
        <w:bidi/>
      </w:pPr>
      <w:bookmarkStart w:name="_sec9" w:id="9"/>
      <w:r>
        <w:rPr>
          <w:rFonts w:ascii="Arial" w:cs="Arial" w:eastAsia="Arial" w:hAnsi="Arial"/>
          <w:b/>
          <w:bCs/>
          <w:color w:val="2B5C8A"/>
          <w:sz w:val="26"/>
          <w:szCs w:val="26"/>
          <w:rtl/>
        </w:rPr>
        <w:t xml:space="preserve">4.3 الفهارس التي طلبها المحسّن</w:t>
      </w:r>
      <w:bookmarkEnd w:id="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815"/>
        <w:gridCol w:w="1694"/>
        <w:gridCol w:w="972"/>
        <w:gridCol w:w="1553"/>
        <w:gridCol w:w="1830"/>
      </w:tblGrid>
      <w:tr>
        <w:trPr>
          <w:cantSplit/>
          <w:tblHeader/>
        </w:trPr>
        <w:tc>
          <w:tcPr>
            <w:tcW w:type="dxa" w:w="38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الجدول</w:t>
            </w:r>
          </w:p>
        </w:tc>
        <w:tc>
          <w:tcPr>
            <w:tcW w:type="dxa" w:w="16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الطلب</w:t>
            </w:r>
          </w:p>
        </w:tc>
        <w:tc>
          <w:tcPr>
            <w:tcW w:type="dxa" w:w="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 %</w:t>
            </w:r>
          </w:p>
        </w:tc>
        <w:tc>
          <w:tcPr>
            <w:tcW w:type="dxa" w:w="15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الاستعمالات</w:t>
            </w:r>
          </w:p>
        </w:tc>
        <w:tc>
          <w:tcPr>
            <w:tcW w:type="dxa" w:w="18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الحكم</w:t>
            </w:r>
          </w:p>
        </w:tc>
      </w:tr>
      <w:tr>
        <w:trPr>
          <w:cantSplit/>
        </w:trPr>
        <w:tc>
          <w:tcPr>
            <w:tcW w:type="dxa" w:w="38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‎fin.BankFlowEntry‎</w:t>
            </w:r>
          </w:p>
        </w:tc>
        <w:tc>
          <w:tcPr>
            <w:tcW w:type="dxa" w:w="16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(TenantId) مع INCLUDE لستة أعمدة</w:t>
            </w:r>
          </w:p>
        </w:tc>
        <w:tc>
          <w:tcPr>
            <w:tcW w:type="dxa" w:w="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21.1</w:t>
            </w:r>
          </w:p>
        </w:tc>
        <w:tc>
          <w:tcPr>
            <w:tcW w:type="dxa" w:w="15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620</w:t>
            </w:r>
          </w:p>
        </w:tc>
        <w:tc>
          <w:tcPr>
            <w:tcW w:type="dxa" w:w="1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مقترح:</w:t>
            </w:r>
            <w:r>
              <w:rPr>
                <w:rFonts w:ascii="Arial" w:cs="Arial" w:eastAsia="Arial" w:hAnsi="Arial"/>
                <w:b w:val="false"/>
                <w:bCs w:val="false"/>
                <w:sz w:val="18"/>
                <w:szCs w:val="18"/>
                <w:rtl/>
              </w:rPr>
              <w:t xml:space="preserve"> فهرس (TenantId, CompanyId, MonthEnd) مع INCLUDE للمبلغ والحالة والجهة. يقرّر بعد بيانات حقيقية، وبقرار المالك D-6</w:t>
            </w:r>
          </w:p>
        </w:tc>
      </w:tr>
      <w:tr>
        <w:trPr>
          <w:cantSplit/>
        </w:trPr>
        <w:tc>
          <w:tcPr>
            <w:tcW w:type="dxa" w:w="38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‎fin.FinancialStatement‎</w:t>
            </w:r>
          </w:p>
        </w:tc>
        <w:tc>
          <w:tcPr>
            <w:tcW w:type="dxa" w:w="16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(TenantId, Status) مع SupersedesId</w:t>
            </w:r>
          </w:p>
        </w:tc>
        <w:tc>
          <w:tcPr>
            <w:tcW w:type="dxa" w:w="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10.7</w:t>
            </w:r>
          </w:p>
        </w:tc>
        <w:tc>
          <w:tcPr>
            <w:tcW w:type="dxa" w:w="15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299</w:t>
            </w:r>
          </w:p>
        </w:tc>
        <w:tc>
          <w:tcPr>
            <w:tcW w:type="dxa" w:w="18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 صغير؛ لا شيء الآن</w:t>
            </w:r>
          </w:p>
        </w:tc>
      </w:tr>
      <w:tr>
        <w:trPr>
          <w:cantSplit/>
        </w:trPr>
        <w:tc>
          <w:tcPr>
            <w:tcW w:type="dxa" w:w="38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‎fin.CreditAssessmentFinding‎</w:t>
            </w:r>
          </w:p>
        </w:tc>
        <w:tc>
          <w:tcPr>
            <w:tcW w:type="dxa" w:w="16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(TenantId, Source أو Kind) مع AssessmentId</w:t>
            </w:r>
          </w:p>
        </w:tc>
        <w:tc>
          <w:tcPr>
            <w:tcW w:type="dxa" w:w="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19.1</w:t>
            </w:r>
          </w:p>
        </w:tc>
        <w:tc>
          <w:tcPr>
            <w:tcW w:type="dxa" w:w="15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c>
          <w:tcPr>
            <w:tcW w:type="dxa" w:w="1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أثر صغير؛ لا شيء الآن</w:t>
            </w:r>
          </w:p>
        </w:tc>
      </w:tr>
      <w:tr>
        <w:trPr>
          <w:cantSplit/>
        </w:trPr>
        <w:tc>
          <w:tcPr>
            <w:tcW w:type="dxa" w:w="38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‎fin.CreditAssessment‎</w:t>
            </w:r>
            <w:r>
              <w:rPr>
                <w:rFonts w:ascii="Arial" w:cs="Arial" w:eastAsia="Arial" w:hAnsi="Arial"/>
                <w:b w:val="false"/>
                <w:bCs w:val="false"/>
                <w:sz w:val="18"/>
                <w:szCs w:val="18"/>
                <w:rtl/>
              </w:rPr>
              <w:t xml:space="preserve"> (EndorsedBy) و</w:t>
            </w:r>
            <w:r>
              <w:rPr>
                <w:rFonts w:ascii="Courier New" w:cs="Courier New" w:eastAsia="Courier New" w:hAnsi="Courier New"/>
                <w:b w:val="false"/>
                <w:bCs w:val="false"/>
                <w:color w:val="1F2937"/>
                <w:sz w:val="16"/>
                <w:szCs w:val="16"/>
                <w:shd w:fill="F1F3F5" w:color="auto" w:val="clear"/>
                <w:rtl/>
              </w:rPr>
              <w:t xml:space="preserve">‎fin.FinancialStatement‎</w:t>
            </w:r>
            <w:r>
              <w:rPr>
                <w:rFonts w:ascii="Arial" w:cs="Arial" w:eastAsia="Arial" w:hAnsi="Arial"/>
                <w:b w:val="false"/>
                <w:bCs w:val="false"/>
                <w:sz w:val="18"/>
                <w:szCs w:val="18"/>
                <w:rtl/>
              </w:rPr>
              <w:t xml:space="preserve"> (FiscalYear)</w:t>
            </w:r>
          </w:p>
        </w:tc>
        <w:tc>
          <w:tcPr>
            <w:tcW w:type="dxa" w:w="16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96.3 و55.1</w:t>
            </w:r>
          </w:p>
        </w:tc>
        <w:tc>
          <w:tcPr>
            <w:tcW w:type="dxa" w:w="15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18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استعلامات أداة القياس نفسها؛ مستبعد</w:t>
            </w:r>
          </w:p>
        </w:tc>
      </w:tr>
      <w:tr>
        <w:trPr>
          <w:cantSplit/>
        </w:trPr>
        <w:tc>
          <w:tcPr>
            <w:tcW w:type="dxa" w:w="38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(ChainSeq)</w:t>
            </w:r>
          </w:p>
        </w:tc>
        <w:tc>
          <w:tcPr>
            <w:tcW w:type="dxa" w:w="16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100</w:t>
            </w:r>
          </w:p>
        </w:tc>
        <w:tc>
          <w:tcPr>
            <w:tcW w:type="dxa" w:w="15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8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أُصلح بالفلتر المحروس (§4.1)</w:t>
            </w:r>
          </w:p>
        </w:tc>
      </w:tr>
    </w:tbl>
    <w:p>
      <w:pPr>
        <w:bidi/>
        <w:spacing w:after="120" w:before="0"/>
      </w:pPr>
    </w:p>
    <w:p>
      <w:pPr>
        <w:pStyle w:val="Heading2"/>
        <w:bidi/>
      </w:pPr>
      <w:bookmarkStart w:name="_sec10" w:id="10"/>
      <w:r>
        <w:rPr>
          <w:rFonts w:ascii="Arial" w:cs="Arial" w:eastAsia="Arial" w:hAnsi="Arial"/>
          <w:b/>
          <w:bCs/>
          <w:color w:val="2B5C8A"/>
          <w:sz w:val="26"/>
          <w:szCs w:val="26"/>
          <w:rtl/>
        </w:rPr>
        <w:t xml:space="preserve">4.4 ما يعنيه للتشغيل</w:t>
      </w:r>
      <w:bookmarkEnd w:id="10"/>
    </w:p>
    <w:p>
      <w:pPr>
        <w:pStyle w:val="ListParagraph"/>
        <w:numPr>
          <w:ilvl w:val="0"/>
          <w:numId w:val="2"/>
        </w:numPr>
        <w:bidi/>
        <w:spacing w:after="70" w:before="0" w:line="300"/>
      </w:pPr>
      <w:r>
        <w:rPr>
          <w:rFonts w:ascii="Arial" w:cs="Arial" w:eastAsia="Arial" w:hAnsi="Arial"/>
          <w:b/>
          <w:bCs/>
          <w:sz w:val="21"/>
          <w:szCs w:val="21"/>
          <w:rtl/>
        </w:rPr>
        <w:t xml:space="preserve">الإنذار المبكر:</w:t>
      </w:r>
      <w:r>
        <w:rPr>
          <w:rFonts w:ascii="Arial" w:cs="Arial" w:eastAsia="Arial" w:hAnsi="Arial"/>
          <w:b w:val="false"/>
          <w:bCs w:val="false"/>
          <w:sz w:val="21"/>
          <w:szCs w:val="21"/>
          <w:rtl/>
        </w:rPr>
        <w:t xml:space="preserve"> مهمة J1 نحو ثانية لمشترك من 200 شركة. فتشغيلها لـ300 مشترك بالتتابع نحو 5 دقائق في الليل.</w:t>
      </w:r>
    </w:p>
    <w:p>
      <w:pPr>
        <w:pStyle w:val="ListParagraph"/>
        <w:numPr>
          <w:ilvl w:val="0"/>
          <w:numId w:val="2"/>
        </w:numPr>
        <w:bidi/>
        <w:spacing w:after="70" w:before="0" w:line="300"/>
      </w:pPr>
      <w:r>
        <w:rPr>
          <w:rFonts w:ascii="Arial" w:cs="Arial" w:eastAsia="Arial" w:hAnsi="Arial"/>
          <w:b/>
          <w:bCs/>
          <w:sz w:val="21"/>
          <w:szCs w:val="21"/>
          <w:rtl/>
        </w:rPr>
        <w:t xml:space="preserve">التدقيق:</w:t>
      </w:r>
      <w:r>
        <w:rPr>
          <w:rFonts w:ascii="Arial" w:cs="Arial" w:eastAsia="Arial" w:hAnsi="Arial"/>
          <w:b w:val="false"/>
          <w:bCs w:val="false"/>
          <w:sz w:val="21"/>
          <w:szCs w:val="21"/>
          <w:rtl/>
        </w:rPr>
        <w:t xml:space="preserve"> الكتابة 4 مللي ثانية، و442 صفًا في الثانية لسلسلة مشترك واحد تحت أربعة كتّاب متزامنين. وهذا أكثر بكثير مما يولّده عشرون مستخدمًا متزامنًا (NFR-PERF-01).</w:t>
      </w:r>
    </w:p>
    <w:p>
      <w:pPr>
        <w:pStyle w:val="ListParagraph"/>
        <w:numPr>
          <w:ilvl w:val="0"/>
          <w:numId w:val="2"/>
        </w:numPr>
        <w:bidi/>
        <w:spacing w:after="70" w:before="0" w:line="300"/>
      </w:pPr>
      <w:r>
        <w:rPr>
          <w:rFonts w:ascii="Arial" w:cs="Arial" w:eastAsia="Arial" w:hAnsi="Arial"/>
          <w:b/>
          <w:bCs/>
          <w:sz w:val="21"/>
          <w:szCs w:val="21"/>
          <w:rtl/>
        </w:rPr>
        <w:t xml:space="preserve">فحص السلاسل:</w:t>
      </w:r>
      <w:r>
        <w:rPr>
          <w:rFonts w:ascii="Arial" w:cs="Arial" w:eastAsia="Arial" w:hAnsi="Arial"/>
          <w:b w:val="false"/>
          <w:bCs w:val="false"/>
          <w:sz w:val="21"/>
          <w:szCs w:val="21"/>
          <w:rtl/>
        </w:rPr>
        <w:t xml:space="preserve"> اليومي لـ300 مشترك بأيام من 500 صف نحو دقيقة. والأسبوعي الكامل لـ15 مليون صف نحو 10 دقائق.</w:t>
      </w:r>
    </w:p>
    <w:p>
      <w:pPr>
        <w:pStyle w:val="ListParagraph"/>
        <w:numPr>
          <w:ilvl w:val="0"/>
          <w:numId w:val="2"/>
        </w:numPr>
        <w:bidi/>
        <w:spacing w:after="70" w:before="0" w:line="300"/>
      </w:pPr>
      <w:r>
        <w:rPr>
          <w:rFonts w:ascii="Arial" w:cs="Arial" w:eastAsia="Arial" w:hAnsi="Arial"/>
          <w:b/>
          <w:bCs/>
          <w:sz w:val="21"/>
          <w:szCs w:val="21"/>
          <w:rtl/>
        </w:rPr>
        <w:t xml:space="preserve">نافذة النشر:</w:t>
      </w:r>
      <w:r>
        <w:rPr>
          <w:rFonts w:ascii="Arial" w:cs="Arial" w:eastAsia="Arial" w:hAnsi="Arial"/>
          <w:b w:val="false"/>
          <w:bCs w:val="false"/>
          <w:sz w:val="21"/>
          <w:szCs w:val="21"/>
          <w:rtl/>
        </w:rPr>
        <w:t xml:space="preserve"> السكربتات المتكررة 18 ثانية على القاعدة المحمَّلة، تضاف إليها السكربتات المرقّمة. وبصمة المخطط 2 ثانية بعد كل خطوة.</w:t>
      </w:r>
    </w:p>
    <w:p>
      <w:pPr>
        <w:bidi/>
        <w:spacing w:after="60" w:before="0"/>
      </w:pPr>
    </w:p>
    <w:p>
      <w:pPr>
        <w:pStyle w:val="Heading1"/>
        <w:bidi/>
      </w:pPr>
      <w:bookmarkStart w:name="_sec11" w:id="11"/>
      <w:r>
        <w:rPr>
          <w:rFonts w:ascii="Arial" w:cs="Arial" w:eastAsia="Arial" w:hAnsi="Arial"/>
          <w:b/>
          <w:bCs/>
          <w:color w:val="1F3A5F"/>
          <w:sz w:val="32"/>
          <w:szCs w:val="32"/>
          <w:rtl/>
        </w:rPr>
        <w:t xml:space="preserve">5. حدود القياس</w:t>
      </w:r>
      <w:bookmarkEnd w:id="11"/>
    </w:p>
    <w:p>
      <w:pPr>
        <w:pStyle w:val="ListParagraph"/>
        <w:numPr>
          <w:ilvl w:val="0"/>
          <w:numId w:val="3"/>
        </w:numPr>
        <w:bidi/>
        <w:spacing w:after="70" w:before="0" w:line="300"/>
      </w:pPr>
      <w:r>
        <w:rPr>
          <w:rFonts w:ascii="Arial" w:cs="Arial" w:eastAsia="Arial" w:hAnsi="Arial"/>
          <w:b/>
          <w:bCs/>
          <w:sz w:val="21"/>
          <w:szCs w:val="21"/>
          <w:rtl/>
        </w:rPr>
        <w:t xml:space="preserve">حاوية لا إنتاج:</w:t>
      </w:r>
      <w:r>
        <w:rPr>
          <w:rFonts w:ascii="Arial" w:cs="Arial" w:eastAsia="Arial" w:hAnsi="Arial"/>
          <w:b w:val="false"/>
          <w:bCs w:val="false"/>
          <w:sz w:val="21"/>
          <w:szCs w:val="21"/>
          <w:rtl/>
        </w:rPr>
        <w:t xml:space="preserve"> أربعة معالجات و15 غيغابايت. فالأرقام دلالية، وتُعاد الأداة في بيئة DQ-B03-9 بموارد الإنتاج.</w:t>
      </w:r>
    </w:p>
    <w:p>
      <w:pPr>
        <w:pStyle w:val="ListParagraph"/>
        <w:numPr>
          <w:ilvl w:val="0"/>
          <w:numId w:val="3"/>
        </w:numPr>
        <w:bidi/>
        <w:spacing w:after="70" w:before="0" w:line="300"/>
      </w:pPr>
      <w:r>
        <w:rPr>
          <w:rFonts w:ascii="Arial" w:cs="Arial" w:eastAsia="Arial" w:hAnsi="Arial"/>
          <w:b/>
          <w:bCs/>
          <w:sz w:val="21"/>
          <w:szCs w:val="21"/>
          <w:rtl/>
        </w:rPr>
        <w:t xml:space="preserve">ثلاثة مشتركين بالحجم الكامل:</w:t>
      </w:r>
      <w:r>
        <w:rPr>
          <w:rFonts w:ascii="Arial" w:cs="Arial" w:eastAsia="Arial" w:hAnsi="Arial"/>
          <w:b w:val="false"/>
          <w:bCs w:val="false"/>
          <w:sz w:val="21"/>
          <w:szCs w:val="21"/>
          <w:rtl/>
        </w:rPr>
        <w:t xml:space="preserve"> ومعهم 297 أخف حجمًا (§2.1)، لا 300 بالحجم الكامل.</w:t>
      </w:r>
    </w:p>
    <w:p>
      <w:pPr>
        <w:pStyle w:val="ListParagraph"/>
        <w:numPr>
          <w:ilvl w:val="0"/>
          <w:numId w:val="3"/>
        </w:numPr>
        <w:bidi/>
        <w:spacing w:after="70" w:before="0" w:line="300"/>
      </w:pPr>
      <w:r>
        <w:rPr>
          <w:rFonts w:ascii="Arial" w:cs="Arial" w:eastAsia="Arial" w:hAnsi="Arial"/>
          <w:b/>
          <w:bCs/>
          <w:sz w:val="21"/>
          <w:szCs w:val="21"/>
          <w:rtl/>
        </w:rPr>
        <w:t xml:space="preserve">مسارات طبقة الخدمة لم تُقس:</w:t>
      </w:r>
    </w:p>
    <w:p>
      <w:pPr>
        <w:pStyle w:val="ListParagraph"/>
        <w:numPr>
          <w:ilvl w:val="1"/>
          <w:numId w:val="2"/>
        </w:numPr>
        <w:bidi/>
        <w:spacing w:after="70" w:before="0" w:line="300"/>
      </w:pPr>
      <w:r>
        <w:rPr>
          <w:rFonts w:ascii="Arial" w:cs="Arial" w:eastAsia="Arial" w:hAnsi="Arial"/>
          <w:b w:val="false"/>
          <w:bCs w:val="false"/>
          <w:sz w:val="21"/>
          <w:szCs w:val="21"/>
          <w:rtl/>
        </w:rPr>
        <w:t xml:space="preserve">NFR-PERF-01 من طرف إلى طرف؛</w:t>
      </w:r>
    </w:p>
    <w:p>
      <w:pPr>
        <w:pStyle w:val="ListParagraph"/>
        <w:numPr>
          <w:ilvl w:val="1"/>
          <w:numId w:val="2"/>
        </w:numPr>
        <w:bidi/>
        <w:spacing w:after="70" w:before="0" w:line="300"/>
      </w:pPr>
      <w:r>
        <w:rPr>
          <w:rFonts w:ascii="Arial" w:cs="Arial" w:eastAsia="Arial" w:hAnsi="Arial"/>
          <w:b w:val="false"/>
          <w:bCs w:val="false"/>
          <w:sz w:val="21"/>
          <w:szCs w:val="21"/>
          <w:rtl/>
        </w:rPr>
        <w:t xml:space="preserve">NFR-PERF-03، الحجوزات المتزامنة على حد واحد؛</w:t>
      </w:r>
    </w:p>
    <w:p>
      <w:pPr>
        <w:pStyle w:val="ListParagraph"/>
        <w:numPr>
          <w:ilvl w:val="1"/>
          <w:numId w:val="2"/>
        </w:numPr>
        <w:bidi/>
        <w:spacing w:after="70" w:before="0" w:line="300"/>
      </w:pPr>
      <w:r>
        <w:rPr>
          <w:rFonts w:ascii="Arial" w:cs="Arial" w:eastAsia="Arial" w:hAnsi="Arial"/>
          <w:b w:val="false"/>
          <w:bCs w:val="false"/>
          <w:sz w:val="21"/>
          <w:szCs w:val="21"/>
          <w:rtl/>
        </w:rPr>
        <w:t xml:space="preserve">NFR-PERF-05، الدخول بـ Argon2id؛</w:t>
      </w:r>
    </w:p>
    <w:p>
      <w:pPr>
        <w:pStyle w:val="ListParagraph"/>
        <w:numPr>
          <w:ilvl w:val="1"/>
          <w:numId w:val="2"/>
        </w:numPr>
        <w:bidi/>
        <w:spacing w:after="70" w:before="0" w:line="300"/>
      </w:pPr>
      <w:r>
        <w:rPr>
          <w:rFonts w:ascii="Arial" w:cs="Arial" w:eastAsia="Arial" w:hAnsi="Arial"/>
          <w:b w:val="false"/>
          <w:bCs w:val="false"/>
          <w:sz w:val="21"/>
          <w:szCs w:val="21"/>
          <w:rtl/>
        </w:rPr>
        <w:t xml:space="preserve">شاشات الطلبات والاعتمادات.</w:t>
      </w:r>
    </w:p>
    <w:p>
      <w:pPr>
        <w:pStyle w:val="ListParagraph"/>
        <w:numPr>
          <w:ilvl w:val="0"/>
          <w:numId w:val="3"/>
        </w:numPr>
        <w:bidi/>
        <w:spacing w:after="70" w:before="0" w:line="300"/>
      </w:pPr>
      <w:r>
        <w:rPr>
          <w:rFonts w:ascii="Arial" w:cs="Arial" w:eastAsia="Arial" w:hAnsi="Arial"/>
          <w:b/>
          <w:bCs/>
          <w:sz w:val="21"/>
          <w:szCs w:val="21"/>
          <w:rtl/>
        </w:rPr>
        <w:t xml:space="preserve">التزامن المقاس:</w:t>
      </w:r>
      <w:r>
        <w:rPr>
          <w:rFonts w:ascii="Arial" w:cs="Arial" w:eastAsia="Arial" w:hAnsi="Arial"/>
          <w:b w:val="false"/>
          <w:bCs w:val="false"/>
          <w:sz w:val="21"/>
          <w:szCs w:val="21"/>
          <w:rtl/>
        </w:rPr>
        <w:t xml:space="preserve"> هو كتابة التدقيق وحدها (C1). ولم يُقس حمل مختلط لمستخدمين متزامنين.</w:t>
      </w:r>
    </w:p>
    <w:p>
      <w:pPr>
        <w:pStyle w:val="ListParagraph"/>
        <w:numPr>
          <w:ilvl w:val="0"/>
          <w:numId w:val="3"/>
        </w:numPr>
        <w:bidi/>
        <w:spacing w:after="70" w:before="0" w:line="300"/>
      </w:pPr>
      <w:r>
        <w:rPr>
          <w:rFonts w:ascii="Arial" w:cs="Arial" w:eastAsia="Arial" w:hAnsi="Arial"/>
          <w:b/>
          <w:bCs/>
          <w:sz w:val="21"/>
          <w:szCs w:val="21"/>
          <w:rtl/>
        </w:rPr>
        <w:t xml:space="preserve">العزل:</w:t>
      </w:r>
      <w:r>
        <w:rPr>
          <w:rFonts w:ascii="Arial" w:cs="Arial" w:eastAsia="Arial" w:hAnsi="Arial"/>
          <w:b w:val="false"/>
          <w:bCs w:val="false"/>
          <w:sz w:val="21"/>
          <w:szCs w:val="21"/>
          <w:rtl/>
        </w:rPr>
        <w:t xml:space="preserve"> القياس بالعزل الافتراضي. وتوصية READ_COMMITTED_SNAPSHOT في docs/20 لم تُفعَّل، ويُقاس أثرها مع الحمل المختلط.</w:t>
      </w:r>
    </w:p>
    <w:p>
      <w:pPr>
        <w:pStyle w:val="ListParagraph"/>
        <w:numPr>
          <w:ilvl w:val="0"/>
          <w:numId w:val="3"/>
        </w:numPr>
        <w:bidi/>
        <w:spacing w:after="70" w:before="0" w:line="300"/>
      </w:pPr>
      <w:r>
        <w:rPr>
          <w:rFonts w:ascii="Arial" w:cs="Arial" w:eastAsia="Arial" w:hAnsi="Arial"/>
          <w:b/>
          <w:bCs/>
          <w:sz w:val="21"/>
          <w:szCs w:val="21"/>
          <w:rtl/>
        </w:rPr>
        <w:t xml:space="preserve">الأقصى:</w:t>
      </w:r>
      <w:r>
        <w:rPr>
          <w:rFonts w:ascii="Arial" w:cs="Arial" w:eastAsia="Arial" w:hAnsi="Arial"/>
          <w:b w:val="false"/>
          <w:bCs w:val="false"/>
          <w:sz w:val="21"/>
          <w:szCs w:val="21"/>
          <w:rtl/>
        </w:rPr>
        <w:t xml:space="preserve"> الأرقام القصوى تشمل أول استدعاء بارد (§4.2).</w:t>
      </w:r>
    </w:p>
    <w:p>
      <w:pPr>
        <w:bidi/>
        <w:spacing w:after="60" w:before="0"/>
      </w:pPr>
    </w:p>
    <w:p>
      <w:pPr>
        <w:pStyle w:val="Heading1"/>
        <w:bidi/>
      </w:pPr>
      <w:bookmarkStart w:name="_sec12" w:id="12"/>
      <w:r>
        <w:rPr>
          <w:rFonts w:ascii="Arial" w:cs="Arial" w:eastAsia="Arial" w:hAnsi="Arial"/>
          <w:b/>
          <w:bCs/>
          <w:color w:val="1F3A5F"/>
          <w:sz w:val="32"/>
          <w:szCs w:val="32"/>
          <w:rtl/>
        </w:rPr>
        <w:t xml:space="preserve">6. إعادة القياس</w:t>
      </w:r>
      <w:bookmarkEnd w:id="12"/>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cd treasury-platform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SA_PASSWORD='&lt;كلمة المرور&gt;' SQL_SERVER=localhost bash tools/perf/run_perf.sh</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أحجام أخرى: PERF_FULL و PERF_LIGHT و PERF_COMPANIES و PERF_YEARS و PERF_AUDIT و PERF_SESSIONS و PERF_ITER</w:t>
      </w:r>
    </w:p>
    <w:p>
      <w:pPr>
        <w:pStyle w:val="ListParagraph"/>
        <w:numPr>
          <w:ilvl w:val="0"/>
          <w:numId w:val="2"/>
        </w:numPr>
        <w:bidi/>
        <w:spacing w:after="70" w:before="0" w:line="300"/>
      </w:pPr>
      <w:r>
        <w:rPr>
          <w:rFonts w:ascii="Arial" w:cs="Arial" w:eastAsia="Arial" w:hAnsi="Arial"/>
          <w:b/>
          <w:bCs/>
          <w:sz w:val="21"/>
          <w:szCs w:val="21"/>
          <w:rtl/>
        </w:rPr>
        <w:t xml:space="preserve">التشغيل:</w:t>
      </w:r>
      <w:r>
        <w:rPr>
          <w:rFonts w:ascii="Arial" w:cs="Arial" w:eastAsia="Arial" w:hAnsi="Arial"/>
          <w:b w:val="false"/>
          <w:bCs w:val="false"/>
          <w:sz w:val="21"/>
          <w:szCs w:val="21"/>
          <w:rtl/>
        </w:rPr>
        <w:t xml:space="preserve"> يحذف الأداة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ويبنيه من جديد، ولا تعمل إلا على خادم في الجهاز نفسه أو خادم مُعلَّم بأنه للتجربة.</w:t>
      </w:r>
    </w:p>
    <w:p>
      <w:pPr>
        <w:pStyle w:val="ListParagraph"/>
        <w:numPr>
          <w:ilvl w:val="0"/>
          <w:numId w:val="2"/>
        </w:numPr>
        <w:bidi/>
        <w:spacing w:after="70" w:before="0" w:line="300"/>
      </w:pPr>
      <w:r>
        <w:rPr>
          <w:rFonts w:ascii="Arial" w:cs="Arial" w:eastAsia="Arial" w:hAnsi="Arial"/>
          <w:b/>
          <w:bCs/>
          <w:sz w:val="21"/>
          <w:szCs w:val="21"/>
          <w:rtl/>
        </w:rPr>
        <w:t xml:space="preserve">المدة:</w:t>
      </w:r>
      <w:r>
        <w:rPr>
          <w:rFonts w:ascii="Arial" w:cs="Arial" w:eastAsia="Arial" w:hAnsi="Arial"/>
          <w:b w:val="false"/>
          <w:bCs w:val="false"/>
          <w:sz w:val="21"/>
          <w:szCs w:val="21"/>
          <w:rtl/>
        </w:rPr>
        <w:t xml:space="preserve"> نحو 45 دقيقة بالأحجام الافتراضية.</w:t>
      </w:r>
    </w:p>
    <w:p>
      <w:pPr>
        <w:pStyle w:val="ListParagraph"/>
        <w:numPr>
          <w:ilvl w:val="0"/>
          <w:numId w:val="2"/>
        </w:numPr>
        <w:bidi/>
        <w:spacing w:after="70" w:before="0" w:line="300"/>
      </w:pPr>
      <w:r>
        <w:rPr>
          <w:rFonts w:ascii="Arial" w:cs="Arial" w:eastAsia="Arial" w:hAnsi="Arial"/>
          <w:b/>
          <w:bCs/>
          <w:sz w:val="21"/>
          <w:szCs w:val="21"/>
          <w:rtl/>
        </w:rPr>
        <w:t xml:space="preserve">المخرجات:</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‎docs/perf/perf-run.txt‎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‎docs/perf/perf-results.md‎</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في CI:</w:t>
      </w:r>
      <w:r>
        <w:rPr>
          <w:rFonts w:ascii="Arial" w:cs="Arial" w:eastAsia="Arial" w:hAnsi="Arial"/>
          <w:b w:val="false"/>
          <w:bCs w:val="false"/>
          <w:sz w:val="21"/>
          <w:szCs w:val="21"/>
          <w:rtl/>
        </w:rPr>
        <w:t xml:space="preserve"> تعمل الأداة نفسها بأحجام صغيرة في الخطوة 24، فلا يكسرها تغيير المخطط دون أن يُرى.</w:t>
      </w:r>
    </w:p>
    <w:p>
      <w:pPr>
        <w:bidi/>
        <w:spacing w:after="60" w:before="0"/>
      </w:pPr>
    </w:p>
    <w:p>
      <w:pPr>
        <w:pStyle w:val="Heading1"/>
        <w:bidi/>
      </w:pPr>
      <w:bookmarkStart w:name="_sec13" w:id="13"/>
      <w:r>
        <w:rPr>
          <w:rFonts w:ascii="Arial" w:cs="Arial" w:eastAsia="Arial" w:hAnsi="Arial"/>
          <w:b/>
          <w:bCs/>
          <w:color w:val="1F3A5F"/>
          <w:sz w:val="32"/>
          <w:szCs w:val="32"/>
          <w:rtl/>
        </w:rPr>
        <w:t xml:space="preserve">7. ما بقي</w:t>
      </w:r>
      <w:bookmarkEnd w:id="1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987"/>
        <w:gridCol w:w="2877"/>
      </w:tblGrid>
      <w:tr>
        <w:trPr>
          <w:cantSplit/>
          <w:tblHeader/>
        </w:trPr>
        <w:tc>
          <w:tcPr>
            <w:tcW w:type="dxa" w:w="69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28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المالك</w:t>
            </w:r>
          </w:p>
        </w:tc>
      </w:tr>
      <w:tr>
        <w:trPr>
          <w:cantSplit/>
        </w:trPr>
        <w:tc>
          <w:tcPr>
            <w:tcW w:type="dxa" w:w="698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القياس بالحجم الكامل في بيئة DQ-B03-9</w:t>
            </w:r>
          </w:p>
        </w:tc>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التشغيل</w:t>
            </w:r>
          </w:p>
        </w:tc>
      </w:tr>
      <w:tr>
        <w:trPr>
          <w:cantSplit/>
        </w:trPr>
        <w:tc>
          <w:tcPr>
            <w:tcW w:type="dxa" w:w="698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اعتماد حصة القاعدة 200 مللي ثانية (DQ-B03-11)</w:t>
            </w:r>
          </w:p>
        </w:tc>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r>
      <w:tr>
        <w:trPr>
          <w:cantSplit/>
        </w:trPr>
        <w:tc>
          <w:tcPr>
            <w:tcW w:type="dxa" w:w="698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فهرس </w:t>
            </w:r>
            <w:r>
              <w:rPr>
                <w:rFonts w:ascii="Courier New" w:cs="Courier New" w:eastAsia="Courier New" w:hAnsi="Courier New"/>
                <w:b/>
                <w:bCs/>
                <w:color w:val="1F2937"/>
                <w:sz w:val="16"/>
                <w:szCs w:val="16"/>
                <w:shd w:fill="F1F3F5" w:color="auto" w:val="clear"/>
                <w:rtl/>
              </w:rPr>
              <w:t xml:space="preserve">‎fin.BankFlowEntry‎</w:t>
            </w:r>
            <w:r>
              <w:rPr>
                <w:rFonts w:ascii="Arial" w:cs="Arial" w:eastAsia="Arial" w:hAnsi="Arial"/>
                <w:b/>
                <w:bCs/>
                <w:sz w:val="18"/>
                <w:szCs w:val="18"/>
                <w:rtl/>
              </w:rPr>
              <w:t xml:space="preserve"> المقترح (§4.3)</w:t>
            </w:r>
          </w:p>
        </w:tc>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المالك، مع D-6</w:t>
            </w:r>
          </w:p>
        </w:tc>
      </w:tr>
      <w:tr>
        <w:trPr>
          <w:cantSplit/>
        </w:trPr>
        <w:tc>
          <w:tcPr>
            <w:tcW w:type="dxa" w:w="698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التسخين بعد النشر في DOC-S11 (§4.2)</w:t>
            </w:r>
          </w:p>
        </w:tc>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التشغيل</w:t>
            </w:r>
          </w:p>
        </w:tc>
      </w:tr>
      <w:tr>
        <w:trPr>
          <w:cantSplit/>
        </w:trPr>
        <w:tc>
          <w:tcPr>
            <w:tcW w:type="dxa" w:w="6987"/>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NFR-PERF-01 وNFR-PERF-03 وNFR-PERF-05 مع طبقة الخدمة</w:t>
            </w:r>
          </w:p>
        </w:tc>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التطبيق</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قياس أداء قاعدة البيانات · BankFas · 2026-10-21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قياس أداء قاعدة البيانات (البند 1 من دراسة المراجعة 5.0)</dc:title>
  <dc:creator>Claude</dc:creator>
  <dc:description>BankFas database design document</dc:description>
  <cp:lastModifiedBy>Un-named</cp:lastModifiedBy>
  <cp:revision>1</cp:revision>
  <dcterms:created xsi:type="dcterms:W3CDTF">2026-10-21T12:09:15.908Z</dcterms:created>
  <dcterms:modified xsi:type="dcterms:W3CDTF">2026-10-21T12:09:15.913Z</dcterms:modified>
</cp:coreProperties>
</file>

<file path=docProps/custom.xml><?xml version="1.0" encoding="utf-8"?>
<Properties xmlns="http://schemas.openxmlformats.org/officeDocument/2006/custom-properties" xmlns:vt="http://schemas.openxmlformats.org/officeDocument/2006/docPropsVTypes"/>
</file>