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DOC-B05 — خطة البذر والترحيل الأولي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طبقات التحميل</w:t>
        </w:r>
      </w:hyperlink>
    </w:p>
    <w:p>
      <w:pPr>
        <w:bidi/>
        <w:spacing w:after="50" w:before="0"/>
        <w:ind w:left="0"/>
      </w:pPr>
      <w:hyperlink w:history="1" w:anchor="_sec4">
        <w:r>
          <w:rPr>
            <w:rFonts w:ascii="Arial" w:cs="Arial" w:eastAsia="Arial" w:hAnsi="Arial"/>
            <w:b/>
            <w:bCs/>
            <w:color w:val="1F3A5F"/>
            <w:sz w:val="20"/>
            <w:szCs w:val="20"/>
            <w:rtl/>
          </w:rPr>
          <w:t xml:space="preserve">4. بذر المنصة (عالمي)</w:t>
        </w:r>
      </w:hyperlink>
    </w:p>
    <w:p>
      <w:pPr>
        <w:bidi/>
        <w:spacing w:after="50" w:before="0"/>
        <w:ind w:left="0"/>
      </w:pPr>
      <w:hyperlink w:history="1" w:anchor="_sec8">
        <w:r>
          <w:rPr>
            <w:rFonts w:ascii="Arial" w:cs="Arial" w:eastAsia="Arial" w:hAnsi="Arial"/>
            <w:b/>
            <w:bCs/>
            <w:color w:val="1F3A5F"/>
            <w:sz w:val="20"/>
            <w:szCs w:val="20"/>
            <w:rtl/>
          </w:rPr>
          <w:t xml:space="preserve">5. بذر المشترك عند التهيئة</w:t>
        </w:r>
      </w:hyperlink>
    </w:p>
    <w:p>
      <w:pPr>
        <w:bidi/>
        <w:spacing w:after="50" w:before="0"/>
        <w:ind w:left="0"/>
      </w:pPr>
      <w:hyperlink w:history="1" w:anchor="_sec11">
        <w:r>
          <w:rPr>
            <w:rFonts w:ascii="Arial" w:cs="Arial" w:eastAsia="Arial" w:hAnsi="Arial"/>
            <w:b/>
            <w:bCs/>
            <w:color w:val="1F3A5F"/>
            <w:sz w:val="20"/>
            <w:szCs w:val="20"/>
            <w:rtl/>
          </w:rPr>
          <w:t xml:space="preserve">6. قواعد التكرار الآمن والإصدار</w:t>
        </w:r>
      </w:hyperlink>
    </w:p>
    <w:p>
      <w:pPr>
        <w:bidi/>
        <w:spacing w:after="50" w:before="0"/>
        <w:ind w:left="0"/>
      </w:pPr>
      <w:hyperlink w:history="1" w:anchor="_sec12">
        <w:r>
          <w:rPr>
            <w:rFonts w:ascii="Arial" w:cs="Arial" w:eastAsia="Arial" w:hAnsi="Arial"/>
            <w:b/>
            <w:bCs/>
            <w:color w:val="1F3A5F"/>
            <w:sz w:val="20"/>
            <w:szCs w:val="20"/>
            <w:rtl/>
          </w:rPr>
          <w:t xml:space="preserve">7. الترحيل الأولي من Excel</w:t>
        </w:r>
      </w:hyperlink>
    </w:p>
    <w:p>
      <w:pPr>
        <w:bidi/>
        <w:spacing w:after="50" w:before="0"/>
        <w:ind w:left="0"/>
      </w:pPr>
      <w:hyperlink w:history="1" w:anchor="_sec16">
        <w:r>
          <w:rPr>
            <w:rFonts w:ascii="Arial" w:cs="Arial" w:eastAsia="Arial" w:hAnsi="Arial"/>
            <w:b/>
            <w:bCs/>
            <w:color w:val="1F3A5F"/>
            <w:sz w:val="20"/>
            <w:szCs w:val="20"/>
            <w:rtl/>
          </w:rPr>
          <w:t xml:space="preserve">8. الاختبارات (تُنقل إلى DOC-B01)</w:t>
        </w:r>
      </w:hyperlink>
    </w:p>
    <w:p>
      <w:pPr>
        <w:bidi/>
        <w:spacing w:after="50" w:before="0"/>
        <w:ind w:left="0"/>
      </w:pPr>
      <w:hyperlink w:history="1" w:anchor="_sec17">
        <w:r>
          <w:rPr>
            <w:rFonts w:ascii="Arial" w:cs="Arial" w:eastAsia="Arial" w:hAnsi="Arial"/>
            <w:b/>
            <w:bCs/>
            <w:color w:val="1F3A5F"/>
            <w:sz w:val="20"/>
            <w:szCs w:val="20"/>
            <w:rtl/>
          </w:rPr>
          <w:t xml:space="preserve">9. القرارات المطلوبة</w:t>
        </w:r>
      </w:hyperlink>
    </w:p>
    <w:p>
      <w:pPr>
        <w:bidi/>
        <w:spacing w:after="50" w:before="0"/>
        <w:ind w:left="0"/>
      </w:pPr>
      <w:hyperlink w:history="1" w:anchor="_sec18">
        <w:r>
          <w:rPr>
            <w:rFonts w:ascii="Arial" w:cs="Arial" w:eastAsia="Arial" w:hAnsi="Arial"/>
            <w:b/>
            <w:bCs/>
            <w:color w:val="1F3A5F"/>
            <w:sz w:val="20"/>
            <w:szCs w:val="20"/>
            <w:rtl/>
          </w:rPr>
          <w:t xml:space="preserve">10. تعارضات وفجوات في المصادر</w:t>
        </w:r>
      </w:hyperlink>
    </w:p>
    <w:p>
      <w:pPr>
        <w:bidi/>
        <w:spacing w:after="50" w:before="0"/>
        <w:ind w:left="0"/>
      </w:pPr>
      <w:hyperlink w:history="1" w:anchor="_sec19">
        <w:r>
          <w:rPr>
            <w:rFonts w:ascii="Arial" w:cs="Arial" w:eastAsia="Arial" w:hAnsi="Arial"/>
            <w:b/>
            <w:bCs/>
            <w:color w:val="1F3A5F"/>
            <w:sz w:val="20"/>
            <w:szCs w:val="20"/>
            <w:rtl/>
          </w:rPr>
          <w:t xml:space="preserve">11.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بدأ بذر المنصة في db/seed/100_platform_global.sql ضمن ترتيب النشر (§4.3)، وهو آمن لإعادة التشغيل وتتحقق منه الخطوة 4b في CI: مفاتيح الإعدادات الأمنية الست، وقائمة المهام (30، ثم 31 بإضافة JOB-PLT-EXPORT في ADR 0008)، والباقة STANDARD بكل الوحدات (DQ-B05-4)، و23 عنوانًا محجوزًا. وأول مشغّل يُنشأ بإجراء التمهيد </w:t>
      </w:r>
      <w:r>
        <w:rPr>
          <w:rFonts w:ascii="Courier New" w:cs="Courier New" w:eastAsia="Courier New" w:hAnsi="Courier New"/>
          <w:b w:val="false"/>
          <w:bCs w:val="false"/>
          <w:color w:val="1F2937"/>
          <w:sz w:val="18"/>
          <w:szCs w:val="18"/>
          <w:shd w:fill="F1F3F5" w:color="auto" w:val="clear"/>
          <w:rtl/>
        </w:rPr>
        <w:t xml:space="preserve">‎plat.usp_BootstrapOperator‎</w:t>
      </w:r>
      <w:r>
        <w:rPr>
          <w:rFonts w:ascii="Arial" w:cs="Arial" w:eastAsia="Arial" w:hAnsi="Arial"/>
          <w:b w:val="false"/>
          <w:bCs w:val="false"/>
          <w:sz w:val="20"/>
          <w:szCs w:val="20"/>
          <w:rtl/>
        </w:rPr>
        <w:t xml:space="preserve"> بدعوة (DQ-B05-7، DQ-F07-3). وبُذرت بعدها (ADR 0005): قوائم الدول والعملات في db/seed/101_iso_reference.sql (249 دولة و157 عملة فعّالة، بإصدار ISO مسجَّل في رأس الملف: iso-codes 4.16.0-1 مع تعديلات ISO 4217 اللاحقة، والأسماء العربية من CLDR، والكسور من وحدات ISO 4217؛ دون العملات الملغاة والمعادن ووحدات الحساب والعملتين ذواتي الخانات الأربع؛ ورمز الاتصال وعطلة الأسبوع لدول الخليج الست فقط، DQ-B05-5)، ورموز الصلاحيات الـ138 في db/seed/102_permissions.sql بأسمائها ووحداتها، خمس منها مقفلة على TM وFO (DQ-F07-1، DQ-F09-1). الملفان مولَّدان (tools/dbgen/gen_iso_seed.py وgen_permission_seed.py)، والخطوة 2 في CI تعيد توليد الصلاحيات من المستندات وتطابقها. وبُذرت أخيرًا (2026-10-13) في db/seed/103_lc_reference.sql: قواعد Incoterms الـ16 (11 نشطة و5 قديمة LEGACY) ومواد UCP 600 الـ39 صفوفَ منصة بحالة UNVERIFIED حتى يتحقق مختص (O-06)، والأسماء العربية ترجمة عمل يؤكدها TRM. فاكتمل البذر العالمي في §4.1 عدا العطل الرسمية التي يدخلها المشغّل. باقٍ: رموز الاتصال لغير الخليج من مصدر ITU، وتأكيد عطلات الخليج (Q-CAT-12، O-25).</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2"/>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ومسار الترحيل بعد النشر الأول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بالدفتر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(ADR 0034، MG1 إلى MG7)</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docs/20-database-design.md:627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طبقات التحميل</w:t>
      </w:r>
      <w:bookmarkEnd w:id="3"/>
    </w:p>
    <w:p>
      <w:pPr>
        <w:keepNext/>
        <w:bidi/>
        <w:spacing w:after="60" w:before="160"/>
        <w:jc w:val="center"/>
      </w:pPr>
      <w:r>
        <w:drawing>
          <wp:inline distT="0" distB="0" distL="0" distR="0">
            <wp:extent cx="46672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67250" cy="8191500"/>
                    </a:xfrm>
                    <a:prstGeom prst="rect">
                      <a:avLst/>
                    </a:prstGeom>
                  </pic:spPr>
                </pic:pic>
              </a:graphicData>
            </a:graphic>
          </wp:inline>
        </w:drawing>
      </w:r>
    </w:p>
    <w:p>
      <w:pPr>
        <w:pStyle w:val="Heading1"/>
        <w:bidi/>
      </w:pPr>
      <w:bookmarkStart w:name="_sec4" w:id="4"/>
      <w:r>
        <w:rPr>
          <w:rFonts w:ascii="Arial" w:cs="Arial" w:eastAsia="Arial" w:hAnsi="Arial"/>
          <w:b/>
          <w:bCs/>
          <w:color w:val="1F3A5F"/>
          <w:sz w:val="32"/>
          <w:szCs w:val="32"/>
          <w:rtl/>
        </w:rPr>
        <w:t xml:space="preserve">4. بذر المنصة (عالمي)</w:t>
      </w:r>
      <w:bookmarkEnd w:id="4"/>
    </w:p>
    <w:p>
      <w:pPr>
        <w:pStyle w:val="Heading2"/>
        <w:bidi/>
      </w:pPr>
      <w:bookmarkStart w:name="_sec5" w:id="5"/>
      <w:r>
        <w:rPr>
          <w:rFonts w:ascii="Arial" w:cs="Arial" w:eastAsia="Arial" w:hAnsi="Arial"/>
          <w:b/>
          <w:bCs/>
          <w:color w:val="2B5C8A"/>
          <w:sz w:val="26"/>
          <w:szCs w:val="26"/>
          <w:rtl/>
        </w:rPr>
        <w:t xml:space="preserve">4.1 الجداول والمحتوى</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db/model/10-platform.model:501-511</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4.2 ما لا يُبذر على مستوى المنصة</w:t>
      </w:r>
      <w:bookmarkEnd w:id="6"/>
    </w:p>
    <w:p>
      <w:pPr>
        <w:pStyle w:val="ListParagraph"/>
        <w:numPr>
          <w:ilvl w:val="0"/>
          <w:numId w:val="3"/>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3"/>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3"/>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2"/>
        <w:bidi/>
      </w:pPr>
      <w:bookmarkStart w:name="_sec7" w:id="7"/>
      <w:r>
        <w:rPr>
          <w:rFonts w:ascii="Arial" w:cs="Arial" w:eastAsia="Arial" w:hAnsi="Arial"/>
          <w:b/>
          <w:bCs/>
          <w:color w:val="2B5C8A"/>
          <w:sz w:val="26"/>
          <w:szCs w:val="26"/>
          <w:rtl/>
        </w:rPr>
        <w:t xml:space="preserve">4.3 الموقع في ترتيب النشر (منفّذ)</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9"/>
        <w:gridCol w:w="3627"/>
        <w:gridCol w:w="1677"/>
        <w:gridCol w:w="3391"/>
      </w:tblGrid>
      <w:tr>
        <w:trPr>
          <w:cantSplit/>
          <w:tblHeader/>
        </w:trPr>
        <w:tc>
          <w:tcPr>
            <w:tcW w:type="dxa" w:w="1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 و101_iso_reference.sql و102_permissions.sql</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w:t>
            </w:r>
          </w:p>
        </w:tc>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db/seed/103_lc_reference.sql</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لـ ref.Incoterm؛ ولصفوف المنصة في ref.UcpArticle مستخدم مؤقت بلا تسجيل دخول عضو في tp_platform، عبر EXECUTE AS، يُحذف في آخر الملف</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4b في tools/ci/db_ci.sh تشغّل الملفات مرة ثانية وتشترط أن يبقى العدد كما هو وألا يُعدَّل صف</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1"/>
        <w:bidi/>
      </w:pPr>
      <w:bookmarkStart w:name="_sec8" w:id="8"/>
      <w:r>
        <w:rPr>
          <w:rFonts w:ascii="Arial" w:cs="Arial" w:eastAsia="Arial" w:hAnsi="Arial"/>
          <w:b/>
          <w:bCs/>
          <w:color w:val="1F3A5F"/>
          <w:sz w:val="32"/>
          <w:szCs w:val="32"/>
          <w:rtl/>
        </w:rPr>
        <w:t xml:space="preserve">5. بذر المشترك عند التهيئة</w:t>
      </w:r>
      <w:bookmarkEnd w:id="8"/>
    </w:p>
    <w:p>
      <w:pPr>
        <w:pStyle w:val="Heading2"/>
        <w:bidi/>
      </w:pPr>
      <w:bookmarkStart w:name="_sec9" w:id="9"/>
      <w:r>
        <w:rPr>
          <w:rFonts w:ascii="Arial" w:cs="Arial" w:eastAsia="Arial" w:hAnsi="Arial"/>
          <w:b/>
          <w:bCs/>
          <w:color w:val="2B5C8A"/>
          <w:sz w:val="26"/>
          <w:szCs w:val="26"/>
          <w:rtl/>
        </w:rPr>
        <w:t xml:space="preserve">5.1 الحزم</w:t>
      </w:r>
      <w:bookmarkEnd w:id="9"/>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6"/>
        <w:gridCol w:w="1900"/>
        <w:gridCol w:w="2172"/>
        <w:gridCol w:w="3736"/>
        <w:gridCol w:w="970"/>
      </w:tblGrid>
      <w:tr>
        <w:trPr>
          <w:cantSplit/>
          <w:tblHeader/>
        </w:trPr>
        <w:tc>
          <w:tcPr>
            <w:tcW w:type="dxa" w:w="1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1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1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3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وRK (مسؤول المخاطر، قرار المالك 35)، بـ IsSystem=1 وSeedKey.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مبنية (2026-10-21، ADR 0035):</w:t>
            </w:r>
            <w:r>
              <w:rPr>
                <w:rFonts w:ascii="Arial" w:cs="Arial" w:eastAsia="Arial" w:hAnsi="Arial"/>
                <w:b w:val="false"/>
                <w:bCs w:val="false"/>
                <w:sz w:val="18"/>
                <w:szCs w:val="18"/>
                <w:rtl/>
              </w:rPr>
              <w:t xml:space="preserve"> تُولَّد من مصفوفات الأدوار (</w:t>
            </w:r>
            <w:r>
              <w:rPr>
                <w:rFonts w:ascii="Courier New" w:cs="Courier New" w:eastAsia="Courier New" w:hAnsi="Courier New"/>
                <w:b w:val="false"/>
                <w:bCs w:val="false"/>
                <w:color w:val="1F2937"/>
                <w:sz w:val="16"/>
                <w:szCs w:val="16"/>
                <w:shd w:fill="F1F3F5" w:color="auto" w:val="clear"/>
                <w:rtl/>
              </w:rPr>
              <w:t xml:space="preserve">‎tools/dbgen/core_roles_pack.py‎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‎db/seed/packs/CORE.ROLES/v1‎</w:t>
            </w:r>
            <w:r>
              <w:rPr>
                <w:rFonts w:ascii="Arial" w:cs="Arial" w:eastAsia="Arial" w:hAnsi="Arial"/>
                <w:b w:val="false"/>
                <w:bCs w:val="false"/>
                <w:sz w:val="18"/>
                <w:szCs w:val="18"/>
                <w:rtl/>
              </w:rPr>
              <w:t xml:space="preserve">، وفيها 393 ربطًا، ويطبّقها في القاعدة </w:t>
            </w:r>
            <w:r>
              <w:rPr>
                <w:rFonts w:ascii="Courier New" w:cs="Courier New" w:eastAsia="Courier New" w:hAnsi="Courier New"/>
                <w:b w:val="false"/>
                <w:bCs w:val="false"/>
                <w:color w:val="1F2937"/>
                <w:sz w:val="16"/>
                <w:szCs w:val="16"/>
                <w:shd w:fill="F1F3F5" w:color="auto" w:val="clear"/>
                <w:rtl/>
              </w:rPr>
              <w:t xml:space="preserve">‎sec.usp_SeedCoreRoles‎</w:t>
            </w:r>
            <w:r>
              <w:rPr>
                <w:rFonts w:ascii="Arial" w:cs="Arial" w:eastAsia="Arial" w:hAnsi="Arial"/>
                <w:b w:val="false"/>
                <w:bCs w:val="false"/>
                <w:sz w:val="18"/>
                <w:szCs w:val="18"/>
                <w:rtl/>
              </w:rPr>
              <w:t xml:space="preserve"> (057) أثناء التهيئة. الاختبارات CR1 إلى CR6</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db/model/10-platform.model:192-203 و218-222</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db/model/10-platform.model:518-530؛ BR-ORG-001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 ويُضاف النوع النظامي </w:t>
            </w:r>
            <w:r>
              <w:rPr>
                <w:rFonts w:ascii="Courier New" w:cs="Courier New" w:eastAsia="Courier New" w:hAnsi="Courier New"/>
                <w:b w:val="false"/>
                <w:bCs w:val="false"/>
                <w:color w:val="1F2937"/>
                <w:sz w:val="16"/>
                <w:szCs w:val="16"/>
                <w:shd w:fill="F1F3F5" w:color="auto" w:val="clear"/>
                <w:rtl/>
              </w:rPr>
              <w:t xml:space="preserve">‎DATA_EXPORT_PACKAGE‎</w:t>
            </w:r>
            <w:r>
              <w:rPr>
                <w:rFonts w:ascii="Arial" w:cs="Arial" w:eastAsia="Arial" w:hAnsi="Arial"/>
                <w:b w:val="false"/>
                <w:bCs w:val="false"/>
                <w:sz w:val="18"/>
                <w:szCs w:val="18"/>
                <w:rtl/>
              </w:rPr>
              <w:t xml:space="preserve"> (عام، حساس، مقفل) لحزم التصدير، فتصير 43 (ADR 0008).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وحزمة نوعٍ حساس تُكتب RESTRICTED ولو خلت من البيانات المقيّدة، كما يشترط 043 لوثائق الأنواع الحساسة (db/static/042_data_export.sql، المراجعة الذاتية A10، X7)</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 الإصدار v1 في </w:t>
            </w:r>
            <w:r>
              <w:rPr>
                <w:rFonts w:ascii="Courier New" w:cs="Courier New" w:eastAsia="Courier New" w:hAnsi="Courier New"/>
                <w:b w:val="false"/>
                <w:bCs w:val="false"/>
                <w:color w:val="1F2937"/>
                <w:sz w:val="16"/>
                <w:szCs w:val="16"/>
                <w:shd w:fill="F1F3F5" w:color="auto" w:val="clear"/>
                <w:rtl/>
              </w:rPr>
              <w:t xml:space="preserve">‎db/seed/packs/NTF.BASE/v1/‎</w:t>
            </w:r>
            <w:r>
              <w:rPr>
                <w:rFonts w:ascii="Arial" w:cs="Arial" w:eastAsia="Arial" w:hAnsi="Arial"/>
                <w:b w:val="false"/>
                <w:bCs w:val="false"/>
                <w:sz w:val="18"/>
                <w:szCs w:val="18"/>
                <w:rtl/>
              </w:rPr>
              <w:t xml:space="preserve"> (2026-10-20، ADR 0028): حدثا الإنذار المبكر وقواعدهما وثمانية قوالب بالعربية والإنجليزية، يفحصها </w:t>
            </w:r>
            <w:r>
              <w:rPr>
                <w:rFonts w:ascii="Courier New" w:cs="Courier New" w:eastAsia="Courier New" w:hAnsi="Courier New"/>
                <w:b w:val="false"/>
                <w:bCs w:val="false"/>
                <w:color w:val="1F2937"/>
                <w:sz w:val="16"/>
                <w:szCs w:val="16"/>
                <w:shd w:fill="F1F3F5" w:color="auto" w:val="clear"/>
                <w:rtl/>
              </w:rPr>
              <w:t xml:space="preserve">‎tools/dbgen/ntf_pack.py‎</w:t>
            </w:r>
            <w:r>
              <w:rPr>
                <w:rFonts w:ascii="Arial" w:cs="Arial" w:eastAsia="Arial" w:hAnsi="Arial"/>
                <w:b w:val="false"/>
                <w:bCs w:val="false"/>
                <w:sz w:val="18"/>
                <w:szCs w:val="18"/>
                <w:rtl/>
              </w:rPr>
              <w:t xml:space="preserve">؛ واعتمدها المالك افتراضًا (القرار 35)، والخزينة تعدّل نصها أو تبقيه؛ والإنذار الأحمر يصل أيضًا حاملي </w:t>
            </w:r>
            <w:r>
              <w:rPr>
                <w:rFonts w:ascii="Courier New" w:cs="Courier New" w:eastAsia="Courier New" w:hAnsi="Courier New"/>
                <w:b w:val="false"/>
                <w:bCs w:val="false"/>
                <w:color w:val="1F2937"/>
                <w:sz w:val="16"/>
                <w:szCs w:val="16"/>
                <w:shd w:fill="F1F3F5" w:color="auto" w:val="clear"/>
                <w:rtl/>
              </w:rPr>
              <w:t xml:space="preserve">‎fin.credit.endorse‎</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FIN.PROVISION</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fin.ReceivableLossRate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خسارة افتراضية لمصفوفة مخصص الذمم: 1 و5 و20 و50%، و10% للحكومي فوق سنة، بحالة مسودة تعتمدها الخزينة؛ في </w:t>
            </w:r>
            <w:r>
              <w:rPr>
                <w:rFonts w:ascii="Courier New" w:cs="Courier New" w:eastAsia="Courier New" w:hAnsi="Courier New"/>
                <w:b w:val="false"/>
                <w:bCs w:val="false"/>
                <w:color w:val="1F2937"/>
                <w:sz w:val="16"/>
                <w:szCs w:val="16"/>
                <w:shd w:fill="F1F3F5" w:color="auto" w:val="clear"/>
                <w:rtl/>
              </w:rPr>
              <w:t xml:space="preserve">‎db/seed/packs/FIN.PROVISION/v1/‎</w:t>
            </w:r>
            <w:r>
              <w:rPr>
                <w:rFonts w:ascii="Arial" w:cs="Arial" w:eastAsia="Arial" w:hAnsi="Arial"/>
                <w:b w:val="false"/>
                <w:bCs w:val="false"/>
                <w:sz w:val="18"/>
                <w:szCs w:val="18"/>
                <w:rtl/>
              </w:rPr>
              <w:t xml:space="preserve"> (ADR 0030)</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35 (D4)</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 يُكتب كل ملف مسودة ثم بنوده ثم يُفعَّل، لأن بنود النسخة الفعّالة لا تتغير (ADR 0006)</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 بندًا</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db/model/14-collateral-obligations-financials.model:383</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2"/>
        <w:bidi/>
      </w:pPr>
      <w:bookmarkStart w:name="_sec10" w:id="10"/>
      <w:r>
        <w:rPr>
          <w:rFonts w:ascii="Arial" w:cs="Arial" w:eastAsia="Arial" w:hAnsi="Arial"/>
          <w:b/>
          <w:bCs/>
          <w:color w:val="2B5C8A"/>
          <w:sz w:val="26"/>
          <w:szCs w:val="26"/>
          <w:rtl/>
        </w:rPr>
        <w:t xml:space="preserve">5.2 مصادر القوائم ومالكوها</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1"/>
        <w:bidi/>
      </w:pPr>
      <w:bookmarkStart w:name="_sec11" w:id="11"/>
      <w:r>
        <w:rPr>
          <w:rFonts w:ascii="Arial" w:cs="Arial" w:eastAsia="Arial" w:hAnsi="Arial"/>
          <w:b/>
          <w:bCs/>
          <w:color w:val="1F3A5F"/>
          <w:sz w:val="32"/>
          <w:szCs w:val="32"/>
          <w:rtl/>
        </w:rPr>
        <w:t xml:space="preserve">6. قواعد التكرار الآمن والإصدار</w:t>
      </w:r>
      <w:bookmarkEnd w:id="11"/>
    </w:p>
    <w:p>
      <w:pPr>
        <w:pStyle w:val="ListParagraph"/>
        <w:numPr>
          <w:ilvl w:val="0"/>
          <w:numId w:val="4"/>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4"/>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4"/>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4"/>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4"/>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4"/>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4"/>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4"/>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1"/>
        <w:bidi/>
      </w:pPr>
      <w:bookmarkStart w:name="_sec12" w:id="12"/>
      <w:r>
        <w:rPr>
          <w:rFonts w:ascii="Arial" w:cs="Arial" w:eastAsia="Arial" w:hAnsi="Arial"/>
          <w:b/>
          <w:bCs/>
          <w:color w:val="1F3A5F"/>
          <w:sz w:val="32"/>
          <w:szCs w:val="32"/>
          <w:rtl/>
        </w:rPr>
        <w:t xml:space="preserve">7. الترحيل الأولي من Excel</w:t>
      </w:r>
      <w:bookmarkEnd w:id="12"/>
    </w:p>
    <w:p>
      <w:pPr>
        <w:pStyle w:val="Heading2"/>
        <w:bidi/>
      </w:pPr>
      <w:bookmarkStart w:name="_sec13" w:id="13"/>
      <w:r>
        <w:rPr>
          <w:rFonts w:ascii="Arial" w:cs="Arial" w:eastAsia="Arial" w:hAnsi="Arial"/>
          <w:b/>
          <w:bCs/>
          <w:color w:val="2B5C8A"/>
          <w:sz w:val="26"/>
          <w:szCs w:val="26"/>
          <w:rtl/>
        </w:rPr>
        <w:t xml:space="preserve">7.1 القوالب</w:t>
      </w:r>
      <w:bookmarkEnd w:id="13"/>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ErpCompanyCode (الرقم الضريبي في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DR-25)</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ممنوع دائمًا (BR-ORG-001، قرار المالك 2026-10-13)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7.2 ترتيب التحميل</w:t>
      </w:r>
      <w:bookmarkEnd w:id="14"/>
    </w:p>
    <w:p>
      <w:pPr>
        <w:keepNext/>
        <w:bidi/>
        <w:spacing w:after="60" w:before="160"/>
        <w:jc w:val="center"/>
      </w:pPr>
      <w:r>
        <w:drawing>
          <wp:inline distT="0" distB="0" distL="0" distR="0">
            <wp:extent cx="6096000" cy="14478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3"/>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3"/>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5" w:id="15"/>
      <w:r>
        <w:rPr>
          <w:rFonts w:ascii="Arial" w:cs="Arial" w:eastAsia="Arial" w:hAnsi="Arial"/>
          <w:b/>
          <w:bCs/>
          <w:color w:val="2B5C8A"/>
          <w:sz w:val="26"/>
          <w:szCs w:val="26"/>
          <w:rtl/>
        </w:rPr>
        <w:t xml:space="preserve">7.3 التشغيل التجريبي والتحقق والرفض </w:t>
      </w:r>
      <w:r>
        <w:rPr>
          <w:rFonts w:ascii="Arial" w:cs="Arial" w:eastAsia="Arial" w:hAnsi="Arial"/>
          <w:color w:val="E0A800"/>
          <w:sz w:val="26"/>
          <w:szCs w:val="26"/>
          <w:rtl/>
        </w:rPr>
        <w:t xml:space="preserve">●</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8. الاختبارات (تُنقل إلى DOC-B01)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9. القرارات المطلوبة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313"/>
        <w:gridCol w:w="3898"/>
        <w:gridCol w:w="1096"/>
        <w:gridCol w:w="1461"/>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باقة واحدة STANDARD بكل الوحدات وبلا حدود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كاملة بعلم IsActive، وإصدار ISO مسجَّل</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متطلبات استيراد للشركات (10) وللمنشآت والعلاقات والحسابات (11) بأولوية Should في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(2026-10-21، ADR 0034): </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بسكربتات مرقّمة في </w:t>
            </w:r>
            <w:r>
              <w:rPr>
                <w:rFonts w:ascii="Courier New" w:cs="Courier New" w:eastAsia="Courier New" w:hAnsi="Courier New"/>
                <w:b w:val="false"/>
                <w:bCs w:val="false"/>
                <w:color w:val="1F2937"/>
                <w:sz w:val="16"/>
                <w:szCs w:val="16"/>
                <w:shd w:fill="F1F3F5" w:color="auto" w:val="clear"/>
                <w:rtl/>
              </w:rPr>
              <w:t xml:space="preserve">‎db/migrations‎</w:t>
            </w:r>
            <w:r>
              <w:rPr>
                <w:rFonts w:ascii="Arial" w:cs="Arial" w:eastAsia="Arial" w:hAnsi="Arial"/>
                <w:b w:val="false"/>
                <w:bCs w:val="false"/>
                <w:sz w:val="18"/>
                <w:szCs w:val="18"/>
                <w:rtl/>
              </w:rPr>
              <w:t xml:space="preserve"> والدفتر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وتختبره MG1 إلى MG7 (docs/20-database-design.md:627)</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حزمة واحدة للسعودية والخليج</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TA وTM وFO وTE وFA وRQ وAU كما في 12-m5…:46، وتُثبَّت في 10 §2؛ وأضاف المالك RK مسؤول المخاطر في 2026-10-20 (القرار 35)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10. تعارضات وفجوات في المصادر</w:t>
      </w:r>
      <w:bookmarkEnd w:id="18"/>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 </w:t>
      </w:r>
      <w:r>
        <w:rPr>
          <w:rFonts w:ascii="Arial" w:cs="Arial" w:eastAsia="Arial" w:hAnsi="Arial"/>
          <w:b/>
          <w:bCs/>
          <w:sz w:val="21"/>
          <w:szCs w:val="21"/>
          <w:rtl/>
        </w:rPr>
        <w:t xml:space="preserve">محلول (2026-10-13):</w:t>
      </w:r>
      <w:r>
        <w:rPr>
          <w:rFonts w:ascii="Arial" w:cs="Arial" w:eastAsia="Arial" w:hAnsi="Arial"/>
          <w:b w:val="false"/>
          <w:bCs w:val="false"/>
          <w:sz w:val="21"/>
          <w:szCs w:val="21"/>
          <w:rtl/>
        </w:rPr>
        <w:t xml:space="preserve"> صُحّحت وثيقة التصميم §13 لتتبع النموذج، فهما في الحزمتين NTF.BASE وLC.BASE (§5.1).</w:t>
      </w:r>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5"/>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5"/>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5"/>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5"/>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5"/>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1"/>
        <w:bidi/>
      </w:pPr>
      <w:bookmarkStart w:name="_sec19" w:id="19"/>
      <w:r>
        <w:rPr>
          <w:rFonts w:ascii="Arial" w:cs="Arial" w:eastAsia="Arial" w:hAnsi="Arial"/>
          <w:b/>
          <w:bCs/>
          <w:color w:val="1F3A5F"/>
          <w:sz w:val="32"/>
          <w:szCs w:val="32"/>
          <w:rtl/>
        </w:rPr>
        <w:t xml:space="preserve">11. التتبع</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DOC-B05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8bf5da570103e2a49ffd1ddde6012c6605c810.png"/><Relationship Id="rId10" Type="http://schemas.openxmlformats.org/officeDocument/2006/relationships/image" Target="media/13650de25d68807e07cd0c0701015690c390dc4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DOC-B05 — خطة البذر والترحيل الأولي</dc:title>
  <dc:creator>Claude</dc:creator>
  <dc:description>BankFas database design document</dc:description>
  <cp:lastModifiedBy>Un-named</cp:lastModifiedBy>
  <cp:revision>1</cp:revision>
  <dcterms:created xsi:type="dcterms:W3CDTF">2026-10-21T16:20:33.956Z</dcterms:created>
  <dcterms:modified xsi:type="dcterms:W3CDTF">2026-10-21T16:20:33.956Z</dcterms:modified>
</cp:coreProperties>
</file>

<file path=docProps/custom.xml><?xml version="1.0" encoding="utf-8"?>
<Properties xmlns="http://schemas.openxmlformats.org/officeDocument/2006/custom-properties" xmlns:vt="http://schemas.openxmlformats.org/officeDocument/2006/docPropsVTypes"/>
</file>