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DOC-F16 — مخططات حالات كيانات الاعتماد التابعة (التعديل والسحب والمبيعات والمخالفات والبروفورما)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جرد تعدادات الحالة</w:t>
        </w:r>
      </w:hyperlink>
    </w:p>
    <w:p>
      <w:pPr>
        <w:bidi/>
        <w:spacing w:after="50" w:before="0"/>
        <w:ind w:left="0"/>
      </w:pPr>
      <w:hyperlink w:history="1" w:anchor="_sec3">
        <w:r>
          <w:rPr>
            <w:rFonts w:ascii="Arial" w:cs="Arial" w:eastAsia="Arial" w:hAnsi="Arial"/>
            <w:b/>
            <w:bCs/>
            <w:color w:val="1F3A5F"/>
            <w:sz w:val="20"/>
            <w:szCs w:val="20"/>
            <w:rtl/>
          </w:rPr>
          <w:t xml:space="preserve">3. اصطلاحات الجداول</w:t>
        </w:r>
      </w:hyperlink>
    </w:p>
    <w:p>
      <w:pPr>
        <w:bidi/>
        <w:spacing w:after="50" w:before="0"/>
        <w:ind w:left="0"/>
      </w:pPr>
      <w:hyperlink w:history="1" w:anchor="_sec4">
        <w:r>
          <w:rPr>
            <w:rFonts w:ascii="Arial" w:cs="Arial" w:eastAsia="Arial" w:hAnsi="Arial"/>
            <w:b/>
            <w:bCs/>
            <w:color w:val="1F3A5F"/>
            <w:sz w:val="20"/>
            <w:szCs w:val="20"/>
            <w:rtl/>
          </w:rPr>
          <w:t xml:space="preserve">4. شروط الاعتماد LcTerms</w:t>
        </w:r>
      </w:hyperlink>
    </w:p>
    <w:p>
      <w:pPr>
        <w:bidi/>
        <w:spacing w:after="50" w:before="0"/>
        <w:ind w:left="0"/>
      </w:pPr>
      <w:hyperlink w:history="1" w:anchor="_sec5">
        <w:r>
          <w:rPr>
            <w:rFonts w:ascii="Arial" w:cs="Arial" w:eastAsia="Arial" w:hAnsi="Arial"/>
            <w:b/>
            <w:bCs/>
            <w:color w:val="1F3A5F"/>
            <w:sz w:val="20"/>
            <w:szCs w:val="20"/>
            <w:rtl/>
          </w:rPr>
          <w:t xml:space="preserve">5. تعديل الاعتماد LcAmendment</w:t>
        </w:r>
      </w:hyperlink>
    </w:p>
    <w:p>
      <w:pPr>
        <w:bidi/>
        <w:spacing w:after="50" w:before="0"/>
        <w:ind w:left="0"/>
      </w:pPr>
      <w:hyperlink w:history="1" w:anchor="_sec6">
        <w:r>
          <w:rPr>
            <w:rFonts w:ascii="Arial" w:cs="Arial" w:eastAsia="Arial" w:hAnsi="Arial"/>
            <w:b/>
            <w:bCs/>
            <w:color w:val="1F3A5F"/>
            <w:sz w:val="20"/>
            <w:szCs w:val="20"/>
            <w:rtl/>
          </w:rPr>
          <w:t xml:space="preserve">6. السحب وتقديم المستندات LcDrawing</w:t>
        </w:r>
      </w:hyperlink>
    </w:p>
    <w:p>
      <w:pPr>
        <w:bidi/>
        <w:spacing w:after="50" w:before="0"/>
        <w:ind w:left="0"/>
      </w:pPr>
      <w:hyperlink w:history="1" w:anchor="_sec7">
        <w:r>
          <w:rPr>
            <w:rFonts w:ascii="Arial" w:cs="Arial" w:eastAsia="Arial" w:hAnsi="Arial"/>
            <w:b/>
            <w:bCs/>
            <w:color w:val="1F3A5F"/>
            <w:sz w:val="20"/>
            <w:szCs w:val="20"/>
            <w:rtl/>
          </w:rPr>
          <w:t xml:space="preserve">7. المخالفات LcDiscrepancy</w:t>
        </w:r>
      </w:hyperlink>
    </w:p>
    <w:p>
      <w:pPr>
        <w:bidi/>
        <w:spacing w:after="50" w:before="0"/>
        <w:ind w:left="0"/>
      </w:pPr>
      <w:hyperlink w:history="1" w:anchor="_sec8">
        <w:r>
          <w:rPr>
            <w:rFonts w:ascii="Arial" w:cs="Arial" w:eastAsia="Arial" w:hAnsi="Arial"/>
            <w:b/>
            <w:bCs/>
            <w:color w:val="1F3A5F"/>
            <w:sz w:val="20"/>
            <w:szCs w:val="20"/>
            <w:rtl/>
          </w:rPr>
          <w:t xml:space="preserve">8. اعتماد المبيعات المستلَم</w:t>
        </w:r>
      </w:hyperlink>
    </w:p>
    <w:p>
      <w:pPr>
        <w:bidi/>
        <w:spacing w:after="50" w:before="0"/>
        <w:ind w:left="0"/>
      </w:pPr>
      <w:hyperlink w:history="1" w:anchor="_sec9">
        <w:r>
          <w:rPr>
            <w:rFonts w:ascii="Arial" w:cs="Arial" w:eastAsia="Arial" w:hAnsi="Arial"/>
            <w:b/>
            <w:bCs/>
            <w:color w:val="1F3A5F"/>
            <w:sz w:val="20"/>
            <w:szCs w:val="20"/>
            <w:rtl/>
          </w:rPr>
          <w:t xml:space="preserve">9. أمر البيع LcSalesOrder</w:t>
        </w:r>
      </w:hyperlink>
    </w:p>
    <w:p>
      <w:pPr>
        <w:bidi/>
        <w:spacing w:after="50" w:before="0"/>
        <w:ind w:left="0"/>
      </w:pPr>
      <w:hyperlink w:history="1" w:anchor="_sec10">
        <w:r>
          <w:rPr>
            <w:rFonts w:ascii="Arial" w:cs="Arial" w:eastAsia="Arial" w:hAnsi="Arial"/>
            <w:b/>
            <w:bCs/>
            <w:color w:val="1F3A5F"/>
            <w:sz w:val="20"/>
            <w:szCs w:val="20"/>
            <w:rtl/>
          </w:rPr>
          <w:t xml:space="preserve">10. التحصيل: طلب مستندات التحصيل</w:t>
        </w:r>
      </w:hyperlink>
    </w:p>
    <w:p>
      <w:pPr>
        <w:bidi/>
        <w:spacing w:after="50" w:before="0"/>
        <w:ind w:left="0"/>
      </w:pPr>
      <w:hyperlink w:history="1" w:anchor="_sec11">
        <w:r>
          <w:rPr>
            <w:rFonts w:ascii="Arial" w:cs="Arial" w:eastAsia="Arial" w:hAnsi="Arial"/>
            <w:b/>
            <w:bCs/>
            <w:color w:val="1F3A5F"/>
            <w:sz w:val="20"/>
            <w:szCs w:val="20"/>
            <w:rtl/>
          </w:rPr>
          <w:t xml:space="preserve">11. البروفورما ProformaInvoice</w:t>
        </w:r>
      </w:hyperlink>
    </w:p>
    <w:p>
      <w:pPr>
        <w:bidi/>
        <w:spacing w:after="50" w:before="0"/>
        <w:ind w:left="0"/>
      </w:pPr>
      <w:hyperlink w:history="1" w:anchor="_sec12">
        <w:r>
          <w:rPr>
            <w:rFonts w:ascii="Arial" w:cs="Arial" w:eastAsia="Arial" w:hAnsi="Arial"/>
            <w:b/>
            <w:bCs/>
            <w:color w:val="1F3A5F"/>
            <w:sz w:val="20"/>
            <w:szCs w:val="20"/>
            <w:rtl/>
          </w:rPr>
          <w:t xml:space="preserve">12. المقارنة والكتالوجات</w:t>
        </w:r>
      </w:hyperlink>
    </w:p>
    <w:p>
      <w:pPr>
        <w:bidi/>
        <w:spacing w:after="50" w:before="0"/>
        <w:ind w:left="0"/>
      </w:pPr>
      <w:hyperlink w:history="1" w:anchor="_sec15">
        <w:r>
          <w:rPr>
            <w:rFonts w:ascii="Arial" w:cs="Arial" w:eastAsia="Arial" w:hAnsi="Arial"/>
            <w:b/>
            <w:bCs/>
            <w:color w:val="1F3A5F"/>
            <w:sz w:val="20"/>
            <w:szCs w:val="20"/>
            <w:rtl/>
          </w:rPr>
          <w:t xml:space="preserve">13. عدم التطابق بين المواصفة والنموذج</w:t>
        </w:r>
      </w:hyperlink>
    </w:p>
    <w:p>
      <w:pPr>
        <w:bidi/>
        <w:spacing w:after="50" w:before="0"/>
        <w:ind w:left="0"/>
      </w:pPr>
      <w:hyperlink w:history="1" w:anchor="_sec16">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16.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1"/>
        <w:bidi/>
      </w:pPr>
      <w:bookmarkStart w:name="_sec2" w:id="2"/>
      <w:r>
        <w:rPr>
          <w:rFonts w:ascii="Arial" w:cs="Arial" w:eastAsia="Arial" w:hAnsi="Arial"/>
          <w:b/>
          <w:bCs/>
          <w:color w:val="1F3A5F"/>
          <w:sz w:val="32"/>
          <w:szCs w:val="32"/>
          <w:rtl/>
        </w:rPr>
        <w:t xml:space="preserve">2. جرد تعدادات الحالة</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1"/>
        <w:bidi/>
      </w:pPr>
      <w:bookmarkStart w:name="_sec3" w:id="3"/>
      <w:r>
        <w:rPr>
          <w:rFonts w:ascii="Arial" w:cs="Arial" w:eastAsia="Arial" w:hAnsi="Arial"/>
          <w:b/>
          <w:bCs/>
          <w:color w:val="1F3A5F"/>
          <w:sz w:val="32"/>
          <w:szCs w:val="32"/>
          <w:rtl/>
        </w:rPr>
        <w:t xml:space="preserve">3. اصطلاحات الجداول</w:t>
      </w:r>
      <w:bookmarkEnd w:id="3"/>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1"/>
        <w:bidi/>
      </w:pPr>
      <w:bookmarkStart w:name="_sec4" w:id="4"/>
      <w:r>
        <w:rPr>
          <w:rFonts w:ascii="Arial" w:cs="Arial" w:eastAsia="Arial" w:hAnsi="Arial"/>
          <w:b/>
          <w:bCs/>
          <w:color w:val="1F3A5F"/>
          <w:sz w:val="32"/>
          <w:szCs w:val="32"/>
          <w:rtl/>
        </w:rPr>
        <w:t xml:space="preserve">4. شروط الاعتماد LcTerms</w:t>
      </w:r>
      <w:bookmarkEnd w:id="4"/>
    </w:p>
    <w:p>
      <w:pPr>
        <w:keepNext/>
        <w:bidi/>
        <w:spacing w:after="60" w:before="160"/>
        <w:jc w:val="center"/>
      </w:pPr>
      <w:r>
        <w:drawing>
          <wp:inline distT="0" distB="0" distL="0" distR="0">
            <wp:extent cx="6096000" cy="768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1"/>
        <w:bidi/>
      </w:pPr>
      <w:bookmarkStart w:name="_sec5" w:id="5"/>
      <w:r>
        <w:rPr>
          <w:rFonts w:ascii="Arial" w:cs="Arial" w:eastAsia="Arial" w:hAnsi="Arial"/>
          <w:b/>
          <w:bCs/>
          <w:color w:val="1F3A5F"/>
          <w:sz w:val="32"/>
          <w:szCs w:val="32"/>
          <w:rtl/>
        </w:rPr>
        <w:t xml:space="preserve">5. تعديل الاعتماد LcAmendment</w:t>
      </w:r>
      <w:bookmarkEnd w:id="5"/>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1"/>
        <w:bidi/>
      </w:pPr>
      <w:bookmarkStart w:name="_sec6" w:id="6"/>
      <w:r>
        <w:rPr>
          <w:rFonts w:ascii="Arial" w:cs="Arial" w:eastAsia="Arial" w:hAnsi="Arial"/>
          <w:b/>
          <w:bCs/>
          <w:color w:val="1F3A5F"/>
          <w:sz w:val="32"/>
          <w:szCs w:val="32"/>
          <w:rtl/>
        </w:rPr>
        <w:t xml:space="preserve">6. السحب وتقديم المستندات LcDrawing</w:t>
      </w:r>
      <w:bookmarkEnd w:id="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1"/>
        <w:bidi/>
      </w:pPr>
      <w:bookmarkStart w:name="_sec7" w:id="7"/>
      <w:r>
        <w:rPr>
          <w:rFonts w:ascii="Arial" w:cs="Arial" w:eastAsia="Arial" w:hAnsi="Arial"/>
          <w:b/>
          <w:bCs/>
          <w:color w:val="1F3A5F"/>
          <w:sz w:val="32"/>
          <w:szCs w:val="32"/>
          <w:rtl/>
        </w:rPr>
        <w:t xml:space="preserve">7. المخالفات LcDiscrepancy</w:t>
      </w:r>
      <w:bookmarkEnd w:id="7"/>
    </w:p>
    <w:p>
      <w:pPr>
        <w:keepNext/>
        <w:bidi/>
        <w:spacing w:after="60" w:before="160"/>
        <w:jc w:val="center"/>
      </w:pPr>
      <w:r>
        <w:drawing>
          <wp:inline distT="0" distB="0" distL="0" distR="0">
            <wp:extent cx="6096000" cy="385762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1"/>
        <w:bidi/>
      </w:pPr>
      <w:bookmarkStart w:name="_sec8" w:id="8"/>
      <w:r>
        <w:rPr>
          <w:rFonts w:ascii="Arial" w:cs="Arial" w:eastAsia="Arial" w:hAnsi="Arial"/>
          <w:b/>
          <w:bCs/>
          <w:color w:val="1F3A5F"/>
          <w:sz w:val="32"/>
          <w:szCs w:val="32"/>
          <w:rtl/>
        </w:rPr>
        <w:t xml:space="preserve">8. اعتماد المبيعات المستلَم</w:t>
      </w:r>
      <w:bookmarkEnd w:id="8"/>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1"/>
        <w:bidi/>
      </w:pPr>
      <w:bookmarkStart w:name="_sec9" w:id="9"/>
      <w:r>
        <w:rPr>
          <w:rFonts w:ascii="Arial" w:cs="Arial" w:eastAsia="Arial" w:hAnsi="Arial"/>
          <w:b/>
          <w:bCs/>
          <w:color w:val="1F3A5F"/>
          <w:sz w:val="32"/>
          <w:szCs w:val="32"/>
          <w:rtl/>
        </w:rPr>
        <w:t xml:space="preserve">9. أمر البيع LcSalesOrder</w:t>
      </w:r>
      <w:bookmarkEnd w:id="9"/>
    </w:p>
    <w:p>
      <w:pPr>
        <w:keepNext/>
        <w:bidi/>
        <w:spacing w:after="60" w:before="160"/>
        <w:jc w:val="center"/>
      </w:pPr>
      <w:r>
        <w:drawing>
          <wp:inline distT="0" distB="0" distL="0" distR="0">
            <wp:extent cx="6096000" cy="32099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1"/>
        <w:bidi/>
      </w:pPr>
      <w:bookmarkStart w:name="_sec10" w:id="10"/>
      <w:r>
        <w:rPr>
          <w:rFonts w:ascii="Arial" w:cs="Arial" w:eastAsia="Arial" w:hAnsi="Arial"/>
          <w:b/>
          <w:bCs/>
          <w:color w:val="1F3A5F"/>
          <w:sz w:val="32"/>
          <w:szCs w:val="32"/>
          <w:rtl/>
        </w:rPr>
        <w:t xml:space="preserve">10. التحصيل: طلب مستندات التحصيل</w:t>
      </w:r>
      <w:bookmarkEnd w:id="10"/>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1"/>
        <w:bidi/>
      </w:pPr>
      <w:bookmarkStart w:name="_sec11" w:id="11"/>
      <w:r>
        <w:rPr>
          <w:rFonts w:ascii="Arial" w:cs="Arial" w:eastAsia="Arial" w:hAnsi="Arial"/>
          <w:b/>
          <w:bCs/>
          <w:color w:val="1F3A5F"/>
          <w:sz w:val="32"/>
          <w:szCs w:val="32"/>
          <w:rtl/>
        </w:rPr>
        <w:t xml:space="preserve">11. البروفورما ProformaInvoice</w:t>
      </w:r>
      <w:bookmarkEnd w:id="1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1"/>
        <w:bidi/>
      </w:pPr>
      <w:bookmarkStart w:name="_sec12" w:id="12"/>
      <w:r>
        <w:rPr>
          <w:rFonts w:ascii="Arial" w:cs="Arial" w:eastAsia="Arial" w:hAnsi="Arial"/>
          <w:b/>
          <w:bCs/>
          <w:color w:val="1F3A5F"/>
          <w:sz w:val="32"/>
          <w:szCs w:val="32"/>
          <w:rtl/>
        </w:rPr>
        <w:t xml:space="preserve">12. المقارنة والكتالوجات</w:t>
      </w:r>
      <w:bookmarkEnd w:id="12"/>
    </w:p>
    <w:p>
      <w:pPr>
        <w:pStyle w:val="Heading2"/>
        <w:bidi/>
      </w:pPr>
      <w:bookmarkStart w:name="_sec13" w:id="13"/>
      <w:r>
        <w:rPr>
          <w:rFonts w:ascii="Arial" w:cs="Arial" w:eastAsia="Arial" w:hAnsi="Arial"/>
          <w:b/>
          <w:bCs/>
          <w:color w:val="2B5C8A"/>
          <w:sz w:val="26"/>
          <w:szCs w:val="26"/>
          <w:rtl/>
        </w:rPr>
        <w:t xml:space="preserve">12.1 مقارنة الشروط LcTermsComparison</w:t>
      </w:r>
      <w:bookmarkEnd w:id="13"/>
    </w:p>
    <w:p>
      <w:pPr>
        <w:keepNext/>
        <w:bidi/>
        <w:spacing w:after="60" w:before="160"/>
        <w:jc w:val="center"/>
      </w:pPr>
      <w:r>
        <w:drawing>
          <wp:inline distT="0" distB="0" distL="0" distR="0">
            <wp:extent cx="6096000" cy="7724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2"/>
        <w:bidi/>
      </w:pPr>
      <w:bookmarkStart w:name="_sec14" w:id="14"/>
      <w:r>
        <w:rPr>
          <w:rFonts w:ascii="Arial" w:cs="Arial" w:eastAsia="Arial" w:hAnsi="Arial"/>
          <w:b/>
          <w:bCs/>
          <w:color w:val="2B5C8A"/>
          <w:sz w:val="26"/>
          <w:szCs w:val="26"/>
          <w:rtl/>
        </w:rPr>
        <w:t xml:space="preserve">12.2 الكتالوجات</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13. عدم التطابق بين المواصفة والنموذج</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14.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15. تعارضات وفجوات في المصادر</w:t>
      </w:r>
      <w:bookmarkEnd w:id="17"/>
    </w:p>
    <w:p>
      <w:pPr>
        <w:pStyle w:val="ListParagraph"/>
        <w:numPr>
          <w:ilvl w:val="0"/>
          <w:numId w:val="3"/>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3"/>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3"/>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3"/>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3"/>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3"/>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3"/>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3"/>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3"/>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3"/>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1"/>
        <w:bidi/>
      </w:pPr>
      <w:bookmarkStart w:name="_sec18" w:id="18"/>
      <w:r>
        <w:rPr>
          <w:rFonts w:ascii="Arial" w:cs="Arial" w:eastAsia="Arial" w:hAnsi="Arial"/>
          <w:b/>
          <w:bCs/>
          <w:color w:val="1F3A5F"/>
          <w:sz w:val="32"/>
          <w:szCs w:val="32"/>
          <w:rtl/>
        </w:rPr>
        <w:t xml:space="preserve">16.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c796a5d1c0cb43d2be37deb4d1067474a26903.png"/><Relationship Id="rId10" Type="http://schemas.openxmlformats.org/officeDocument/2006/relationships/image" Target="media/862a78f88e10f603800c2017c6b715f2314563d2.png"/><Relationship Id="rId11" Type="http://schemas.openxmlformats.org/officeDocument/2006/relationships/image" Target="media/1be145784e6c151420819862bf446b8ed1baee49.png"/><Relationship Id="rId12" Type="http://schemas.openxmlformats.org/officeDocument/2006/relationships/image" Target="media/50ba7a938a5f7b36a5d394533b27a217557c115a.png"/><Relationship Id="rId13" Type="http://schemas.openxmlformats.org/officeDocument/2006/relationships/image" Target="media/9218b6cd21b8c4cae7917842a240c26f01d17f48.png"/><Relationship Id="rId14" Type="http://schemas.openxmlformats.org/officeDocument/2006/relationships/image" Target="media/4e2d0a1557536d08fcf38141fb999aedc990f8de.png"/><Relationship Id="rId15" Type="http://schemas.openxmlformats.org/officeDocument/2006/relationships/image" Target="media/08b0afc27427901dd50dfe6b4867d4849a477426.png"/><Relationship Id="rId16" Type="http://schemas.openxmlformats.org/officeDocument/2006/relationships/image" Target="media/13984bf0476e8bc3e88e32cf2707aee4af3bb320.png"/><Relationship Id="rId17" Type="http://schemas.openxmlformats.org/officeDocument/2006/relationships/image" Target="media/e6d2d0996c694b9294bb10e9f89609189143a0e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DOC-F16 — مخططات حالات كيانات الاعتماد التابعة (التعديل والسحب والمبيعات والمخالفات والبروفورما)</dc:title>
  <dc:creator>Claude</dc:creator>
  <dc:description>BankFas database design document</dc:description>
  <cp:lastModifiedBy>Un-named</cp:lastModifiedBy>
  <cp:revision>1</cp:revision>
  <dcterms:created xsi:type="dcterms:W3CDTF">2026-10-21T16:26:36.184Z</dcterms:created>
  <dcterms:modified xsi:type="dcterms:W3CDTF">2026-10-21T16:26:36.185Z</dcterms:modified>
</cp:coreProperties>
</file>

<file path=docProps/custom.xml><?xml version="1.0" encoding="utf-8"?>
<Properties xmlns="http://schemas.openxmlformats.org/officeDocument/2006/custom-properties" xmlns:vt="http://schemas.openxmlformats.org/officeDocument/2006/docPropsVTypes"/>
</file>