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DOC-S07 — تقييم أثر الخصوصية وحماية البيانات الشخصية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77"/>
        <w:gridCol w:w="8687"/>
      </w:tblGrid>
      <w:tr>
        <w:trPr>
          <w:cantSplit/>
          <w:tblHeader/>
        </w:trPr>
        <w:tc>
          <w:tcPr>
            <w:tcW w:type="dxa" w:w="11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6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DOC-S07 (docs/30-readiness-documents.md)</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حماية البيانات (DPO) مع مستشار قانوني ومالك المنتج</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 (وقبل تحميل أي بيانات شخصية حقيقية)</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X-AUD-3، X-AUD-4، BR-PLT-016، BR-PLT-002، BR-PTY-019، FR-PLT-039، FR-PLT-040، FR-PTY-028، FR-PTY-029، Q-PLT-03، Q-PLT-04، O-23 (erd_open_items)</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DOC-S06 (التصنيف)، DOC-S02 (التشفير)، DOC-S09 (النسخ)، DOC-F02 (تدفقات البيانات الحساسة)، DOC-S15 (إخطار الخرق، P2 لم يُكتب بعد)</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docs/30-readiness-documents.md:258-264 · docs/10-detailed-analysis/10-m0-m1-platform-organization.md §4 و§5 و§12 و§14 · docs/10-detailed-analysis/00-overview-and-cross-cutting.md §6.2 و§10.4 · docs/01-preliminary-analysis.md · docs/04-facility-agreements-analysis.md:246-254 · docs/05-kyc-forms-analysis.md:73 · db/model/10-platform.model · db/model/11-organization-party.model · db/static/030_session_context.sql</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الأدوار</w:t>
        </w:r>
      </w:hyperlink>
    </w:p>
    <w:p>
      <w:pPr>
        <w:bidi/>
        <w:spacing w:after="50" w:before="0"/>
        <w:ind w:left="0"/>
      </w:pPr>
      <w:hyperlink w:history="1" w:anchor="_sec3">
        <w:r>
          <w:rPr>
            <w:rFonts w:ascii="Arial" w:cs="Arial" w:eastAsia="Arial" w:hAnsi="Arial"/>
            <w:b/>
            <w:bCs/>
            <w:color w:val="1F3A5F"/>
            <w:sz w:val="20"/>
            <w:szCs w:val="20"/>
            <w:rtl/>
          </w:rPr>
          <w:t xml:space="preserve">3. أصحاب البيانات</w:t>
        </w:r>
      </w:hyperlink>
    </w:p>
    <w:p>
      <w:pPr>
        <w:bidi/>
        <w:spacing w:after="50" w:before="0"/>
        <w:ind w:left="0"/>
      </w:pPr>
      <w:hyperlink w:history="1" w:anchor="_sec4">
        <w:r>
          <w:rPr>
            <w:rFonts w:ascii="Arial" w:cs="Arial" w:eastAsia="Arial" w:hAnsi="Arial"/>
            <w:b/>
            <w:bCs/>
            <w:color w:val="1F3A5F"/>
            <w:sz w:val="20"/>
            <w:szCs w:val="20"/>
            <w:rtl/>
          </w:rPr>
          <w:t xml:space="preserve">4. جرد البيانات الشخصية</w:t>
        </w:r>
      </w:hyperlink>
    </w:p>
    <w:p>
      <w:pPr>
        <w:bidi/>
        <w:spacing w:after="50" w:before="0"/>
        <w:ind w:left="0"/>
      </w:pPr>
      <w:hyperlink w:history="1" w:anchor="_sec5">
        <w:r>
          <w:rPr>
            <w:rFonts w:ascii="Arial" w:cs="Arial" w:eastAsia="Arial" w:hAnsi="Arial"/>
            <w:b/>
            <w:bCs/>
            <w:color w:val="1F3A5F"/>
            <w:sz w:val="20"/>
            <w:szCs w:val="20"/>
            <w:rtl/>
          </w:rPr>
          <w:t xml:space="preserve">5. الغرض والأساس النظامي</w:t>
        </w:r>
      </w:hyperlink>
    </w:p>
    <w:p>
      <w:pPr>
        <w:bidi/>
        <w:spacing w:after="50" w:before="0"/>
        <w:ind w:left="0"/>
      </w:pPr>
      <w:hyperlink w:history="1" w:anchor="_sec6">
        <w:r>
          <w:rPr>
            <w:rFonts w:ascii="Arial" w:cs="Arial" w:eastAsia="Arial" w:hAnsi="Arial"/>
            <w:b/>
            <w:bCs/>
            <w:color w:val="1F3A5F"/>
            <w:sz w:val="20"/>
            <w:szCs w:val="20"/>
            <w:rtl/>
          </w:rPr>
          <w:t xml:space="preserve">6. إقامة البيانات والنقل عبر الحدود</w:t>
        </w:r>
      </w:hyperlink>
    </w:p>
    <w:p>
      <w:pPr>
        <w:bidi/>
        <w:spacing w:after="50" w:before="0"/>
        <w:ind w:left="0"/>
      </w:pPr>
      <w:hyperlink w:history="1" w:anchor="_sec7">
        <w:r>
          <w:rPr>
            <w:rFonts w:ascii="Arial" w:cs="Arial" w:eastAsia="Arial" w:hAnsi="Arial"/>
            <w:b/>
            <w:bCs/>
            <w:color w:val="1F3A5F"/>
            <w:sz w:val="20"/>
            <w:szCs w:val="20"/>
            <w:rtl/>
          </w:rPr>
          <w:t xml:space="preserve">7. الاحتفاظ والإتلاف</w:t>
        </w:r>
      </w:hyperlink>
    </w:p>
    <w:p>
      <w:pPr>
        <w:bidi/>
        <w:spacing w:after="50" w:before="0"/>
        <w:ind w:left="0"/>
      </w:pPr>
      <w:hyperlink w:history="1" w:anchor="_sec8">
        <w:r>
          <w:rPr>
            <w:rFonts w:ascii="Arial" w:cs="Arial" w:eastAsia="Arial" w:hAnsi="Arial"/>
            <w:b/>
            <w:bCs/>
            <w:color w:val="1F3A5F"/>
            <w:sz w:val="20"/>
            <w:szCs w:val="20"/>
            <w:rtl/>
          </w:rPr>
          <w:t xml:space="preserve">8. حقوق أصحاب البيانات</w:t>
        </w:r>
      </w:hyperlink>
    </w:p>
    <w:p>
      <w:pPr>
        <w:bidi/>
        <w:spacing w:after="50" w:before="0"/>
        <w:ind w:left="0"/>
      </w:pPr>
      <w:hyperlink w:history="1" w:anchor="_sec12">
        <w:r>
          <w:rPr>
            <w:rFonts w:ascii="Arial" w:cs="Arial" w:eastAsia="Arial" w:hAnsi="Arial"/>
            <w:b/>
            <w:bCs/>
            <w:color w:val="1F3A5F"/>
            <w:sz w:val="20"/>
            <w:szCs w:val="20"/>
            <w:rtl/>
          </w:rPr>
          <w:t xml:space="preserve">9. المعالجون الفرعيون</w:t>
        </w:r>
      </w:hyperlink>
    </w:p>
    <w:p>
      <w:pPr>
        <w:bidi/>
        <w:spacing w:after="50" w:before="0"/>
        <w:ind w:left="0"/>
      </w:pPr>
      <w:hyperlink w:history="1" w:anchor="_sec13">
        <w:r>
          <w:rPr>
            <w:rFonts w:ascii="Arial" w:cs="Arial" w:eastAsia="Arial" w:hAnsi="Arial"/>
            <w:b/>
            <w:bCs/>
            <w:color w:val="1F3A5F"/>
            <w:sz w:val="20"/>
            <w:szCs w:val="20"/>
            <w:rtl/>
          </w:rPr>
          <w:t xml:space="preserve">10. تقييم المخاطر</w:t>
        </w:r>
      </w:hyperlink>
    </w:p>
    <w:p>
      <w:pPr>
        <w:bidi/>
        <w:spacing w:after="50" w:before="0"/>
        <w:ind w:left="0"/>
      </w:pPr>
      <w:hyperlink w:history="1" w:anchor="_sec14">
        <w:r>
          <w:rPr>
            <w:rFonts w:ascii="Arial" w:cs="Arial" w:eastAsia="Arial" w:hAnsi="Arial"/>
            <w:b/>
            <w:bCs/>
            <w:color w:val="1F3A5F"/>
            <w:sz w:val="20"/>
            <w:szCs w:val="20"/>
            <w:rtl/>
          </w:rPr>
          <w:t xml:space="preserve">11. إخطار الخرق</w:t>
        </w:r>
      </w:hyperlink>
    </w:p>
    <w:p>
      <w:pPr>
        <w:bidi/>
        <w:spacing w:after="50" w:before="0"/>
        <w:ind w:left="0"/>
      </w:pPr>
      <w:hyperlink w:history="1" w:anchor="_sec15">
        <w:r>
          <w:rPr>
            <w:rFonts w:ascii="Arial" w:cs="Arial" w:eastAsia="Arial" w:hAnsi="Arial"/>
            <w:b/>
            <w:bCs/>
            <w:color w:val="1F3A5F"/>
            <w:sz w:val="20"/>
            <w:szCs w:val="20"/>
            <w:rtl/>
          </w:rPr>
          <w:t xml:space="preserve">12. القرارات المطلوبة</w:t>
        </w:r>
      </w:hyperlink>
    </w:p>
    <w:p>
      <w:pPr>
        <w:bidi/>
        <w:spacing w:after="50" w:before="0"/>
        <w:ind w:left="0"/>
      </w:pPr>
      <w:hyperlink w:history="1" w:anchor="_sec16">
        <w:r>
          <w:rPr>
            <w:rFonts w:ascii="Arial" w:cs="Arial" w:eastAsia="Arial" w:hAnsi="Arial"/>
            <w:b/>
            <w:bCs/>
            <w:color w:val="1F3A5F"/>
            <w:sz w:val="20"/>
            <w:szCs w:val="20"/>
            <w:rtl/>
          </w:rPr>
          <w:t xml:space="preserve">13. تعارضات وفجوات في المصادر</w:t>
        </w:r>
      </w:hyperlink>
    </w:p>
    <w:p>
      <w:pPr>
        <w:bidi/>
        <w:spacing w:after="50" w:before="0"/>
        <w:ind w:left="0"/>
      </w:pPr>
      <w:hyperlink w:history="1" w:anchor="_sec17">
        <w:r>
          <w:rPr>
            <w:rFonts w:ascii="Arial" w:cs="Arial" w:eastAsia="Arial" w:hAnsi="Arial"/>
            <w:b/>
            <w:bCs/>
            <w:color w:val="1F3A5F"/>
            <w:sz w:val="20"/>
            <w:szCs w:val="20"/>
            <w:rtl/>
          </w:rPr>
          <w:t xml:space="preserve">14. التتبع</w:t>
        </w:r>
      </w:hyperlink>
    </w:p>
    <w:p>
      <w:r>
        <w:br w:type="page"/>
      </w:r>
    </w:p>
    <w:p>
      <w:pPr>
        <w:bidi/>
        <w:spacing w:after="110" w:before="0" w:line="312"/>
      </w:pPr>
      <w:r>
        <w:rPr>
          <w:rFonts w:ascii="Arial" w:cs="Arial" w:eastAsia="Arial" w:hAnsi="Arial"/>
          <w:b/>
          <w:bCs/>
          <w:sz w:val="21"/>
          <w:szCs w:val="21"/>
          <w:rtl/>
        </w:rPr>
        <w:t xml:space="preserve">وسوم المصدر:</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ذكره المستخدم أو ورد في الوثائق ·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اقتراح له افتراضي ويُعدَّل.</w:t>
      </w:r>
    </w:p>
    <w:p>
      <w:pPr>
        <w:bidi/>
        <w:spacing w:after="110" w:before="0" w:line="312"/>
      </w:pPr>
      <w:r>
        <w:rPr>
          <w:rFonts w:ascii="Arial" w:cs="Arial" w:eastAsia="Arial" w:hAnsi="Arial"/>
          <w:b/>
          <w:bCs/>
          <w:sz w:val="21"/>
          <w:szCs w:val="21"/>
          <w:rtl/>
        </w:rPr>
        <w:t xml:space="preserve">تحفّظ.</w:t>
      </w:r>
      <w:r>
        <w:rPr>
          <w:rFonts w:ascii="Arial" w:cs="Arial" w:eastAsia="Arial" w:hAnsi="Arial"/>
          <w:b w:val="false"/>
          <w:bCs w:val="false"/>
          <w:sz w:val="21"/>
          <w:szCs w:val="21"/>
          <w:rtl/>
        </w:rPr>
        <w:t xml:space="preserve"> هذه الوثيقة تقييم هندسي لا رأي قانوني. لا تفترض نظامًا بعينه لحماية البيانات. كل ما يتوقف على النظام المطبَّق أو على دولة الاستضافة مسجَّل قرارًا للمالك مع المستشار القانوني (X-AUD-4 </w:t>
      </w:r>
      <w:r>
        <w:rPr>
          <w:rFonts w:ascii="Arial" w:cs="Arial" w:eastAsia="Arial" w:hAnsi="Arial"/>
          <w:color w:val="D62828"/>
          <w:sz w:val="21"/>
          <w:szCs w:val="21"/>
          <w:rtl/>
        </w:rPr>
        <w:t xml:space="preserve">●</w:t>
      </w:r>
      <w:r>
        <w:rPr>
          <w:rFonts w:ascii="Arial" w:cs="Arial" w:eastAsia="Arial" w:hAnsi="Arial"/>
          <w:b w:val="false"/>
          <w:bCs w:val="false"/>
          <w:sz w:val="21"/>
          <w:szCs w:val="21"/>
          <w:rtl/>
        </w:rPr>
        <w:t xml:space="preserve">، docs/10-detailed-analysis/00-overview-and-cross-cutting.md:150).</w:t>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bCs/>
          <w:sz w:val="21"/>
          <w:szCs w:val="21"/>
          <w:rtl/>
        </w:rPr>
        <w:t xml:space="preserve">الغرض.</w:t>
      </w:r>
      <w:r>
        <w:rPr>
          <w:rFonts w:ascii="Arial" w:cs="Arial" w:eastAsia="Arial" w:hAnsi="Arial"/>
          <w:b w:val="false"/>
          <w:bCs w:val="false"/>
          <w:sz w:val="21"/>
          <w:szCs w:val="21"/>
          <w:rtl/>
        </w:rPr>
        <w:t xml:space="preserve"> جرد البيانات الشخصية التي تعالجها المنصة، وأغراضها، ومدد الاحتفاظ المقترحة، وحقوق أصحابها، وموقع الاستضافة والنقل عبر الحدود، والجهات المعالِجة، ومخاطر الخصوصية وضوابطها. ADR 0001 يشترط حسم إقامة البيانات قبل تحميل بيانات حقيقية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(docs/adr/0001-schema-work-on-linux.md:26).</w:t>
      </w:r>
    </w:p>
    <w:p>
      <w:pPr>
        <w:bidi/>
        <w:spacing w:after="110" w:before="0" w:line="312"/>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البيانات المخزنة في قاعدة </w:t>
      </w:r>
      <w:r>
        <w:rPr>
          <w:rFonts w:ascii="Courier New" w:cs="Courier New" w:eastAsia="Courier New" w:hAnsi="Courier New"/>
          <w:b w:val="false"/>
          <w:bCs w:val="false"/>
          <w:color w:val="1F2937"/>
          <w:sz w:val="18"/>
          <w:szCs w:val="18"/>
          <w:shd w:fill="F1F3F5" w:color="auto" w:val="clear"/>
          <w:rtl/>
        </w:rPr>
        <w:t xml:space="preserve">‎BankFas‎</w:t>
      </w:r>
      <w:r>
        <w:rPr>
          <w:rFonts w:ascii="Arial" w:cs="Arial" w:eastAsia="Arial" w:hAnsi="Arial"/>
          <w:b w:val="false"/>
          <w:bCs w:val="false"/>
          <w:sz w:val="21"/>
          <w:szCs w:val="21"/>
          <w:rtl/>
        </w:rPr>
        <w:t xml:space="preserve"> وفي مخزن الملفات، وما يخرج منها في البريد والتصدير والسجلات والنسخ الاحتياطية.</w:t>
      </w:r>
    </w:p>
    <w:p>
      <w:pPr>
        <w:bidi/>
        <w:spacing w:after="110" w:before="0" w:line="312"/>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آليات الحماية التفصيلية (DOC-S02 وDOC-S06)، وإجراء الاستجابة للحوادث (DOC-S15).</w:t>
      </w:r>
    </w:p>
    <w:p>
      <w:pPr>
        <w:pStyle w:val="Heading1"/>
        <w:bidi/>
      </w:pPr>
      <w:bookmarkStart w:name="_sec2" w:id="2"/>
      <w:r>
        <w:rPr>
          <w:rFonts w:ascii="Arial" w:cs="Arial" w:eastAsia="Arial" w:hAnsi="Arial"/>
          <w:b/>
          <w:bCs/>
          <w:color w:val="1F3A5F"/>
          <w:sz w:val="32"/>
          <w:szCs w:val="32"/>
          <w:rtl/>
        </w:rPr>
        <w:t xml:space="preserve">2. الأدوار</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7"/>
        <w:gridCol w:w="1297"/>
        <w:gridCol w:w="1081"/>
        <w:gridCol w:w="6489"/>
      </w:tblGrid>
      <w:tr>
        <w:trPr>
          <w:cantSplit/>
          <w:tblHeader/>
        </w:trPr>
        <w:tc>
          <w:tcPr>
            <w:tcW w:type="dxa" w:w="9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الجهة</w:t>
            </w:r>
          </w:p>
        </w:tc>
        <w:tc>
          <w:tcPr>
            <w:tcW w:type="dxa" w:w="12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 المفترض</w:t>
            </w:r>
          </w:p>
        </w:tc>
        <w:tc>
          <w:tcPr>
            <w:tcW w:type="dxa" w:w="10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64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w:t>
            </w:r>
          </w:p>
        </w:tc>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البيانات (Controller) لبيانات موظفيه والأشخاص الذين يُدخلهم</w:t>
            </w:r>
          </w:p>
        </w:tc>
        <w:tc>
          <w:tcPr>
            <w:tcW w:type="dxa" w:w="10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افتراض </w:t>
            </w:r>
            <w:r>
              <w:rPr>
                <w:rFonts w:ascii="Arial" w:cs="Arial" w:eastAsia="Arial" w:hAnsi="Arial"/>
                <w:color w:val="E0A800"/>
                <w:sz w:val="18"/>
                <w:szCs w:val="18"/>
                <w:rtl/>
              </w:rPr>
              <w:t xml:space="preserve">●</w:t>
            </w:r>
          </w:p>
        </w:tc>
        <w:tc>
          <w:tcPr>
            <w:tcW w:type="dxa" w:w="64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docs/10-detailed-analysis/10-m0-m1-platform-organization.md:588</w:t>
            </w:r>
          </w:p>
        </w:tc>
      </w:tr>
      <w:tr>
        <w:trPr>
          <w:cantSplit/>
        </w:trPr>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المنصة</w:t>
            </w:r>
          </w:p>
        </w:tc>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معالج (Processor) لبيانات المشترك</w:t>
            </w:r>
          </w:p>
        </w:tc>
        <w:tc>
          <w:tcPr>
            <w:tcW w:type="dxa" w:w="10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افتراض </w:t>
            </w:r>
            <w:r>
              <w:rPr>
                <w:rFonts w:ascii="Arial" w:cs="Arial" w:eastAsia="Arial" w:hAnsi="Arial"/>
                <w:color w:val="E0A800"/>
                <w:sz w:val="18"/>
                <w:szCs w:val="18"/>
                <w:rtl/>
              </w:rPr>
              <w:t xml:space="preserve">●</w:t>
            </w:r>
          </w:p>
        </w:tc>
        <w:tc>
          <w:tcPr>
            <w:tcW w:type="dxa" w:w="64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المصدر نفسه</w:t>
            </w:r>
          </w:p>
        </w:tc>
      </w:tr>
      <w:tr>
        <w:trPr>
          <w:cantSplit/>
        </w:trPr>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المنصة</w:t>
            </w:r>
          </w:p>
        </w:tc>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بيانات لحسابات المشغّلين، وربما لسجلات الأمن على مستوى المنصة</w:t>
            </w:r>
          </w:p>
        </w:tc>
        <w:tc>
          <w:tcPr>
            <w:tcW w:type="dxa" w:w="10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اقتراح </w:t>
            </w:r>
            <w:r>
              <w:rPr>
                <w:rFonts w:ascii="Arial" w:cs="Arial" w:eastAsia="Arial" w:hAnsi="Arial"/>
                <w:color w:val="E0A800"/>
                <w:sz w:val="18"/>
                <w:szCs w:val="18"/>
                <w:rtl/>
              </w:rPr>
              <w:t xml:space="preserve">●</w:t>
            </w:r>
          </w:p>
        </w:tc>
        <w:tc>
          <w:tcPr>
            <w:tcW w:type="dxa" w:w="64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 الاستضافة</w:t>
            </w:r>
          </w:p>
        </w:tc>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معالج فرعي (يستضيف VPS)</w:t>
            </w:r>
          </w:p>
        </w:tc>
        <w:tc>
          <w:tcPr>
            <w:tcW w:type="dxa" w:w="10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الاستضافة VPS خاص</w:t>
            </w:r>
          </w:p>
        </w:tc>
        <w:tc>
          <w:tcPr>
            <w:tcW w:type="dxa" w:w="64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docs/10-detailed-analysis/10-m0-m1-platform-organization.md:615</w:t>
            </w:r>
          </w:p>
        </w:tc>
      </w:tr>
      <w:tr>
        <w:trPr>
          <w:cantSplit/>
        </w:trPr>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 البريد</w:t>
            </w:r>
          </w:p>
        </w:tc>
        <w:tc>
          <w:tcPr>
            <w:tcW w:type="dxa" w:w="12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معالج فرعي (رسائل الدعوة وإعادة التعيين)</w:t>
            </w:r>
          </w:p>
        </w:tc>
        <w:tc>
          <w:tcPr>
            <w:tcW w:type="dxa" w:w="10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«تهيّئه الاستضافة»</w:t>
            </w:r>
          </w:p>
        </w:tc>
        <w:tc>
          <w:tcPr>
            <w:tcW w:type="dxa" w:w="64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docs/10-detailed-analysis/10-m0-m1-platform-organization.md:115</w:t>
            </w:r>
          </w:p>
        </w:tc>
      </w:tr>
      <w:tr>
        <w:trPr>
          <w:cantSplit/>
        </w:trPr>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المفاتيح، الموقع المنفصل للنسخ</w:t>
            </w:r>
          </w:p>
        </w:tc>
        <w:tc>
          <w:tcPr>
            <w:tcW w:type="dxa" w:w="12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معالجان فرعيان محتملان</w:t>
            </w:r>
          </w:p>
        </w:tc>
        <w:tc>
          <w:tcPr>
            <w:tcW w:type="dxa" w:w="10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مفتوح</w:t>
            </w:r>
          </w:p>
        </w:tc>
        <w:tc>
          <w:tcPr>
            <w:tcW w:type="dxa" w:w="64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 (DQ-S02-1)، DOC-S09</w:t>
            </w:r>
          </w:p>
        </w:tc>
      </w:tr>
    </w:tbl>
    <w:p>
      <w:pPr>
        <w:bidi/>
        <w:spacing w:after="120" w:before="0"/>
      </w:pPr>
    </w:p>
    <w:p>
      <w:pPr>
        <w:pStyle w:val="Heading1"/>
        <w:bidi/>
      </w:pPr>
      <w:bookmarkStart w:name="_sec3" w:id="3"/>
      <w:r>
        <w:rPr>
          <w:rFonts w:ascii="Arial" w:cs="Arial" w:eastAsia="Arial" w:hAnsi="Arial"/>
          <w:b/>
          <w:bCs/>
          <w:color w:val="1F3A5F"/>
          <w:sz w:val="32"/>
          <w:szCs w:val="32"/>
          <w:rtl/>
        </w:rPr>
        <w:t xml:space="preserve">3. أصحاب البيانات</w:t>
      </w:r>
      <w:bookmarkEnd w:id="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5"/>
        <w:gridCol w:w="2483"/>
        <w:gridCol w:w="6386"/>
      </w:tblGrid>
      <w:tr>
        <w:trPr>
          <w:cantSplit/>
          <w:tblHeader/>
        </w:trPr>
        <w:tc>
          <w:tcPr>
            <w:tcW w:type="dxa" w:w="9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الفئة</w:t>
            </w:r>
          </w:p>
        </w:tc>
        <w:tc>
          <w:tcPr>
            <w:tcW w:type="dxa" w:w="24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أمثلة</w:t>
            </w:r>
          </w:p>
        </w:tc>
        <w:tc>
          <w:tcPr>
            <w:tcW w:type="dxa" w:w="63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يُدخل بياناتهم</w:t>
            </w:r>
          </w:p>
        </w:tc>
      </w:tr>
      <w:tr>
        <w:trPr>
          <w:cantSplit/>
        </w:trPr>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DS-1 مستخدمو المشترك</w:t>
            </w:r>
          </w:p>
        </w:tc>
        <w:tc>
          <w:tcPr>
            <w:tcW w:type="dxa" w:w="2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موظفو الخزينة والمشتريات والمبيعات</w:t>
            </w:r>
          </w:p>
        </w:tc>
        <w:tc>
          <w:tcPr>
            <w:tcW w:type="dxa" w:w="63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حساب المشترك</w:t>
            </w:r>
          </w:p>
        </w:tc>
      </w:tr>
      <w:tr>
        <w:trPr>
          <w:cantSplit/>
        </w:trPr>
        <w:tc>
          <w:tcPr>
            <w:tcW w:type="dxa" w:w="9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DS-2 أشخاص Party من الأفراد</w:t>
            </w:r>
          </w:p>
        </w:tc>
        <w:tc>
          <w:tcPr>
            <w:tcW w:type="dxa" w:w="2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الكفلاء، الملاك، أعضاء المجالس، المفوَّضون، جهات الاتصال المرقّاة</w:t>
            </w:r>
          </w:p>
        </w:tc>
        <w:tc>
          <w:tcPr>
            <w:tcW w:type="dxa" w:w="63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مستخدمو المشترك (قرار تخزين بيانات الكفلاء كاملة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docs/01-preliminary-analysis.md:40)</w:t>
            </w:r>
          </w:p>
        </w:tc>
      </w:tr>
      <w:tr>
        <w:trPr>
          <w:cantSplit/>
        </w:trPr>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DS-3 جهات اتصال البنوك</w:t>
            </w:r>
          </w:p>
        </w:tc>
        <w:tc>
          <w:tcPr>
            <w:tcW w:type="dxa" w:w="2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‎ins.Contact‎</w:t>
            </w:r>
            <w:r>
              <w:rPr>
                <w:rFonts w:ascii="Arial" w:cs="Arial" w:eastAsia="Arial" w:hAnsi="Arial"/>
                <w:b w:val="false"/>
                <w:bCs w:val="false"/>
                <w:sz w:val="18"/>
                <w:szCs w:val="18"/>
                <w:rtl/>
              </w:rPr>
              <w:t xml:space="preserve"> بلا هوية</w:t>
            </w:r>
          </w:p>
        </w:tc>
        <w:tc>
          <w:tcPr>
            <w:tcW w:type="dxa" w:w="63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مستخدمو المشترك (db/model/12-institutions-accounts-catalogs.model:310)</w:t>
            </w:r>
          </w:p>
        </w:tc>
      </w:tr>
      <w:tr>
        <w:trPr>
          <w:cantSplit/>
        </w:trPr>
        <w:tc>
          <w:tcPr>
            <w:tcW w:type="dxa" w:w="9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DS-4 جهات اتصال الأطراف المقابلة</w:t>
            </w:r>
          </w:p>
        </w:tc>
        <w:tc>
          <w:tcPr>
            <w:tcW w:type="dxa" w:w="2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هاتف وبريد في </w:t>
            </w:r>
            <w:r>
              <w:rPr>
                <w:rFonts w:ascii="Courier New" w:cs="Courier New" w:eastAsia="Courier New" w:hAnsi="Courier New"/>
                <w:b w:val="false"/>
                <w:bCs w:val="false"/>
                <w:color w:val="1F2937"/>
                <w:sz w:val="16"/>
                <w:szCs w:val="16"/>
                <w:shd w:fill="F1F3F5" w:color="auto" w:val="clear"/>
                <w:rtl/>
              </w:rPr>
              <w:t xml:space="preserve">‎lc.Counterparty‎</w:t>
            </w:r>
          </w:p>
        </w:tc>
        <w:tc>
          <w:tcPr>
            <w:tcW w:type="dxa" w:w="63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مستخدمو المشترك (db/model/16-letters-of-credit.model:106-108)</w:t>
            </w:r>
          </w:p>
        </w:tc>
      </w:tr>
      <w:tr>
        <w:trPr>
          <w:cantSplit/>
        </w:trPr>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DS-5 مشغّلو المنصة</w:t>
            </w:r>
          </w:p>
        </w:tc>
        <w:tc>
          <w:tcPr>
            <w:tcW w:type="dxa" w:w="2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حسابات </w:t>
            </w:r>
            <w:r>
              <w:rPr>
                <w:rFonts w:ascii="Courier New" w:cs="Courier New" w:eastAsia="Courier New" w:hAnsi="Courier New"/>
                <w:b w:val="false"/>
                <w:bCs w:val="false"/>
                <w:color w:val="1F2937"/>
                <w:sz w:val="16"/>
                <w:szCs w:val="16"/>
                <w:shd w:fill="F1F3F5" w:color="auto" w:val="clear"/>
                <w:rtl/>
              </w:rPr>
              <w:t xml:space="preserve">‎plat.PlatformOperator‎</w:t>
            </w:r>
          </w:p>
        </w:tc>
        <w:tc>
          <w:tcPr>
            <w:tcW w:type="dxa" w:w="63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المنصة</w:t>
            </w:r>
          </w:p>
        </w:tc>
      </w:tr>
      <w:tr>
        <w:trPr>
          <w:cantSplit/>
        </w:trPr>
        <w:tc>
          <w:tcPr>
            <w:tcW w:type="dxa" w:w="9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DS-6 أشخاص غير مسجّلين</w:t>
            </w:r>
          </w:p>
        </w:tc>
        <w:tc>
          <w:tcPr>
            <w:tcW w:type="dxa" w:w="2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بريد كُتب في شاشة الدخول ولا يطابق مستخدمًا</w:t>
            </w:r>
          </w:p>
        </w:tc>
        <w:tc>
          <w:tcPr>
            <w:tcW w:type="dxa" w:w="63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 نفسه (db/static/030_session_context.sql:124-126)</w:t>
            </w:r>
          </w:p>
        </w:tc>
      </w:tr>
    </w:tbl>
    <w:p>
      <w:pPr>
        <w:bidi/>
        <w:spacing w:after="120" w:before="0"/>
      </w:pPr>
    </w:p>
    <w:p>
      <w:pPr>
        <w:pStyle w:val="Heading1"/>
        <w:bidi/>
      </w:pPr>
      <w:bookmarkStart w:name="_sec4" w:id="4"/>
      <w:r>
        <w:rPr>
          <w:rFonts w:ascii="Arial" w:cs="Arial" w:eastAsia="Arial" w:hAnsi="Arial"/>
          <w:b/>
          <w:bCs/>
          <w:color w:val="1F3A5F"/>
          <w:sz w:val="32"/>
          <w:szCs w:val="32"/>
          <w:rtl/>
        </w:rPr>
        <w:t xml:space="preserve">4. جرد البيانات الشخصية</w:t>
      </w:r>
      <w:bookmarkEnd w:id="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59"/>
        <w:gridCol w:w="859"/>
        <w:gridCol w:w="2374"/>
        <w:gridCol w:w="2457"/>
        <w:gridCol w:w="859"/>
        <w:gridCol w:w="2456"/>
      </w:tblGrid>
      <w:tr>
        <w:trPr>
          <w:cantSplit/>
          <w:tblHeader/>
        </w:trPr>
        <w:tc>
          <w:tcPr>
            <w:tcW w:type="dxa" w:w="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الفئة</w:t>
            </w:r>
          </w:p>
        </w:tc>
        <w:tc>
          <w:tcPr>
            <w:tcW w:type="dxa" w:w="23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الموقع</w:t>
            </w:r>
          </w:p>
        </w:tc>
        <w:tc>
          <w:tcPr>
            <w:tcW w:type="dxa" w:w="24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التصنيف (DOC-S06)</w:t>
            </w:r>
          </w:p>
        </w:tc>
        <w:tc>
          <w:tcPr>
            <w:tcW w:type="dxa" w:w="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 </w:t>
            </w:r>
            <w:r>
              <w:rPr>
                <w:rFonts w:ascii="Arial" w:cs="Arial" w:eastAsia="Arial" w:hAnsi="Arial"/>
                <w:color w:val="E0A800"/>
                <w:sz w:val="18"/>
                <w:szCs w:val="18"/>
                <w:rtl/>
              </w:rPr>
              <w:t xml:space="preserve">●</w:t>
            </w:r>
          </w:p>
        </w:tc>
        <w:tc>
          <w:tcPr>
            <w:tcW w:type="dxa" w:w="24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الاحتفاظ </w:t>
            </w:r>
            <w:r>
              <w:rPr>
                <w:rFonts w:ascii="Arial" w:cs="Arial" w:eastAsia="Arial" w:hAnsi="Arial"/>
                <w:color w:val="E0A800"/>
                <w:sz w:val="18"/>
                <w:szCs w:val="18"/>
                <w:rtl/>
              </w:rPr>
              <w:t xml:space="preserve">●</w:t>
            </w:r>
          </w:p>
        </w:tc>
      </w:tr>
      <w:tr>
        <w:trPr>
          <w:cantSplit/>
        </w:trPr>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P-01</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وثائق الهوية والإقامة والجواز</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‎pty.IdentityDocument‎</w:t>
            </w:r>
            <w:r>
              <w:rPr>
                <w:rFonts w:ascii="Arial" w:cs="Arial" w:eastAsia="Arial" w:hAnsi="Arial"/>
                <w:b w:val="false"/>
                <w:bCs w:val="false"/>
                <w:sz w:val="18"/>
                <w:szCs w:val="18"/>
                <w:rtl/>
              </w:rPr>
              <w:t xml:space="preserve"> (db/model/11-organization-party.model:288-319)</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متطلبات KYC للبنوك</w:t>
            </w:r>
          </w:p>
        </w:tc>
        <w:tc>
          <w:tcPr>
            <w:tcW w:type="dxa" w:w="2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سنوات بعد آخر استخدام نشط (BR-PLT-016)</w:t>
            </w:r>
          </w:p>
        </w:tc>
      </w:tr>
      <w:tr>
        <w:trPr>
          <w:cantSplit/>
        </w:trPr>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P-02</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صور وثائق الهوية</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‎doc.DocumentVersion‎</w:t>
            </w:r>
            <w:r>
              <w:rPr>
                <w:rFonts w:ascii="Arial" w:cs="Arial" w:eastAsia="Arial" w:hAnsi="Arial"/>
                <w:b w:val="false"/>
                <w:bCs w:val="false"/>
                <w:sz w:val="18"/>
                <w:szCs w:val="18"/>
                <w:rtl/>
              </w:rPr>
              <w:t xml:space="preserve"> بروابط </w:t>
            </w:r>
            <w:r>
              <w:rPr>
                <w:rFonts w:ascii="Courier New" w:cs="Courier New" w:eastAsia="Courier New" w:hAnsi="Courier New"/>
                <w:b w:val="false"/>
                <w:bCs w:val="false"/>
                <w:color w:val="1F2937"/>
                <w:sz w:val="16"/>
                <w:szCs w:val="16"/>
                <w:shd w:fill="F1F3F5" w:color="auto" w:val="clear"/>
                <w:rtl/>
              </w:rPr>
              <w:t xml:space="preserve">‎IMAGE_FRONT‎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‎IMAGE_BACK‎</w:t>
            </w:r>
            <w:r>
              <w:rPr>
                <w:rFonts w:ascii="Arial" w:cs="Arial" w:eastAsia="Arial" w:hAnsi="Arial"/>
                <w:b w:val="false"/>
                <w:bCs w:val="false"/>
                <w:sz w:val="18"/>
                <w:szCs w:val="18"/>
                <w:rtl/>
              </w:rPr>
              <w:t xml:space="preserve"> (db/model/10-platform.model:414)</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KYC</w:t>
            </w:r>
          </w:p>
        </w:tc>
        <w:tc>
          <w:tcPr>
            <w:tcW w:type="dxa" w:w="24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P-01</w:t>
            </w:r>
          </w:p>
        </w:tc>
      </w:tr>
      <w:tr>
        <w:trPr>
          <w:cantSplit/>
        </w:trPr>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P-03</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سمات الفرد: الميلاد ومكانه والحالة الاجتماعية والجنس والتعليم</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r>
              <w:rPr>
                <w:rFonts w:ascii="Arial" w:cs="Arial" w:eastAsia="Arial" w:hAnsi="Arial"/>
                <w:b w:val="false"/>
                <w:bCs w:val="false"/>
                <w:sz w:val="18"/>
                <w:szCs w:val="18"/>
                <w:rtl/>
              </w:rPr>
              <w:t xml:space="preserve"> (db/model/11-organization-party.model:265-273)</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KYC</w:t>
            </w:r>
          </w:p>
        </w:tc>
        <w:tc>
          <w:tcPr>
            <w:tcW w:type="dxa" w:w="2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P-01</w:t>
            </w:r>
          </w:p>
        </w:tc>
      </w:tr>
      <w:tr>
        <w:trPr>
          <w:cantSplit/>
        </w:trPr>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P-04</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الأسماء</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r>
              <w:rPr>
                <w:rFonts w:ascii="Arial" w:cs="Arial" w:eastAsia="Arial" w:hAnsi="Arial"/>
                <w:b w:val="false"/>
                <w:bCs w:val="false"/>
                <w:sz w:val="18"/>
                <w:szCs w:val="18"/>
                <w:rtl/>
              </w:rPr>
              <w:t xml:space="preserve"> (db/model/11-organization-party.model:262-264)</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مقترحة</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التعريف والبحث ومنع التكرار</w:t>
            </w:r>
          </w:p>
        </w:tc>
        <w:tc>
          <w:tcPr>
            <w:tcW w:type="dxa" w:w="24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تبقى بعد إخفاء الهوية (FR-PTY-029)</w:t>
            </w:r>
          </w:p>
        </w:tc>
      </w:tr>
      <w:tr>
        <w:trPr>
          <w:cantSplit/>
        </w:trPr>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P-05</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العناوين</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‎pty.Address‎</w:t>
            </w:r>
            <w:r>
              <w:rPr>
                <w:rFonts w:ascii="Arial" w:cs="Arial" w:eastAsia="Arial" w:hAnsi="Arial"/>
                <w:b w:val="false"/>
                <w:bCs w:val="false"/>
                <w:sz w:val="18"/>
                <w:szCs w:val="18"/>
                <w:rtl/>
              </w:rPr>
              <w:t xml:space="preserve"> (db/model/11-organization-party.model:321-351)</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للأفراد</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KYC والمراسلات</w:t>
            </w:r>
          </w:p>
        </w:tc>
        <w:tc>
          <w:tcPr>
            <w:tcW w:type="dxa" w:w="2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P-01</w:t>
            </w:r>
          </w:p>
        </w:tc>
      </w:tr>
      <w:tr>
        <w:trPr>
          <w:cantSplit/>
        </w:trPr>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P-06</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وسائل الاتصال</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‎pty.ContactMethod‎</w:t>
            </w:r>
            <w:r>
              <w:rPr>
                <w:rFonts w:ascii="Arial" w:cs="Arial" w:eastAsia="Arial" w:hAnsi="Arial"/>
                <w:b w:val="false"/>
                <w:bCs w:val="false"/>
                <w:sz w:val="18"/>
                <w:szCs w:val="18"/>
                <w:rtl/>
              </w:rPr>
              <w:t xml:space="preserve"> (db/model/11-organization-party.model:353-376)</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للأفراد</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التواصل وKYC</w:t>
            </w:r>
          </w:p>
        </w:tc>
        <w:tc>
          <w:tcPr>
            <w:tcW w:type="dxa" w:w="24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P-01</w:t>
            </w:r>
          </w:p>
        </w:tc>
      </w:tr>
      <w:tr>
        <w:trPr>
          <w:cantSplit/>
        </w:trPr>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P-07</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إقرارات PEP والعقوبات والتحقيقات والحصانة</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‎pty.PartyCompliance‎</w:t>
            </w:r>
            <w:r>
              <w:rPr>
                <w:rFonts w:ascii="Arial" w:cs="Arial" w:eastAsia="Arial" w:hAnsi="Arial"/>
                <w:b w:val="false"/>
                <w:bCs w:val="false"/>
                <w:sz w:val="18"/>
                <w:szCs w:val="18"/>
                <w:rtl/>
              </w:rPr>
              <w:t xml:space="preserve"> (db/model/11-organization-party.model:449-465)</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KYC</w:t>
            </w:r>
          </w:p>
        </w:tc>
        <w:tc>
          <w:tcPr>
            <w:tcW w:type="dxa" w:w="2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P-01</w:t>
            </w:r>
          </w:p>
        </w:tc>
      </w:tr>
      <w:tr>
        <w:trPr>
          <w:cantSplit/>
        </w:trPr>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P-08</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الهوية الضريبية</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‎pty.TaxIdentity‎</w:t>
            </w:r>
            <w:r>
              <w:rPr>
                <w:rFonts w:ascii="Arial" w:cs="Arial" w:eastAsia="Arial" w:hAnsi="Arial"/>
                <w:b w:val="false"/>
                <w:bCs w:val="false"/>
                <w:sz w:val="18"/>
                <w:szCs w:val="18"/>
                <w:rtl/>
              </w:rPr>
              <w:t xml:space="preserve"> (db/model/11-organization-party.model:467-480)</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KYC وFATCA وCRS</w:t>
            </w:r>
          </w:p>
        </w:tc>
        <w:tc>
          <w:tcPr>
            <w:tcW w:type="dxa" w:w="24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P-01</w:t>
            </w:r>
          </w:p>
        </w:tc>
      </w:tr>
      <w:tr>
        <w:trPr>
          <w:cantSplit/>
        </w:trPr>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P-09</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حقول مخصصة (الدخل، مصدر الأموال، جهة العمل)</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‎pty.PartyCustomField‎</w:t>
            </w:r>
            <w:r>
              <w:rPr>
                <w:rFonts w:ascii="Arial" w:cs="Arial" w:eastAsia="Arial" w:hAnsi="Arial"/>
                <w:b w:val="false"/>
                <w:bCs w:val="false"/>
                <w:sz w:val="18"/>
                <w:szCs w:val="18"/>
                <w:rtl/>
              </w:rPr>
              <w:t xml:space="preserve"> (db/model/11-organization-party.model:393-405)</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أو مقيّدة بحسب التعريف</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يطلبه نموذج بنك فقط (BR-PTY-019)</w:t>
            </w:r>
          </w:p>
        </w:tc>
        <w:tc>
          <w:tcPr>
            <w:tcW w:type="dxa" w:w="2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P-01</w:t>
            </w:r>
          </w:p>
        </w:tc>
      </w:tr>
      <w:tr>
        <w:trPr>
          <w:cantSplit/>
        </w:trPr>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P-10</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الملكية والعضوية والمنح</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‎org.Shareholding‎</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‎org.BodyMember‎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‎org.AuthorityGrant‎</w:t>
            </w:r>
            <w:r>
              <w:rPr>
                <w:rFonts w:ascii="Arial" w:cs="Arial" w:eastAsia="Arial" w:hAnsi="Arial"/>
                <w:b w:val="false"/>
                <w:bCs w:val="false"/>
                <w:sz w:val="18"/>
                <w:szCs w:val="18"/>
                <w:rtl/>
              </w:rPr>
              <w:t xml:space="preserve"> (db/model/11-organization-party.model:71 و108 و126)</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(docs/10-detailed-analysis/10-m0-m1-platform-organization.md:331)</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الحوكمة والتفويض</w:t>
            </w:r>
          </w:p>
        </w:tc>
        <w:tc>
          <w:tcPr>
            <w:tcW w:type="dxa" w:w="24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سنوات بعد الانتهاء</w:t>
            </w:r>
          </w:p>
        </w:tc>
      </w:tr>
      <w:tr>
        <w:trPr>
          <w:cantSplit/>
        </w:trPr>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P-11</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المفوَّضون وسقوفهم</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‎acc.SignatoryAuthority‎</w:t>
            </w:r>
            <w:r>
              <w:rPr>
                <w:rFonts w:ascii="Arial" w:cs="Arial" w:eastAsia="Arial" w:hAnsi="Arial"/>
                <w:b w:val="false"/>
                <w:bCs w:val="false"/>
                <w:sz w:val="18"/>
                <w:szCs w:val="18"/>
                <w:rtl/>
              </w:rPr>
              <w:t xml:space="preserve"> (db/model/12-institutions-accounts-catalogs.model:434-467)</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من التوقيعات</w:t>
            </w:r>
          </w:p>
        </w:tc>
        <w:tc>
          <w:tcPr>
            <w:tcW w:type="dxa" w:w="2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سنوات بعد الانتهاء</w:t>
            </w:r>
          </w:p>
        </w:tc>
      </w:tr>
      <w:tr>
        <w:trPr>
          <w:cantSplit/>
        </w:trPr>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P-12</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المستخدم: البريد والاسم وتجزئة كلمة المرور وسر MFA</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r>
              <w:rPr>
                <w:rFonts w:ascii="Arial" w:cs="Arial" w:eastAsia="Arial" w:hAnsi="Arial"/>
                <w:b w:val="false"/>
                <w:bCs w:val="false"/>
                <w:sz w:val="18"/>
                <w:szCs w:val="18"/>
                <w:rtl/>
              </w:rPr>
              <w:t xml:space="preserve"> (db/model/10-platform.model:113-154)</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والأسرار مقيّدة</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 والصلاحيات</w:t>
            </w:r>
          </w:p>
        </w:tc>
        <w:tc>
          <w:tcPr>
            <w:tcW w:type="dxa" w:w="24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الحساب ثم الأرشفة؛ الأسرار تُمحى عند الأرشفة</w:t>
            </w:r>
          </w:p>
        </w:tc>
      </w:tr>
      <w:tr>
        <w:trPr>
          <w:cantSplit/>
        </w:trPr>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P-13</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محاولات الدخول بعناوين IP ووكيل المتصفح والبريد المكتوب</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(db/model/10-platform.model:199-208)</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مقترحة</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تقييد المعدل والقفل (BR-PLT-005)</w:t>
            </w:r>
          </w:p>
        </w:tc>
        <w:tc>
          <w:tcPr>
            <w:tcW w:type="dxa" w:w="2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 يومًا؛ الأثر الدائم في التدقيق</w:t>
            </w:r>
          </w:p>
        </w:tc>
      </w:tr>
      <w:tr>
        <w:trPr>
          <w:cantSplit/>
        </w:trPr>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P-14</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الجلسات ورموز الدعوة</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‎sec.UserSession‎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‎sec.UserToken‎</w:t>
            </w:r>
            <w:r>
              <w:rPr>
                <w:rFonts w:ascii="Arial" w:cs="Arial" w:eastAsia="Arial" w:hAnsi="Arial"/>
                <w:b w:val="false"/>
                <w:bCs w:val="false"/>
                <w:sz w:val="18"/>
                <w:szCs w:val="18"/>
                <w:rtl/>
              </w:rPr>
              <w:t xml:space="preserve"> (db/model/10-platform.model:219-258)</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والبصمات مقيّدة</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إدارة الجلسة</w:t>
            </w:r>
          </w:p>
        </w:tc>
        <w:tc>
          <w:tcPr>
            <w:tcW w:type="dxa" w:w="24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 يومًا بعد الانتهاء</w:t>
            </w:r>
          </w:p>
        </w:tc>
      </w:tr>
      <w:tr>
        <w:trPr>
          <w:cantSplit/>
        </w:trPr>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P-15</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التدقيق: الفاعل والعنوان والقيم قبل وبعد</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(db/model/10-platform.model:304-330)</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المساءلة والأمن</w:t>
            </w:r>
          </w:p>
        </w:tc>
        <w:tc>
          <w:tcPr>
            <w:tcW w:type="dxa" w:w="2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سنوات (BR-PLT-016)</w:t>
            </w:r>
          </w:p>
        </w:tc>
      </w:tr>
      <w:tr>
        <w:trPr>
          <w:cantSplit/>
        </w:trPr>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P-16</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الوصول الحساس: من كشف رقم من ومتى</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‎aud.SensitiveAccessLog‎</w:t>
            </w:r>
            <w:r>
              <w:rPr>
                <w:rFonts w:ascii="Arial" w:cs="Arial" w:eastAsia="Arial" w:hAnsi="Arial"/>
                <w:b w:val="false"/>
                <w:bCs w:val="false"/>
                <w:sz w:val="18"/>
                <w:szCs w:val="18"/>
                <w:rtl/>
              </w:rPr>
              <w:t xml:space="preserve"> (db/model/10-platform.model:332-355)</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المساءلة وكشف الشذوذ (BR-PTY-009)</w:t>
            </w:r>
          </w:p>
        </w:tc>
        <w:tc>
          <w:tcPr>
            <w:tcW w:type="dxa" w:w="24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سنوات</w:t>
            </w:r>
          </w:p>
        </w:tc>
      </w:tr>
      <w:tr>
        <w:trPr>
          <w:cantSplit/>
        </w:trPr>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P-17</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حسابات المشغّلين</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w:t>
            </w:r>
            <w:r>
              <w:rPr>
                <w:rFonts w:ascii="Arial" w:cs="Arial" w:eastAsia="Arial" w:hAnsi="Arial"/>
                <w:b w:val="false"/>
                <w:bCs w:val="false"/>
                <w:sz w:val="18"/>
                <w:szCs w:val="18"/>
                <w:rtl/>
              </w:rPr>
              <w:t xml:space="preserve"> (db/model/10-platform.model:64-87)</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 والأسرار مقيّدة</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المنصة</w:t>
            </w:r>
          </w:p>
        </w:tc>
        <w:tc>
          <w:tcPr>
            <w:tcW w:type="dxa" w:w="2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الحساب + سنة</w:t>
            </w:r>
          </w:p>
        </w:tc>
      </w:tr>
      <w:tr>
        <w:trPr>
          <w:cantSplit/>
        </w:trPr>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P-18</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جهات اتصال الأطراف المقابلة وبنود اللقطات</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‎lc.Counterparty‎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‎lc.ProformaInvoice.CustomerSnapshotJson‎</w:t>
            </w:r>
            <w:r>
              <w:rPr>
                <w:rFonts w:ascii="Arial" w:cs="Arial" w:eastAsia="Arial" w:hAnsi="Arial"/>
                <w:b w:val="false"/>
                <w:bCs w:val="false"/>
                <w:sz w:val="18"/>
                <w:szCs w:val="18"/>
                <w:rtl/>
              </w:rPr>
              <w:t xml:space="preserve"> (db/model/16-letters-of-credit.model:106-108 و622)</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الاعتمادات والفواتير</w:t>
            </w:r>
          </w:p>
        </w:tc>
        <w:tc>
          <w:tcPr>
            <w:tcW w:type="dxa" w:w="24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سنوات للطلبات (docs/10-detailed-analysis/13-m6-workflow-engine-notifications.md:694)</w:t>
            </w:r>
          </w:p>
        </w:tc>
      </w:tr>
      <w:tr>
        <w:trPr>
          <w:cantSplit/>
        </w:trPr>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P-19</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 التصدير</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‎cfg.DataExportJob‎</w:t>
            </w:r>
            <w:r>
              <w:rPr>
                <w:rFonts w:ascii="Arial" w:cs="Arial" w:eastAsia="Arial" w:hAnsi="Arial"/>
                <w:b w:val="false"/>
                <w:bCs w:val="false"/>
                <w:sz w:val="18"/>
                <w:szCs w:val="18"/>
                <w:rtl/>
              </w:rPr>
              <w:t xml:space="preserve"> (db/model/10-platform.model:502-521)</w:t>
            </w:r>
          </w:p>
        </w:tc>
        <w:tc>
          <w:tcPr>
            <w:tcW w:type="dxa" w:w="2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 إن حملت مقيّدًا</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 المشترك في بياناته</w:t>
            </w:r>
          </w:p>
        </w:tc>
        <w:tc>
          <w:tcPr>
            <w:tcW w:type="dxa" w:w="24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أيام للحزمة (db/model/10-platform.model:513)</w:t>
            </w:r>
          </w:p>
        </w:tc>
      </w:tr>
      <w:tr>
        <w:trPr>
          <w:cantSplit/>
        </w:trPr>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P-20</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الإشعارات وتسليمها</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‎ntf.NotificationDelivery‎</w:t>
            </w:r>
            <w:r>
              <w:rPr>
                <w:rFonts w:ascii="Arial" w:cs="Arial" w:eastAsia="Arial" w:hAnsi="Arial"/>
                <w:b w:val="false"/>
                <w:bCs w:val="false"/>
                <w:sz w:val="18"/>
                <w:szCs w:val="18"/>
                <w:rtl/>
              </w:rPr>
              <w:t xml:space="preserve"> (db/model/15-workflow-notifications.model:603 و639)</w:t>
            </w:r>
          </w:p>
        </w:tc>
        <w:tc>
          <w:tcPr>
            <w:tcW w:type="dxa" w:w="2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 بلا قيم مقيّدة</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العمل اليومي</w:t>
            </w:r>
          </w:p>
        </w:tc>
        <w:tc>
          <w:tcPr>
            <w:tcW w:type="dxa" w:w="24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أرشفة بعد 180 يومًا من القراءة (Q-NTF-05)</w:t>
            </w:r>
          </w:p>
        </w:tc>
      </w:tr>
    </w:tbl>
    <w:p>
      <w:pPr>
        <w:bidi/>
        <w:spacing w:after="120" w:before="0"/>
      </w:pPr>
    </w:p>
    <w:p>
      <w:pPr>
        <w:pStyle w:val="Heading1"/>
        <w:bidi/>
      </w:pPr>
      <w:bookmarkStart w:name="_sec5" w:id="5"/>
      <w:r>
        <w:rPr>
          <w:rFonts w:ascii="Arial" w:cs="Arial" w:eastAsia="Arial" w:hAnsi="Arial"/>
          <w:b/>
          <w:bCs/>
          <w:color w:val="1F3A5F"/>
          <w:sz w:val="32"/>
          <w:szCs w:val="32"/>
          <w:rtl/>
        </w:rPr>
        <w:t xml:space="preserve">5. الغرض والأساس النظامي </w:t>
      </w:r>
      <w:r>
        <w:rPr>
          <w:rFonts w:ascii="Arial" w:cs="Arial" w:eastAsia="Arial" w:hAnsi="Arial"/>
          <w:color w:val="E0A800"/>
          <w:sz w:val="32"/>
          <w:szCs w:val="32"/>
          <w:rtl/>
        </w:rPr>
        <w:t xml:space="preserve">●</w:t>
      </w:r>
      <w:bookmarkEnd w:id="5"/>
    </w:p>
    <w:p>
      <w:pPr>
        <w:pStyle w:val="ListParagraph"/>
        <w:numPr>
          <w:ilvl w:val="0"/>
          <w:numId w:val="2"/>
        </w:numPr>
        <w:bidi/>
        <w:spacing w:after="70" w:before="0" w:line="300"/>
      </w:pPr>
      <w:r>
        <w:rPr>
          <w:rFonts w:ascii="Arial" w:cs="Arial" w:eastAsia="Arial" w:hAnsi="Arial"/>
          <w:b/>
          <w:bCs/>
          <w:sz w:val="21"/>
          <w:szCs w:val="21"/>
          <w:rtl/>
        </w:rPr>
        <w:t xml:space="preserve">الأغراض المعلنة في المصادر:</w:t>
      </w:r>
      <w:r>
        <w:rPr>
          <w:rFonts w:ascii="Arial" w:cs="Arial" w:eastAsia="Arial" w:hAnsi="Arial"/>
          <w:b w:val="false"/>
          <w:bCs w:val="false"/>
          <w:sz w:val="21"/>
          <w:szCs w:val="21"/>
          <w:rtl/>
        </w:rPr>
        <w:t xml:space="preserve"> «متطلبات KYC للبنوك فقط» لبيانات الأشخاص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(docs/10-detailed-analysis/10-m0-m1-platform-organization.md:588)، وأمن الحسابات، والمساءلة بالتدقيق، وإدارة التسهيلات والاعتمادات.</w:t>
      </w:r>
    </w:p>
    <w:p>
      <w:pPr>
        <w:pStyle w:val="ListParagraph"/>
        <w:numPr>
          <w:ilvl w:val="0"/>
          <w:numId w:val="2"/>
        </w:numPr>
        <w:bidi/>
        <w:spacing w:after="70" w:before="0" w:line="300"/>
      </w:pPr>
      <w:r>
        <w:rPr>
          <w:rFonts w:ascii="Arial" w:cs="Arial" w:eastAsia="Arial" w:hAnsi="Arial"/>
          <w:b/>
          <w:bCs/>
          <w:sz w:val="21"/>
          <w:szCs w:val="21"/>
          <w:rtl/>
        </w:rPr>
        <w:t xml:space="preserve">الأساس النظامي</w:t>
      </w:r>
      <w:r>
        <w:rPr>
          <w:rFonts w:ascii="Arial" w:cs="Arial" w:eastAsia="Arial" w:hAnsi="Arial"/>
          <w:b w:val="false"/>
          <w:bCs w:val="false"/>
          <w:sz w:val="21"/>
          <w:szCs w:val="21"/>
          <w:rtl/>
        </w:rPr>
        <w:t xml:space="preserve"> لكل فئة (عقد، التزام نظامي، مصلحة مشروعة، موافقة) يحدده المستشار القانوني لكل دولة يعمل فيها المشترك. لا تفترض هذه الوثيقة أساسًا. docs/04-facility-agreements-analysis.md:253 يذكر مثالًا لنظام وطني دون حسم، والحالة </w:t>
      </w:r>
      <w:r>
        <w:rPr>
          <w:rFonts w:ascii="Arial" w:cs="Arial" w:eastAsia="Arial" w:hAnsi="Arial"/>
          <w:color w:val="D62828"/>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أدنى جمع للبيانات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«لا يُجمع إلا ما يطلبه ملف اكتمال أو يلزمه الدور» (BR-PTY-019، docs/10-detailed-analysis/10-m0-m1-platform-organization.md:290). الدخل ومصدر الأموال حقول مخصصة تُفعَّل عند الطلب.</w:t>
      </w:r>
    </w:p>
    <w:p>
      <w:pPr>
        <w:pStyle w:val="ListParagraph"/>
        <w:numPr>
          <w:ilvl w:val="0"/>
          <w:numId w:val="2"/>
        </w:numPr>
        <w:bidi/>
        <w:spacing w:after="70" w:before="0" w:line="300"/>
      </w:pPr>
      <w:r>
        <w:rPr>
          <w:rFonts w:ascii="Arial" w:cs="Arial" w:eastAsia="Arial" w:hAnsi="Arial"/>
          <w:b/>
          <w:bCs/>
          <w:sz w:val="21"/>
          <w:szCs w:val="21"/>
          <w:rtl/>
        </w:rPr>
        <w:t xml:space="preserve">الفئات الخاصة:</w:t>
      </w:r>
      <w:r>
        <w:rPr>
          <w:rFonts w:ascii="Arial" w:cs="Arial" w:eastAsia="Arial" w:hAnsi="Arial"/>
          <w:b w:val="false"/>
          <w:bCs w:val="false"/>
          <w:sz w:val="21"/>
          <w:szCs w:val="21"/>
          <w:rtl/>
        </w:rPr>
        <w:t xml:space="preserve"> سؤال الإعاقة في بعض نماذج البنوك «حقل حساس اختياري… </w:t>
      </w:r>
      <w:r>
        <w:rPr>
          <w:rFonts w:ascii="Arial" w:cs="Arial" w:eastAsia="Arial" w:hAnsi="Arial"/>
          <w:color w:val="D62828"/>
          <w:sz w:val="21"/>
          <w:szCs w:val="21"/>
          <w:rtl/>
        </w:rPr>
        <w:t xml:space="preserve">●</w:t>
      </w:r>
      <w:r>
        <w:rPr>
          <w:rFonts w:ascii="Arial" w:cs="Arial" w:eastAsia="Arial" w:hAnsi="Arial"/>
          <w:b w:val="false"/>
          <w:bCs w:val="false"/>
          <w:sz w:val="21"/>
          <w:szCs w:val="21"/>
          <w:rtl/>
        </w:rPr>
        <w:t xml:space="preserve">» (docs/05-kyc-forms-analysis.md:73). لا يوجد له عمود في النموذج. الافتراضي ألا يُجمع حتى يُبدي المستشار رأيه (DQ-S06-8 في DOC-S06).</w:t>
      </w:r>
    </w:p>
    <w:p>
      <w:pPr>
        <w:pStyle w:val="ListParagraph"/>
        <w:numPr>
          <w:ilvl w:val="0"/>
          <w:numId w:val="2"/>
        </w:numPr>
        <w:bidi/>
        <w:spacing w:after="70" w:before="0" w:line="300"/>
      </w:pPr>
      <w:r>
        <w:rPr>
          <w:rFonts w:ascii="Arial" w:cs="Arial" w:eastAsia="Arial" w:hAnsi="Arial"/>
          <w:b/>
          <w:bCs/>
          <w:sz w:val="21"/>
          <w:szCs w:val="21"/>
          <w:rtl/>
        </w:rPr>
        <w:t xml:space="preserve">إعلام أصحاب البيانات:</w:t>
      </w:r>
      <w:r>
        <w:rPr>
          <w:rFonts w:ascii="Arial" w:cs="Arial" w:eastAsia="Arial" w:hAnsi="Arial"/>
          <w:b w:val="false"/>
          <w:bCs w:val="false"/>
          <w:sz w:val="21"/>
          <w:szCs w:val="21"/>
          <w:rtl/>
        </w:rPr>
        <w:t xml:space="preserve"> الشخص المُدخَل (الكفيل مثلًا) لا يتعامل مع المنصة مباشرة. إعلامه مسؤولية المشترك بصفته مسؤول البيانات.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تزوّد المنصة المشترك بنص وصف للمعالجة يضمّنه في إشعاره.</w:t>
      </w:r>
    </w:p>
    <w:p>
      <w:pPr>
        <w:bidi/>
        <w:spacing w:after="60" w:before="0"/>
      </w:pPr>
    </w:p>
    <w:p>
      <w:pPr>
        <w:pStyle w:val="Heading1"/>
        <w:bidi/>
      </w:pPr>
      <w:bookmarkStart w:name="_sec6" w:id="6"/>
      <w:r>
        <w:rPr>
          <w:rFonts w:ascii="Arial" w:cs="Arial" w:eastAsia="Arial" w:hAnsi="Arial"/>
          <w:b/>
          <w:bCs/>
          <w:color w:val="1F3A5F"/>
          <w:sz w:val="32"/>
          <w:szCs w:val="32"/>
          <w:rtl/>
        </w:rPr>
        <w:t xml:space="preserve">6. إقامة البيانات والنقل عبر الحدود</w:t>
      </w:r>
      <w:bookmarkEnd w:id="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7"/>
        <w:gridCol w:w="2378"/>
        <w:gridCol w:w="6489"/>
      </w:tblGrid>
      <w:tr>
        <w:trPr>
          <w:cantSplit/>
          <w:tblHeader/>
        </w:trPr>
        <w:tc>
          <w:tcPr>
            <w:tcW w:type="dxa" w:w="9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23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64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مكان الاستضافة</w:t>
            </w:r>
          </w:p>
        </w:tc>
        <w:tc>
          <w:tcPr>
            <w:tcW w:type="dxa" w:w="2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VPS خاص لدى مزوّد استضافة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دولة الخادم غير محددة في أي وثيقة</w:t>
            </w:r>
          </w:p>
        </w:tc>
        <w:tc>
          <w:tcPr>
            <w:tcW w:type="dxa" w:w="64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docs/10-detailed-analysis/10-m0-m1-platform-organization.md:615</w:t>
            </w:r>
          </w:p>
        </w:tc>
      </w:tr>
      <w:tr>
        <w:trPr>
          <w:cantSplit/>
        </w:trPr>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السؤال القانوني</w:t>
            </w:r>
          </w:p>
        </w:tc>
        <w:tc>
          <w:tcPr>
            <w:tcW w:type="dxa" w:w="2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«يبقى سؤال إقامة البيانات/حماية البيانات الشخصية للمراجعة القانونية»</w:t>
            </w:r>
          </w:p>
        </w:tc>
        <w:tc>
          <w:tcPr>
            <w:tcW w:type="dxa" w:w="64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المصدر نفسه</w:t>
            </w:r>
          </w:p>
        </w:tc>
      </w:tr>
      <w:tr>
        <w:trPr>
          <w:cantSplit/>
        </w:trPr>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الدول المستهدفة</w:t>
            </w:r>
          </w:p>
        </w:tc>
        <w:tc>
          <w:tcPr>
            <w:tcW w:type="dxa" w:w="2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س-4 </w:t>
            </w:r>
            <w:r>
              <w:rPr>
                <w:rFonts w:ascii="Arial" w:cs="Arial" w:eastAsia="Arial" w:hAnsi="Arial"/>
                <w:color w:val="D62828"/>
                <w:sz w:val="18"/>
                <w:szCs w:val="18"/>
                <w:rtl/>
              </w:rPr>
              <w:t xml:space="preserve">●</w:t>
            </w:r>
            <w:r>
              <w:rPr>
                <w:rFonts w:ascii="Arial" w:cs="Arial" w:eastAsia="Arial" w:hAnsi="Arial"/>
                <w:b w:val="false"/>
                <w:bCs w:val="false"/>
                <w:sz w:val="18"/>
                <w:szCs w:val="18"/>
                <w:rtl/>
              </w:rPr>
              <w:t xml:space="preserve"> «هل هناك متطلبات إقامة البيانات؟»</w:t>
            </w:r>
          </w:p>
        </w:tc>
        <w:tc>
          <w:tcPr>
            <w:tcW w:type="dxa" w:w="64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docs/01-preliminary-analysis.md:125</w:t>
            </w:r>
          </w:p>
        </w:tc>
      </w:tr>
      <w:tr>
        <w:trPr>
          <w:cantSplit/>
        </w:trPr>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عمود الإقامة</w:t>
            </w:r>
          </w:p>
        </w:tc>
        <w:tc>
          <w:tcPr>
            <w:tcW w:type="dxa" w:w="2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‎plat.Tenant.DataRegion‎</w:t>
            </w:r>
            <w:r>
              <w:rPr>
                <w:rFonts w:ascii="Arial" w:cs="Arial" w:eastAsia="Arial" w:hAnsi="Arial"/>
                <w:b w:val="false"/>
                <w:bCs w:val="false"/>
                <w:sz w:val="18"/>
                <w:szCs w:val="18"/>
                <w:rtl/>
              </w:rPr>
              <w:t xml:space="preserve"> موجود</w:t>
            </w:r>
          </w:p>
        </w:tc>
        <w:tc>
          <w:tcPr>
            <w:tcW w:type="dxa" w:w="64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db/model/10-platform.model:42</w:t>
            </w:r>
          </w:p>
        </w:tc>
      </w:tr>
      <w:tr>
        <w:trPr>
          <w:cantSplit/>
        </w:trPr>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واحدة لكل المشتركين</w:t>
            </w:r>
          </w:p>
        </w:tc>
        <w:tc>
          <w:tcPr>
            <w:tcW w:type="dxa" w:w="2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w:t>
            </w:r>
          </w:p>
        </w:tc>
        <w:tc>
          <w:tcPr>
            <w:tcW w:type="dxa" w:w="64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docs/20-database-design.md:61</w:t>
            </w:r>
          </w:p>
        </w:tc>
      </w:tr>
      <w:tr>
        <w:trPr>
          <w:cantSplit/>
        </w:trPr>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تثبيت محلي لمن يطلب</w:t>
            </w:r>
          </w:p>
        </w:tc>
        <w:tc>
          <w:tcPr>
            <w:tcW w:type="dxa" w:w="2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لاحقًا بحزمة قابلة للنقل</w:t>
            </w:r>
          </w:p>
        </w:tc>
        <w:tc>
          <w:tcPr>
            <w:tcW w:type="dxa" w:w="64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FR-PLT-047، docs/10-detailed-analysis/10-m0-m1-platform-organization.md:149</w:t>
            </w:r>
          </w:p>
        </w:tc>
      </w:tr>
    </w:tbl>
    <w:p>
      <w:pPr>
        <w:bidi/>
        <w:spacing w:after="120" w:before="0"/>
      </w:pPr>
    </w:p>
    <w:p>
      <w:pPr>
        <w:bidi/>
        <w:spacing w:after="110" w:before="0" w:line="312"/>
      </w:pPr>
      <w:r>
        <w:rPr>
          <w:rFonts w:ascii="Arial" w:cs="Arial" w:eastAsia="Arial" w:hAnsi="Arial"/>
          <w:b/>
          <w:bCs/>
          <w:sz w:val="21"/>
          <w:szCs w:val="21"/>
          <w:rtl/>
        </w:rPr>
        <w:t xml:space="preserve">ملاحظات:</w:t>
      </w:r>
    </w:p>
    <w:p>
      <w:pPr>
        <w:pStyle w:val="ListParagraph"/>
        <w:numPr>
          <w:ilvl w:val="0"/>
          <w:numId w:val="2"/>
        </w:numPr>
        <w:bidi/>
        <w:spacing w:after="70" w:before="0" w:line="300"/>
      </w:pPr>
      <w:r>
        <w:rPr>
          <w:rFonts w:ascii="Arial" w:cs="Arial" w:eastAsia="Arial" w:hAnsi="Arial"/>
          <w:b w:val="false"/>
          <w:bCs w:val="false"/>
          <w:sz w:val="21"/>
          <w:szCs w:val="21"/>
          <w:rtl/>
        </w:rPr>
        <w:t xml:space="preserve">مع قاعدة واحدة (T-1) لا يمكن وضع بيانات مشترك في منطقة غير منطقة غيره. </w:t>
      </w:r>
      <w:r>
        <w:rPr>
          <w:rFonts w:ascii="Courier New" w:cs="Courier New" w:eastAsia="Courier New" w:hAnsi="Courier New"/>
          <w:b w:val="false"/>
          <w:bCs w:val="false"/>
          <w:color w:val="1F2937"/>
          <w:sz w:val="18"/>
          <w:szCs w:val="18"/>
          <w:shd w:fill="F1F3F5" w:color="auto" w:val="clear"/>
          <w:rtl/>
        </w:rPr>
        <w:t xml:space="preserve">‎DataRegion‎</w:t>
      </w:r>
      <w:r>
        <w:rPr>
          <w:rFonts w:ascii="Arial" w:cs="Arial" w:eastAsia="Arial" w:hAnsi="Arial"/>
          <w:b w:val="false"/>
          <w:bCs w:val="false"/>
          <w:sz w:val="21"/>
          <w:szCs w:val="21"/>
          <w:rtl/>
        </w:rPr>
        <w:t xml:space="preserve"> يصف ولا يفرض. الخيارات: (أ) منطقة واحدة لكل المشتركين تقبلها أنظمتهم؛ (ب) نشر مستقل لكل منطقة؛ (ج) التثبيت المحلي (FR-PLT-047) لمن يشترط الإقامة داخل منشأته.</w:t>
      </w:r>
    </w:p>
    <w:p>
      <w:pPr>
        <w:pStyle w:val="ListParagraph"/>
        <w:numPr>
          <w:ilvl w:val="0"/>
          <w:numId w:val="2"/>
        </w:numPr>
        <w:bidi/>
        <w:spacing w:after="70" w:before="0" w:line="300"/>
      </w:pPr>
      <w:r>
        <w:rPr>
          <w:rFonts w:ascii="Arial" w:cs="Arial" w:eastAsia="Arial" w:hAnsi="Arial"/>
          <w:b w:val="false"/>
          <w:bCs w:val="false"/>
          <w:sz w:val="21"/>
          <w:szCs w:val="21"/>
          <w:rtl/>
        </w:rPr>
        <w:t xml:space="preserve">النقل عبر الحدود لا يقتصر على الخادم: الموقع المنفصل للنسخ (DOC-S09)، ومرحّل البريد، ومخزن المفاتيح (DOC-S02)، ومحطات المشغّلين، كلها قد تكون في دول أخرى.</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الافتراضي: يختار المالك دولة الخادم والموقع المنفصل معًا، بعد رأي قانوني لكل دولة مستهدفة، قبل تحميل أي بيانات حقيقية (DQ-S07-1 وDQ-S07-2).</w:t>
      </w:r>
    </w:p>
    <w:p>
      <w:pPr>
        <w:bidi/>
        <w:spacing w:after="60" w:before="0"/>
      </w:pPr>
    </w:p>
    <w:p>
      <w:pPr>
        <w:pStyle w:val="Heading1"/>
        <w:bidi/>
      </w:pPr>
      <w:bookmarkStart w:name="_sec7" w:id="7"/>
      <w:r>
        <w:rPr>
          <w:rFonts w:ascii="Arial" w:cs="Arial" w:eastAsia="Arial" w:hAnsi="Arial"/>
          <w:b/>
          <w:bCs/>
          <w:color w:val="1F3A5F"/>
          <w:sz w:val="32"/>
          <w:szCs w:val="32"/>
          <w:rtl/>
        </w:rPr>
        <w:t xml:space="preserve">7. الاحتفاظ والإتلاف</w:t>
      </w:r>
      <w:bookmarkEnd w:id="7"/>
    </w:p>
    <w:p>
      <w:pPr>
        <w:pStyle w:val="ListParagraph"/>
        <w:numPr>
          <w:ilvl w:val="0"/>
          <w:numId w:val="2"/>
        </w:numPr>
        <w:bidi/>
        <w:spacing w:after="70" w:before="0" w:line="300"/>
      </w:pPr>
      <w:r>
        <w:rPr>
          <w:rFonts w:ascii="Arial" w:cs="Arial" w:eastAsia="Arial" w:hAnsi="Arial"/>
          <w:b/>
          <w:bCs/>
          <w:sz w:val="21"/>
          <w:szCs w:val="21"/>
          <w:rtl/>
        </w:rPr>
        <w:t xml:space="preserve">القاعدة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لا إتلاف تلقائي. الإتلاف تقرير ثم موافقة ثم إتلاف أو إخفاء مع أثر (BR-PLT-016، docs/10-detailed-analysis/10-m0-m1-platform-organization.md:242؛ FR-PLT-040 Should في S5، docs/10-detailed-analysis/10-m0-m1-platform-organization.md:142).</w:t>
      </w:r>
    </w:p>
    <w:p>
      <w:pPr>
        <w:pStyle w:val="ListParagraph"/>
        <w:numPr>
          <w:ilvl w:val="0"/>
          <w:numId w:val="2"/>
        </w:numPr>
        <w:bidi/>
        <w:spacing w:after="70" w:before="0" w:line="300"/>
      </w:pPr>
      <w:r>
        <w:rPr>
          <w:rFonts w:ascii="Arial" w:cs="Arial" w:eastAsia="Arial" w:hAnsi="Arial"/>
          <w:b/>
          <w:bCs/>
          <w:sz w:val="21"/>
          <w:szCs w:val="21"/>
          <w:rtl/>
        </w:rPr>
        <w:t xml:space="preserve">المدد المقترحة </w:t>
      </w:r>
      <w:r>
        <w:rPr>
          <w:rFonts w:ascii="Arial" w:cs="Arial" w:eastAsia="Arial" w:hAnsi="Arial"/>
          <w:color w:val="2E9E44"/>
          <w:sz w:val="21"/>
          <w:szCs w:val="21"/>
          <w:rtl/>
        </w:rPr>
        <w:t xml:space="preserve">●</w:t>
      </w:r>
      <w:r>
        <w:rPr>
          <w:rFonts w:ascii="Arial" w:cs="Arial" w:eastAsia="Arial" w:hAnsi="Arial"/>
          <w:b/>
          <w:bCs/>
          <w:sz w:val="21"/>
          <w:szCs w:val="21"/>
          <w:rtl/>
        </w:rPr>
        <w:t xml:space="preserve"> للمراجعة القانونية:</w:t>
      </w:r>
      <w:r>
        <w:rPr>
          <w:rFonts w:ascii="Arial" w:cs="Arial" w:eastAsia="Arial" w:hAnsi="Arial"/>
          <w:b w:val="false"/>
          <w:bCs w:val="false"/>
          <w:sz w:val="21"/>
          <w:szCs w:val="21"/>
          <w:rtl/>
        </w:rPr>
        <w:t xml:space="preserve"> التدقيق 10 سنوات، والمستندات 10 سنوات بعد انتفاء الاستخدام، وهويات الأشخاص وصورها 5 سنوات بعد آخر استخدام نشط (Q-PLT-04، docs/10-detailed-analysis/10-m0-m1-platform-organization.md:616).</w:t>
      </w:r>
    </w:p>
    <w:p>
      <w:pPr>
        <w:pStyle w:val="ListParagraph"/>
        <w:numPr>
          <w:ilvl w:val="0"/>
          <w:numId w:val="2"/>
        </w:numPr>
        <w:bidi/>
        <w:spacing w:after="70" w:before="0" w:line="300"/>
      </w:pPr>
      <w:r>
        <w:rPr>
          <w:rFonts w:ascii="Arial" w:cs="Arial" w:eastAsia="Arial" w:hAnsi="Arial"/>
          <w:b/>
          <w:bCs/>
          <w:sz w:val="21"/>
          <w:szCs w:val="21"/>
          <w:rtl/>
        </w:rPr>
        <w:t xml:space="preserve">ما ليس له مدة في المصادر:</w:t>
      </w:r>
      <w:r>
        <w:rPr>
          <w:rFonts w:ascii="Arial" w:cs="Arial" w:eastAsia="Arial" w:hAnsi="Arial"/>
          <w:b w:val="false"/>
          <w:bCs w:val="false"/>
          <w:sz w:val="21"/>
          <w:szCs w:val="21"/>
          <w:rtl/>
        </w:rPr>
        <w:t xml:space="preserve"> محاولات الدخول، والجلسات، والرموز، وOutbox، وسجل المهام. المقترح في عمود الاحتفاظ بالقسم 4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وO-6 (20-database-design) يطلب قرارًا لكل جدول (docs/20-database-design.md:534).</w:t>
      </w:r>
    </w:p>
    <w:p>
      <w:pPr>
        <w:pStyle w:val="ListParagraph"/>
        <w:numPr>
          <w:ilvl w:val="0"/>
          <w:numId w:val="2"/>
        </w:numPr>
        <w:bidi/>
        <w:spacing w:after="70" w:before="0" w:line="300"/>
      </w:pPr>
      <w:r>
        <w:rPr>
          <w:rFonts w:ascii="Arial" w:cs="Arial" w:eastAsia="Arial" w:hAnsi="Arial"/>
          <w:b/>
          <w:bCs/>
          <w:sz w:val="21"/>
          <w:szCs w:val="21"/>
          <w:rtl/>
        </w:rPr>
        <w:t xml:space="preserve">المشترك المغلق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تصدير 30 يومًا ثم قراءة فقط، والإتلاف بموافقة المشغّل وموافقة المشترك الخطية بعد المدة (BR-PLT-002، docs/10-detailed-analysis/10-m0-m1-platform-organization.md:228).</w:t>
      </w:r>
    </w:p>
    <w:p>
      <w:pPr>
        <w:pStyle w:val="ListParagraph"/>
        <w:numPr>
          <w:ilvl w:val="0"/>
          <w:numId w:val="2"/>
        </w:numPr>
        <w:bidi/>
        <w:spacing w:after="70" w:before="0" w:line="300"/>
      </w:pPr>
      <w:r>
        <w:rPr>
          <w:rFonts w:ascii="Arial" w:cs="Arial" w:eastAsia="Arial" w:hAnsi="Arial"/>
          <w:b/>
          <w:bCs/>
          <w:sz w:val="21"/>
          <w:szCs w:val="21"/>
          <w:rtl/>
        </w:rPr>
        <w:t xml:space="preserve">النسخ الاحتياطية:</w:t>
      </w:r>
      <w:r>
        <w:rPr>
          <w:rFonts w:ascii="Arial" w:cs="Arial" w:eastAsia="Arial" w:hAnsi="Arial"/>
          <w:b w:val="false"/>
          <w:bCs w:val="false"/>
          <w:sz w:val="21"/>
          <w:szCs w:val="21"/>
          <w:rtl/>
        </w:rPr>
        <w:t xml:space="preserve"> البيانات المتلفة تبقى في النسخ حتى تنتهي مدتها (DOC-S09، 35 يومًا للاستعادة النقطية و12 شهرًا للنسخ الشهرية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يُذكر ذلك في وصف المعالجة. استعادة نسخة بعد إتلاف تتطلب إعادة تنفيذ الإتلافات المسجّلة بعد تاريخ النسخة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bidi/>
        <w:spacing w:after="60" w:before="0"/>
      </w:pPr>
    </w:p>
    <w:p>
      <w:pPr>
        <w:pStyle w:val="Heading1"/>
        <w:bidi/>
      </w:pPr>
      <w:bookmarkStart w:name="_sec8" w:id="8"/>
      <w:r>
        <w:rPr>
          <w:rFonts w:ascii="Arial" w:cs="Arial" w:eastAsia="Arial" w:hAnsi="Arial"/>
          <w:b/>
          <w:bCs/>
          <w:color w:val="1F3A5F"/>
          <w:sz w:val="32"/>
          <w:szCs w:val="32"/>
          <w:rtl/>
        </w:rPr>
        <w:t xml:space="preserve">8. حقوق أصحاب البيانات</w:t>
      </w:r>
      <w:bookmarkEnd w:id="8"/>
    </w:p>
    <w:p>
      <w:pPr>
        <w:pStyle w:val="Heading2"/>
        <w:bidi/>
      </w:pPr>
      <w:bookmarkStart w:name="_sec9" w:id="9"/>
      <w:r>
        <w:rPr>
          <w:rFonts w:ascii="Arial" w:cs="Arial" w:eastAsia="Arial" w:hAnsi="Arial"/>
          <w:b/>
          <w:bCs/>
          <w:color w:val="2B5C8A"/>
          <w:sz w:val="26"/>
          <w:szCs w:val="26"/>
          <w:rtl/>
        </w:rPr>
        <w:t xml:space="preserve">8.1 المسار</w:t>
      </w:r>
      <w:bookmarkEnd w:id="9"/>
    </w:p>
    <w:p>
      <w:pPr>
        <w:keepNext/>
        <w:bidi/>
        <w:spacing w:after="60" w:before="160"/>
        <w:jc w:val="center"/>
      </w:pPr>
      <w:r>
        <w:drawing>
          <wp:inline distT="0" distB="0" distL="0" distR="0">
            <wp:extent cx="2190750" cy="8191500"/>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8191500"/>
                    </a:xfrm>
                    <a:prstGeom prst="rect">
                      <a:avLst/>
                    </a:prstGeom>
                  </pic:spPr>
                </pic:pic>
              </a:graphicData>
            </a:graphic>
          </wp:inline>
        </w:drawing>
      </w:r>
    </w:p>
    <w:p>
      <w:pPr>
        <w:pStyle w:val="Heading2"/>
        <w:bidi/>
      </w:pPr>
      <w:bookmarkStart w:name="_sec10" w:id="10"/>
      <w:r>
        <w:rPr>
          <w:rFonts w:ascii="Arial" w:cs="Arial" w:eastAsia="Arial" w:hAnsi="Arial"/>
          <w:b/>
          <w:bCs/>
          <w:color w:val="2B5C8A"/>
          <w:sz w:val="26"/>
          <w:szCs w:val="26"/>
          <w:rtl/>
        </w:rPr>
        <w:t xml:space="preserve">8.2 أنواع الطلبات</w:t>
      </w:r>
      <w:bookmarkEnd w:id="1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6"/>
        <w:gridCol w:w="6487"/>
        <w:gridCol w:w="986"/>
        <w:gridCol w:w="1405"/>
      </w:tblGrid>
      <w:tr>
        <w:trPr>
          <w:cantSplit/>
          <w:tblHeader/>
        </w:trPr>
        <w:tc>
          <w:tcPr>
            <w:tcW w:type="dxa" w:w="9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الحق</w:t>
            </w:r>
          </w:p>
        </w:tc>
        <w:tc>
          <w:tcPr>
            <w:tcW w:type="dxa" w:w="64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يوجد اليوم</w:t>
            </w:r>
          </w:p>
        </w:tc>
        <w:tc>
          <w:tcPr>
            <w:tcW w:type="dxa" w:w="9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الفجوة</w:t>
            </w:r>
          </w:p>
        </w:tc>
        <w:tc>
          <w:tcPr>
            <w:tcW w:type="dxa" w:w="14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المقترح </w:t>
            </w:r>
            <w:r>
              <w:rPr>
                <w:rFonts w:ascii="Arial" w:cs="Arial" w:eastAsia="Arial" w:hAnsi="Arial"/>
                <w:color w:val="E0A800"/>
                <w:sz w:val="18"/>
                <w:szCs w:val="18"/>
                <w:rtl/>
              </w:rPr>
              <w:t xml:space="preserve">●</w:t>
            </w:r>
          </w:p>
        </w:tc>
      </w:tr>
      <w:tr>
        <w:trPr>
          <w:cantSplit/>
        </w:trPr>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الاطلاع والنسخة</w:t>
            </w:r>
          </w:p>
        </w:tc>
        <w:tc>
          <w:tcPr>
            <w:tcW w:type="dxa" w:w="6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FR-PTY-028 «نظرة شاملة للشخص» ضمن نطاق المستخدم (docs/10-detailed-analysis/10-m0-m1-platform-organization.md:218)، وتصدير بيانات المشترك كلها FR-PLT-039 (docs/10-detailed-analysis/10-m0-m1-platform-organization.md:141)</w:t>
            </w:r>
          </w:p>
        </w:tc>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يوجد تصدير لبيانات شخص واحد</w:t>
            </w:r>
          </w:p>
        </w:tc>
        <w:tc>
          <w:tcPr>
            <w:tcW w:type="dxa" w:w="1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متطلب جديد: تصدير بيانات شخص واحد (Party) بكل وثائقه واستخداماته، بصلاحية الكشف وإعادة المصادقة، ويُدقَّق</w:t>
            </w:r>
          </w:p>
        </w:tc>
      </w:tr>
      <w:tr>
        <w:trPr>
          <w:cantSplit/>
        </w:trPr>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التصحيح</w:t>
            </w:r>
          </w:p>
        </w:tc>
        <w:tc>
          <w:tcPr>
            <w:tcW w:type="dxa" w:w="6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تصحيح رقم الوثيقة بصلاحية ويُدقَّق (BR-PTY-006، docs/10-detailed-analysis/10-m0-m1-platform-organization.md:277)؛ التجديد ينشئ وثيقة جديدة</w:t>
            </w:r>
          </w:p>
        </w:tc>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جوهري</w:t>
            </w:r>
          </w:p>
        </w:tc>
        <w:tc>
          <w:tcPr>
            <w:tcW w:type="dxa" w:w="1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يبقى</w:t>
            </w:r>
          </w:p>
        </w:tc>
      </w:tr>
      <w:tr>
        <w:trPr>
          <w:cantSplit/>
        </w:trPr>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الحذف</w:t>
            </w:r>
          </w:p>
        </w:tc>
        <w:tc>
          <w:tcPr>
            <w:tcW w:type="dxa" w:w="6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إخفاء الهوية بعد الاحتفاظ (FR-PTY-029 Could في S5، docs/10-detailed-analysis/10-m0-m1-platform-organization.md:219): إزالة الأرقام والصور وإبقاء الاسم والتاريخ</w:t>
            </w:r>
          </w:p>
        </w:tc>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التعارض مع التدقيق غير المعدَّل (القسم 8.3)</w:t>
            </w:r>
          </w:p>
        </w:tc>
        <w:tc>
          <w:tcPr>
            <w:tcW w:type="dxa" w:w="1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إخفاء الهوية مع تقديم FR-PTY-029 إلى Should</w:t>
            </w:r>
          </w:p>
        </w:tc>
      </w:tr>
      <w:tr>
        <w:trPr>
          <w:cantSplit/>
        </w:trPr>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التقييد والاعتراض</w:t>
            </w:r>
          </w:p>
        </w:tc>
        <w:tc>
          <w:tcPr>
            <w:tcW w:type="dxa" w:w="6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آلية لتجميد معالجة شخص</w:t>
            </w:r>
          </w:p>
        </w:tc>
        <w:tc>
          <w:tcPr>
            <w:tcW w:type="dxa" w:w="1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علم «مقيَّد المعالجة» على Party يمنع استعماله في ملفات جديدة (DQ-S07-5)</w:t>
            </w:r>
          </w:p>
        </w:tc>
      </w:tr>
      <w:tr>
        <w:trPr>
          <w:cantSplit/>
        </w:trPr>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حقوق المستخدم DS-1</w:t>
            </w:r>
          </w:p>
        </w:tc>
        <w:tc>
          <w:tcPr>
            <w:tcW w:type="dxa" w:w="6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وأرشفة (FR-PLT-016، docs/10-detailed-analysis/10-m0-m1-platform-organization.md:118)</w:t>
            </w:r>
          </w:p>
        </w:tc>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محو للأسرار عند الأرشفة</w:t>
            </w:r>
          </w:p>
        </w:tc>
        <w:tc>
          <w:tcPr>
            <w:tcW w:type="dxa" w:w="1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محو </w:t>
            </w:r>
            <w:r>
              <w:rPr>
                <w:rFonts w:ascii="Courier New" w:cs="Courier New" w:eastAsia="Courier New" w:hAnsi="Courier New"/>
                <w:b w:val="false"/>
                <w:bCs w:val="false"/>
                <w:color w:val="1F2937"/>
                <w:sz w:val="16"/>
                <w:szCs w:val="16"/>
                <w:shd w:fill="F1F3F5" w:color="auto" w:val="clear"/>
                <w:rtl/>
              </w:rPr>
              <w:t xml:space="preserve">‎PasswordHash‎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‎MfaSecretEnc‎</w:t>
            </w:r>
            <w:r>
              <w:rPr>
                <w:rFonts w:ascii="Arial" w:cs="Arial" w:eastAsia="Arial" w:hAnsi="Arial"/>
                <w:b w:val="false"/>
                <w:bCs w:val="false"/>
                <w:sz w:val="18"/>
                <w:szCs w:val="18"/>
                <w:rtl/>
              </w:rPr>
              <w:t xml:space="preserve"> ورموز الاسترداد عند الأرشفة</w:t>
            </w:r>
          </w:p>
        </w:tc>
      </w:tr>
    </w:tbl>
    <w:p>
      <w:pPr>
        <w:bidi/>
        <w:spacing w:after="120" w:before="0"/>
      </w:pPr>
    </w:p>
    <w:p>
      <w:pPr>
        <w:pStyle w:val="Heading2"/>
        <w:bidi/>
      </w:pPr>
      <w:bookmarkStart w:name="_sec11" w:id="11"/>
      <w:r>
        <w:rPr>
          <w:rFonts w:ascii="Arial" w:cs="Arial" w:eastAsia="Arial" w:hAnsi="Arial"/>
          <w:b/>
          <w:bCs/>
          <w:color w:val="2B5C8A"/>
          <w:sz w:val="26"/>
          <w:szCs w:val="26"/>
          <w:rtl/>
        </w:rPr>
        <w:t xml:space="preserve">8.3 الحذف مقابل عدم تعديل التدقيق</w:t>
      </w:r>
      <w:bookmarkEnd w:id="11"/>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للإضافة فقط، و</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ممنوعان من التعديل والحذف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(db/static/020_roles_and_grants.sql:65). سلسلة البصمات (BR-PLT-009) تكشف أي تعديل.</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التدقيق لا يحمل القيم المقيّدة إلا مقنَّعة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(FR-PLT-023، docs/10-detailed-analysis/10-m0-m1-platform-organization.md:125)، والفاعل يُسجَّل بـ </w:t>
      </w:r>
      <w:r>
        <w:rPr>
          <w:rFonts w:ascii="Courier New" w:cs="Courier New" w:eastAsia="Courier New" w:hAnsi="Courier New"/>
          <w:b w:val="false"/>
          <w:bCs w:val="false"/>
          <w:color w:val="1F2937"/>
          <w:sz w:val="18"/>
          <w:szCs w:val="18"/>
          <w:shd w:fill="F1F3F5" w:color="auto" w:val="clear"/>
          <w:rtl/>
        </w:rPr>
        <w:t xml:space="preserve">‎PublicId‎</w:t>
      </w:r>
      <w:r>
        <w:rPr>
          <w:rFonts w:ascii="Arial" w:cs="Arial" w:eastAsia="Arial" w:hAnsi="Arial"/>
          <w:b w:val="false"/>
          <w:bCs w:val="false"/>
          <w:sz w:val="21"/>
          <w:szCs w:val="21"/>
          <w:rtl/>
        </w:rPr>
        <w:t xml:space="preserve"> (db/model/10-platform.model:308).</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المقترح:</w:t>
      </w:r>
      <w:r>
        <w:rPr>
          <w:rFonts w:ascii="Arial" w:cs="Arial" w:eastAsia="Arial" w:hAnsi="Arial"/>
          <w:b w:val="false"/>
          <w:bCs w:val="false"/>
          <w:sz w:val="21"/>
          <w:szCs w:val="21"/>
          <w:rtl/>
        </w:rPr>
        <w:t xml:space="preserve"> لا يُحذف صف تدقيق لتنفيذ طلب حذف. يُخفى الشخص في جداول الأعمال (FR-PTY-029)، ويبقى في التدقيق معرّفه والقناع فقط. يُذكر في وصف المعالجة أن سجل التدقيق يُحفظ لمدته للمساءلة. القبول القانوني لهذا قرار (DQ-S07-4).</w:t>
      </w:r>
    </w:p>
    <w:p>
      <w:pPr>
        <w:pStyle w:val="ListParagraph"/>
        <w:numPr>
          <w:ilvl w:val="0"/>
          <w:numId w:val="2"/>
        </w:numPr>
        <w:bidi/>
        <w:spacing w:after="70" w:before="0" w:line="300"/>
      </w:pPr>
      <w:r>
        <w:rPr>
          <w:rFonts w:ascii="Arial" w:cs="Arial" w:eastAsia="Arial" w:hAnsi="Arial"/>
          <w:b/>
          <w:bCs/>
          <w:sz w:val="21"/>
          <w:szCs w:val="21"/>
          <w:rtl/>
        </w:rPr>
        <w:t xml:space="preserve">حد تقني:</w:t>
      </w:r>
      <w:r>
        <w:rPr>
          <w:rFonts w:ascii="Arial" w:cs="Arial" w:eastAsia="Arial" w:hAnsi="Arial"/>
          <w:b w:val="false"/>
          <w:bCs w:val="false"/>
          <w:sz w:val="21"/>
          <w:szCs w:val="21"/>
          <w:rtl/>
        </w:rPr>
        <w:t xml:space="preserve"> التشفير بمفتاح لكل مشترك لا لكل شخص، فلا يمكن «محو» شخص بإتلاف مفتاحه. المحو يتم بحذف الغلاف نفسه.</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‎BeforeJson‎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‎AfterJson‎</w:t>
      </w:r>
      <w:r>
        <w:rPr>
          <w:rFonts w:ascii="Arial" w:cs="Arial" w:eastAsia="Arial" w:hAnsi="Arial"/>
          <w:b w:val="false"/>
          <w:bCs w:val="false"/>
          <w:sz w:val="21"/>
          <w:szCs w:val="21"/>
          <w:rtl/>
        </w:rPr>
        <w:t xml:space="preserve"> قد تحمل اسمًا أو عنوانًا (سرّي لا مقيّد).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لا تُكتب فيها قيم سرّية لأعمدة Party، بل «تغيّر» فقط، مثل المقيّد (DQ-S07-6).</w:t>
      </w:r>
    </w:p>
    <w:p>
      <w:pPr>
        <w:bidi/>
        <w:spacing w:after="60" w:before="0"/>
      </w:pPr>
    </w:p>
    <w:p>
      <w:pPr>
        <w:pStyle w:val="Heading1"/>
        <w:bidi/>
      </w:pPr>
      <w:bookmarkStart w:name="_sec12" w:id="12"/>
      <w:r>
        <w:rPr>
          <w:rFonts w:ascii="Arial" w:cs="Arial" w:eastAsia="Arial" w:hAnsi="Arial"/>
          <w:b/>
          <w:bCs/>
          <w:color w:val="1F3A5F"/>
          <w:sz w:val="32"/>
          <w:szCs w:val="32"/>
          <w:rtl/>
        </w:rPr>
        <w:t xml:space="preserve">9. المعالجون الفرعيون</w:t>
      </w:r>
      <w:bookmarkEnd w:id="1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69"/>
        <w:gridCol w:w="2369"/>
        <w:gridCol w:w="2635"/>
        <w:gridCol w:w="2491"/>
      </w:tblGrid>
      <w:tr>
        <w:trPr>
          <w:cantSplit/>
          <w:tblHeader/>
        </w:trPr>
        <w:tc>
          <w:tcPr>
            <w:tcW w:type="dxa" w:w="23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الجهة</w:t>
            </w:r>
          </w:p>
        </w:tc>
        <w:tc>
          <w:tcPr>
            <w:tcW w:type="dxa" w:w="23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البيانات التي تصلها</w:t>
            </w:r>
          </w:p>
        </w:tc>
        <w:tc>
          <w:tcPr>
            <w:tcW w:type="dxa" w:w="26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24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المطلوب </w:t>
            </w:r>
            <w:r>
              <w:rPr>
                <w:rFonts w:ascii="Arial" w:cs="Arial" w:eastAsia="Arial" w:hAnsi="Arial"/>
                <w:color w:val="E0A800"/>
                <w:sz w:val="18"/>
                <w:szCs w:val="18"/>
                <w:rtl/>
              </w:rPr>
              <w:t xml:space="preserve">●</w:t>
            </w:r>
          </w:p>
        </w:tc>
      </w:tr>
      <w:tr>
        <w:trPr>
          <w:cantSplit/>
        </w:trPr>
        <w:tc>
          <w:tcPr>
            <w:tcW w:type="dxa" w:w="23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 الاستضافة (VPS)</w:t>
            </w:r>
          </w:p>
        </w:tc>
        <w:tc>
          <w:tcPr>
            <w:tcW w:type="dxa" w:w="23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شيء مشفّرًا عند التخزين (TDE، DOC-S02)</w:t>
            </w:r>
          </w:p>
        </w:tc>
        <w:tc>
          <w:tcPr>
            <w:tcW w:type="dxa" w:w="26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مقرر، والمزوّد غير مسمّى في المصادر</w:t>
            </w:r>
          </w:p>
        </w:tc>
        <w:tc>
          <w:tcPr>
            <w:tcW w:type="dxa" w:w="24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عقد معالجة، ودولة الخادم، والتزام إخطار بالخرق، وحظر الوصول إلى الأقراص</w:t>
            </w:r>
          </w:p>
        </w:tc>
      </w:tr>
      <w:tr>
        <w:trPr>
          <w:cantSplit/>
        </w:trPr>
        <w:tc>
          <w:tcPr>
            <w:tcW w:type="dxa" w:w="23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 البريد</w:t>
            </w:r>
          </w:p>
        </w:tc>
        <w:tc>
          <w:tcPr>
            <w:tcW w:type="dxa" w:w="23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عنوان المستلم واسمه ورابط الدعوة</w:t>
            </w:r>
          </w:p>
        </w:tc>
        <w:tc>
          <w:tcPr>
            <w:tcW w:type="dxa" w:w="26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«تهيّئه الاستضافة» </w:t>
            </w:r>
            <w:r>
              <w:rPr>
                <w:rFonts w:ascii="Arial" w:cs="Arial" w:eastAsia="Arial" w:hAnsi="Arial"/>
                <w:color w:val="E0A800"/>
                <w:sz w:val="18"/>
                <w:szCs w:val="18"/>
                <w:rtl/>
              </w:rPr>
              <w:t xml:space="preserve">●</w:t>
            </w:r>
          </w:p>
        </w:tc>
        <w:tc>
          <w:tcPr>
            <w:tcW w:type="dxa" w:w="24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عقد معالجة، وTLS إلزامي (DOC-S05 §6)</w:t>
            </w:r>
          </w:p>
        </w:tc>
      </w:tr>
      <w:tr>
        <w:trPr>
          <w:cantSplit/>
        </w:trPr>
        <w:tc>
          <w:tcPr>
            <w:tcW w:type="dxa" w:w="23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المفاتيح</w:t>
            </w:r>
          </w:p>
        </w:tc>
        <w:tc>
          <w:tcPr>
            <w:tcW w:type="dxa" w:w="23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بيانات شخصية؛ مفاتيح فقط</w:t>
            </w:r>
          </w:p>
        </w:tc>
        <w:tc>
          <w:tcPr>
            <w:tcW w:type="dxa" w:w="26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مفتوح (DQ-S02-1)</w:t>
            </w:r>
          </w:p>
        </w:tc>
        <w:tc>
          <w:tcPr>
            <w:tcW w:type="dxa" w:w="24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الدولة وشروط الوصول</w:t>
            </w:r>
          </w:p>
        </w:tc>
      </w:tr>
      <w:tr>
        <w:trPr>
          <w:cantSplit/>
        </w:trPr>
        <w:tc>
          <w:tcPr>
            <w:tcW w:type="dxa" w:w="23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الموقع المنفصل للنسخ</w:t>
            </w:r>
          </w:p>
        </w:tc>
        <w:tc>
          <w:tcPr>
            <w:tcW w:type="dxa" w:w="23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مشفّرة</w:t>
            </w:r>
          </w:p>
        </w:tc>
        <w:tc>
          <w:tcPr>
            <w:tcW w:type="dxa" w:w="26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مفتوح (DOC-S09)</w:t>
            </w:r>
          </w:p>
        </w:tc>
        <w:tc>
          <w:tcPr>
            <w:tcW w:type="dxa" w:w="24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الدولة، والحذف عند انتهاء المدة</w:t>
            </w:r>
          </w:p>
        </w:tc>
      </w:tr>
      <w:tr>
        <w:trPr>
          <w:cantSplit/>
        </w:trPr>
        <w:tc>
          <w:tcPr>
            <w:tcW w:type="dxa" w:w="23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سلطة التصديق ومزوّد DNS</w:t>
            </w:r>
          </w:p>
        </w:tc>
        <w:tc>
          <w:tcPr>
            <w:tcW w:type="dxa" w:w="23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المشتركين في DNS إن وُجدت سجلات لكل مشترك</w:t>
            </w:r>
          </w:p>
        </w:tc>
        <w:tc>
          <w:tcPr>
            <w:tcW w:type="dxa" w:w="26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w:t>
            </w:r>
          </w:p>
        </w:tc>
        <w:tc>
          <w:tcPr>
            <w:tcW w:type="dxa" w:w="24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شاملة لا تكشف الرموز (DOC-S05 §4.3)</w:t>
            </w:r>
          </w:p>
        </w:tc>
      </w:tr>
    </w:tbl>
    <w:p>
      <w:pPr>
        <w:bidi/>
        <w:spacing w:after="120" w:before="0"/>
      </w:pPr>
    </w:p>
    <w:p>
      <w:pPr>
        <w:bidi/>
        <w:spacing w:after="110" w:before="0" w:line="312"/>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تنشر المنصة للمشتركين قائمة المعالجين الفرعيين، وتُبلغهم قبل أي تغيير (DQ-S07-3).</w:t>
      </w:r>
    </w:p>
    <w:p>
      <w:pPr>
        <w:pStyle w:val="Heading1"/>
        <w:bidi/>
      </w:pPr>
      <w:bookmarkStart w:name="_sec13" w:id="13"/>
      <w:r>
        <w:rPr>
          <w:rFonts w:ascii="Arial" w:cs="Arial" w:eastAsia="Arial" w:hAnsi="Arial"/>
          <w:b/>
          <w:bCs/>
          <w:color w:val="1F3A5F"/>
          <w:sz w:val="32"/>
          <w:szCs w:val="32"/>
          <w:rtl/>
        </w:rPr>
        <w:t xml:space="preserve">10. تقييم المخاطر</w:t>
      </w:r>
      <w:bookmarkEnd w:id="1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66"/>
        <w:gridCol w:w="966"/>
        <w:gridCol w:w="5500"/>
        <w:gridCol w:w="966"/>
        <w:gridCol w:w="1466"/>
      </w:tblGrid>
      <w:tr>
        <w:trPr>
          <w:cantSplit/>
          <w:tblHeader/>
        </w:trPr>
        <w:tc>
          <w:tcPr>
            <w:tcW w:type="dxa" w:w="9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الخطر</w:t>
            </w:r>
          </w:p>
        </w:tc>
        <w:tc>
          <w:tcPr>
            <w:tcW w:type="dxa" w:w="9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الوصف</w:t>
            </w:r>
          </w:p>
        </w:tc>
        <w:tc>
          <w:tcPr>
            <w:tcW w:type="dxa" w:w="55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اليوم</w:t>
            </w:r>
          </w:p>
        </w:tc>
        <w:tc>
          <w:tcPr>
            <w:tcW w:type="dxa" w:w="9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المقترح </w:t>
            </w:r>
            <w:r>
              <w:rPr>
                <w:rFonts w:ascii="Arial" w:cs="Arial" w:eastAsia="Arial" w:hAnsi="Arial"/>
                <w:color w:val="E0A800"/>
                <w:sz w:val="18"/>
                <w:szCs w:val="18"/>
                <w:rtl/>
              </w:rPr>
              <w:t xml:space="preserve">●</w:t>
            </w:r>
          </w:p>
        </w:tc>
        <w:tc>
          <w:tcPr>
            <w:tcW w:type="dxa" w:w="14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المتبقي</w:t>
            </w:r>
          </w:p>
        </w:tc>
      </w:tr>
      <w:tr>
        <w:trPr>
          <w:cantSplit/>
        </w:trPr>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R-P1 تسريب بين المشتركين</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بيانات مشترك آخر</w:t>
            </w:r>
          </w:p>
        </w:tc>
        <w:tc>
          <w:tcPr>
            <w:tcW w:type="dxa" w:w="5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RLS وربط الجلسة و41 حالة عزل (T1 إلى T38 مع T8b وT16b وT16c، db/tests/tenant_isolation_tests.sql) يشغّلها tools/ci/db_ci.sh في حاوية التطوير وعلى GitHub منذ 2026-10-12 (O-02 (erd_open_items))</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اختبارات IDOR على كل نقطة API (DOC-S13)</w:t>
            </w:r>
          </w:p>
        </w:tc>
        <w:tc>
          <w:tcPr>
            <w:tcW w:type="dxa" w:w="1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 O-20 وO-21 (erd_open_items) مفتوحان</w:t>
            </w:r>
          </w:p>
        </w:tc>
      </w:tr>
      <w:tr>
        <w:trPr>
          <w:cantSplit/>
        </w:trPr>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R-P2 نسخ مقيّدة غير محمية</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IBAN صريح في المقارنات، ونص البنود الحرفي</w:t>
            </w:r>
          </w:p>
        </w:tc>
        <w:tc>
          <w:tcPr>
            <w:tcW w:type="dxa" w:w="5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DR-46 وDR-31 (DOC-S06 §7.1)</w:t>
            </w:r>
          </w:p>
        </w:tc>
        <w:tc>
          <w:tcPr>
            <w:tcW w:type="dxa" w:w="1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 حتى التطبيق</w:t>
            </w:r>
          </w:p>
        </w:tc>
      </w:tr>
      <w:tr>
        <w:trPr>
          <w:cantSplit/>
        </w:trPr>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R-P3 سجلات الأمن بلا مدة</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عناوين IP وبريد مكتوب خطأ يتراكم</w:t>
            </w:r>
          </w:p>
        </w:tc>
        <w:tc>
          <w:tcPr>
            <w:tcW w:type="dxa" w:w="5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مدد القسم 4، ومهمة إتلاف بموافقة</w:t>
            </w:r>
          </w:p>
        </w:tc>
        <w:tc>
          <w:tcPr>
            <w:tcW w:type="dxa" w:w="1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w:t>
            </w:r>
          </w:p>
        </w:tc>
      </w:tr>
      <w:tr>
        <w:trPr>
          <w:cantSplit/>
        </w:trPr>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R-P4 النسخ تحمل المحذوف</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متلفة باقية في النسخ</w:t>
            </w:r>
          </w:p>
        </w:tc>
        <w:tc>
          <w:tcPr>
            <w:tcW w:type="dxa" w:w="5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مدد DOC-S09 وإعادة تنفيذ الإتلاف بعد الاستعادة</w:t>
            </w:r>
          </w:p>
        </w:tc>
        <w:tc>
          <w:tcPr>
            <w:tcW w:type="dxa" w:w="1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w:t>
            </w:r>
          </w:p>
        </w:tc>
      </w:tr>
      <w:tr>
        <w:trPr>
          <w:cantSplit/>
        </w:trPr>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R-P5 وصول المشغّل</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 يرى بيانات المشترك في جلسة دعم</w:t>
            </w:r>
          </w:p>
        </w:tc>
        <w:tc>
          <w:tcPr>
            <w:tcW w:type="dxa" w:w="5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وصول مؤقت بيد مدير الحساب، ولا كشف للمقيّد (FR-PLT-007، docs/10-detailed-analysis/10-m0-m1-platform-organization.md:109؛ BR-PLT-017، docs/10-detailed-analysis/10-m0-m1-platform-organization.md:243)</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جلسة الدعم يراه مدير الحساب </w:t>
            </w:r>
            <w:r>
              <w:rPr>
                <w:rFonts w:ascii="Arial" w:cs="Arial" w:eastAsia="Arial" w:hAnsi="Arial"/>
                <w:color w:val="2E9E44"/>
                <w:sz w:val="18"/>
                <w:szCs w:val="18"/>
                <w:rtl/>
              </w:rPr>
              <w:t xml:space="preserve">●</w:t>
            </w:r>
          </w:p>
        </w:tc>
        <w:tc>
          <w:tcPr>
            <w:tcW w:type="dxa" w:w="1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w:t>
            </w:r>
          </w:p>
        </w:tc>
      </w:tr>
      <w:tr>
        <w:trPr>
          <w:cantSplit/>
        </w:trPr>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R-P6 مخالفة الإقامة</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أو نسخ في دولة غير مقبولة</w:t>
            </w:r>
          </w:p>
        </w:tc>
        <w:tc>
          <w:tcPr>
            <w:tcW w:type="dxa" w:w="5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قرار</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DQ-S07-1 وDQ-S07-2</w:t>
            </w:r>
          </w:p>
        </w:tc>
        <w:tc>
          <w:tcPr>
            <w:tcW w:type="dxa" w:w="1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عالٍ حتى القرار</w:t>
            </w:r>
          </w:p>
        </w:tc>
      </w:tr>
      <w:tr>
        <w:trPr>
          <w:cantSplit/>
        </w:trPr>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R-P7 تسرّب عبر البريد</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رابط أو بيانات في بريد غير مشفّر</w:t>
            </w:r>
          </w:p>
        </w:tc>
        <w:tc>
          <w:tcPr>
            <w:tcW w:type="dxa" w:w="5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الرابط لمرة واحدة ومجزّأ، ولا مقيّد في البريد (FR-PLT-013)</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 §6</w:t>
            </w:r>
          </w:p>
        </w:tc>
        <w:tc>
          <w:tcPr>
            <w:tcW w:type="dxa" w:w="1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w:t>
            </w:r>
          </w:p>
        </w:tc>
      </w:tr>
      <w:tr>
        <w:trPr>
          <w:cantSplit/>
        </w:trPr>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R-P8 فقد المفتاح الرئيسي</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فقد الأعمدة المشفّرة والملفات</w:t>
            </w:r>
          </w:p>
        </w:tc>
        <w:tc>
          <w:tcPr>
            <w:tcW w:type="dxa" w:w="5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بعد</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الحفظ المزدوج (DOC-S02 §9)</w:t>
            </w:r>
          </w:p>
        </w:tc>
        <w:tc>
          <w:tcPr>
            <w:tcW w:type="dxa" w:w="1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 حتى التطبيق</w:t>
            </w:r>
          </w:p>
        </w:tc>
      </w:tr>
      <w:tr>
        <w:trPr>
          <w:cantSplit/>
        </w:trPr>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R-P9 حزم التصدير</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مقيّدة تخرج من المنصة</w:t>
            </w:r>
          </w:p>
        </w:tc>
        <w:tc>
          <w:tcPr>
            <w:tcW w:type="dxa" w:w="5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حامل الكشف، وحزمة مختومة (BR-PLT-016)</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DR-13: مستوى الحزمة مقيّد</w:t>
            </w:r>
          </w:p>
        </w:tc>
        <w:tc>
          <w:tcPr>
            <w:tcW w:type="dxa" w:w="1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w:t>
            </w:r>
          </w:p>
        </w:tc>
      </w:tr>
      <w:tr>
        <w:trPr>
          <w:cantSplit/>
        </w:trPr>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R-P10 فئات خاصة</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PEP والعقوبات والإعاقة</w:t>
            </w:r>
          </w:p>
        </w:tc>
        <w:tc>
          <w:tcPr>
            <w:tcW w:type="dxa" w:w="5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لدور التقارير على </w:t>
            </w:r>
            <w:r>
              <w:rPr>
                <w:rFonts w:ascii="Courier New" w:cs="Courier New" w:eastAsia="Courier New" w:hAnsi="Courier New"/>
                <w:b w:val="false"/>
                <w:bCs w:val="false"/>
                <w:color w:val="1F2937"/>
                <w:sz w:val="16"/>
                <w:szCs w:val="16"/>
                <w:shd w:fill="F1F3F5" w:color="auto" w:val="clear"/>
                <w:rtl/>
              </w:rPr>
              <w:t xml:space="preserve">‎pty.PartyCompliance‎</w:t>
            </w:r>
            <w:r>
              <w:rPr>
                <w:rFonts w:ascii="Arial" w:cs="Arial" w:eastAsia="Arial" w:hAnsi="Arial"/>
                <w:b w:val="false"/>
                <w:bCs w:val="false"/>
                <w:sz w:val="18"/>
                <w:szCs w:val="18"/>
                <w:rtl/>
              </w:rPr>
              <w:t xml:space="preserve"> (db/generated/tsql/006_sensitive_columns.sql:20-25)</w:t>
            </w:r>
          </w:p>
        </w:tc>
        <w:tc>
          <w:tcPr>
            <w:tcW w:type="dxa" w:w="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w:t>
            </w:r>
            <w:r>
              <w:rPr>
                <w:rFonts w:ascii="Courier New" w:cs="Courier New" w:eastAsia="Courier New" w:hAnsi="Courier New"/>
                <w:b w:val="false"/>
                <w:bCs w:val="false"/>
                <w:color w:val="1F2937"/>
                <w:sz w:val="16"/>
                <w:szCs w:val="16"/>
                <w:shd w:fill="F1F3F5" w:color="auto" w:val="clear"/>
                <w:rtl/>
              </w:rPr>
              <w:t xml:space="preserve">‎Details‎</w:t>
            </w:r>
            <w:r>
              <w:rPr>
                <w:rFonts w:ascii="Arial" w:cs="Arial" w:eastAsia="Arial" w:hAnsi="Arial"/>
                <w:b w:val="false"/>
                <w:bCs w:val="false"/>
                <w:sz w:val="18"/>
                <w:szCs w:val="18"/>
                <w:rtl/>
              </w:rPr>
              <w:t xml:space="preserve">، ولا جمع للإعاقة دون رأي قانوني</w:t>
            </w:r>
          </w:p>
        </w:tc>
        <w:tc>
          <w:tcPr>
            <w:tcW w:type="dxa" w:w="1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w:t>
            </w:r>
          </w:p>
        </w:tc>
      </w:tr>
      <w:tr>
        <w:trPr>
          <w:cantSplit/>
        </w:trPr>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R-P11 الشذوذ في الكشف</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موظف يكشف أرقامًا كثيرة</w:t>
            </w:r>
          </w:p>
        </w:tc>
        <w:tc>
          <w:tcPr>
            <w:tcW w:type="dxa" w:w="5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 بعد 20 كشفًا في الساعة (BR-PTY-009، docs/10-detailed-analysis/10-m0-m1-platform-organization.md:280)</w:t>
            </w:r>
          </w:p>
        </w:tc>
        <w:tc>
          <w:tcPr>
            <w:tcW w:type="dxa" w:w="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يبقى</w:t>
            </w:r>
          </w:p>
        </w:tc>
        <w:tc>
          <w:tcPr>
            <w:tcW w:type="dxa" w:w="1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w:t>
            </w:r>
          </w:p>
        </w:tc>
      </w:tr>
    </w:tbl>
    <w:p>
      <w:pPr>
        <w:bidi/>
        <w:spacing w:after="120" w:before="0"/>
      </w:pPr>
    </w:p>
    <w:p>
      <w:pPr>
        <w:pStyle w:val="Heading1"/>
        <w:bidi/>
      </w:pPr>
      <w:bookmarkStart w:name="_sec14" w:id="14"/>
      <w:r>
        <w:rPr>
          <w:rFonts w:ascii="Arial" w:cs="Arial" w:eastAsia="Arial" w:hAnsi="Arial"/>
          <w:b/>
          <w:bCs/>
          <w:color w:val="1F3A5F"/>
          <w:sz w:val="32"/>
          <w:szCs w:val="32"/>
          <w:rtl/>
        </w:rPr>
        <w:t xml:space="preserve">11. إخطار الخرق</w:t>
      </w:r>
      <w:bookmarkEnd w:id="14"/>
    </w:p>
    <w:p>
      <w:pPr>
        <w:pStyle w:val="ListParagraph"/>
        <w:numPr>
          <w:ilvl w:val="0"/>
          <w:numId w:val="2"/>
        </w:numPr>
        <w:bidi/>
        <w:spacing w:after="70" w:before="0" w:line="300"/>
      </w:pPr>
      <w:r>
        <w:rPr>
          <w:rFonts w:ascii="Arial" w:cs="Arial" w:eastAsia="Arial" w:hAnsi="Arial"/>
          <w:b w:val="false"/>
          <w:bCs w:val="false"/>
          <w:sz w:val="21"/>
          <w:szCs w:val="21"/>
          <w:rtl/>
        </w:rPr>
        <w:t xml:space="preserve">الإجراء الكامل في DOC-S15 (P2، لم يُكتب بعد؛ docs/30-readiness-documents.md:325-330). هذه الوثيقة تحدد ما يلزمه منها.</w:t>
      </w:r>
    </w:p>
    <w:p>
      <w:pPr>
        <w:pStyle w:val="ListParagraph"/>
        <w:numPr>
          <w:ilvl w:val="0"/>
          <w:numId w:val="2"/>
        </w:numPr>
        <w:bidi/>
        <w:spacing w:after="70" w:before="0" w:line="300"/>
      </w:pPr>
      <w:r>
        <w:rPr>
          <w:rFonts w:ascii="Arial" w:cs="Arial" w:eastAsia="Arial" w:hAnsi="Arial"/>
          <w:b/>
          <w:bCs/>
          <w:sz w:val="21"/>
          <w:szCs w:val="21"/>
          <w:rtl/>
        </w:rPr>
        <w:t xml:space="preserve">مصادر الكشف الموجودة:</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‎UNWRAP_FAILED‎</w:t>
      </w:r>
      <w:r>
        <w:rPr>
          <w:rFonts w:ascii="Arial" w:cs="Arial" w:eastAsia="Arial" w:hAnsi="Arial"/>
          <w:b w:val="false"/>
          <w:bCs w:val="false"/>
          <w:sz w:val="21"/>
          <w:szCs w:val="21"/>
          <w:rtl/>
        </w:rPr>
        <w:t xml:space="preserve"> في </w:t>
      </w:r>
      <w:r>
        <w:rPr>
          <w:rFonts w:ascii="Courier New" w:cs="Courier New" w:eastAsia="Courier New" w:hAnsi="Courier New"/>
          <w:b w:val="false"/>
          <w:bCs w:val="false"/>
          <w:color w:val="1F2937"/>
          <w:sz w:val="18"/>
          <w:szCs w:val="18"/>
          <w:shd w:fill="F1F3F5" w:color="auto" w:val="clear"/>
          <w:rtl/>
        </w:rPr>
        <w:t xml:space="preserve">‎sec.KeyEvent‎</w:t>
      </w:r>
      <w:r>
        <w:rPr>
          <w:rFonts w:ascii="Arial" w:cs="Arial" w:eastAsia="Arial" w:hAnsi="Arial"/>
          <w:b w:val="false"/>
          <w:bCs w:val="false"/>
          <w:sz w:val="21"/>
          <w:szCs w:val="21"/>
          <w:rtl/>
        </w:rPr>
        <w:t xml:space="preserve"> (db/model/10-platform.model:293)، وشذوذ الكشف (BR-PTY-009)، وفشل سلامة الملفات </w:t>
      </w:r>
      <w:r>
        <w:rPr>
          <w:rFonts w:ascii="Courier New" w:cs="Courier New" w:eastAsia="Courier New" w:hAnsi="Courier New"/>
          <w:b w:val="false"/>
          <w:bCs w:val="false"/>
          <w:color w:val="1F2937"/>
          <w:sz w:val="18"/>
          <w:szCs w:val="18"/>
          <w:shd w:fill="F1F3F5" w:color="auto" w:val="clear"/>
          <w:rtl/>
        </w:rPr>
        <w:t xml:space="preserve">‎MISMATCH‎</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‎MISSING‎</w:t>
      </w:r>
      <w:r>
        <w:rPr>
          <w:rFonts w:ascii="Arial" w:cs="Arial" w:eastAsia="Arial" w:hAnsi="Arial"/>
          <w:b w:val="false"/>
          <w:bCs w:val="false"/>
          <w:sz w:val="21"/>
          <w:szCs w:val="21"/>
          <w:rtl/>
        </w:rPr>
        <w:t xml:space="preserve"> (db/model/10-platform.model:399)، وفشل اختبارات العزل.</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تُبلغ المنصة المشترك المتأثر بعد تأكيد الحادث بلا تأخير، وبهدف داخلي 24 ساعة. المهلة النظامية للإبلاغ إلى الجهة المختصة وأصحاب البيانات يحددها المستشار لكل دولة، والمشترك هو المبلِّغ بصفته مسؤول البيانات.</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محتوى الإبلاغ للمشترك: وصف الحادث، والفئات P-n المتأثرة، وعدد السجلات تقريبًا، والإجراءات المتخذة، ونقطة اتصال.</w:t>
      </w:r>
    </w:p>
    <w:p>
      <w:pPr>
        <w:pStyle w:val="ListParagraph"/>
        <w:numPr>
          <w:ilvl w:val="0"/>
          <w:numId w:val="2"/>
        </w:numPr>
        <w:bidi/>
        <w:spacing w:after="70" w:before="0" w:line="300"/>
      </w:pPr>
      <w:r>
        <w:rPr>
          <w:rFonts w:ascii="Arial" w:cs="Arial" w:eastAsia="Arial" w:hAnsi="Arial"/>
          <w:b w:val="false"/>
          <w:bCs w:val="false"/>
          <w:sz w:val="21"/>
          <w:szCs w:val="21"/>
          <w:rtl/>
        </w:rPr>
        <w:t xml:space="preserve">كل مشترك يسجّل نقطة اتصال للخصوصية عند التهيئة (DQ-S07-7).</w:t>
      </w:r>
    </w:p>
    <w:p>
      <w:pPr>
        <w:bidi/>
        <w:spacing w:after="60" w:before="0"/>
      </w:pPr>
    </w:p>
    <w:p>
      <w:pPr>
        <w:pStyle w:val="Heading1"/>
        <w:bidi/>
      </w:pPr>
      <w:bookmarkStart w:name="_sec15" w:id="15"/>
      <w:r>
        <w:rPr>
          <w:rFonts w:ascii="Arial" w:cs="Arial" w:eastAsia="Arial" w:hAnsi="Arial"/>
          <w:b/>
          <w:bCs/>
          <w:color w:val="1F3A5F"/>
          <w:sz w:val="32"/>
          <w:szCs w:val="32"/>
          <w:rtl/>
        </w:rPr>
        <w:t xml:space="preserve">12. القرارات المطلوبة</w:t>
      </w:r>
      <w:bookmarkEnd w:id="1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55"/>
        <w:gridCol w:w="1778"/>
        <w:gridCol w:w="2102"/>
        <w:gridCol w:w="1293"/>
        <w:gridCol w:w="3236"/>
      </w:tblGrid>
      <w:tr>
        <w:trPr>
          <w:cantSplit/>
          <w:tblHeader/>
        </w:trPr>
        <w:tc>
          <w:tcPr>
            <w:tcW w:type="dxa" w:w="14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7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1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2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32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DQ-S07-1</w:t>
            </w:r>
          </w:p>
        </w:tc>
        <w:tc>
          <w:tcPr>
            <w:tcW w:type="dxa" w:w="17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دولة VPS الإنتاج</w:t>
            </w:r>
          </w:p>
        </w:tc>
        <w:tc>
          <w:tcPr>
            <w:tcW w:type="dxa" w:w="21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تُختار بعد رأي قانوني لكل دولة مستهدفة</w:t>
            </w:r>
          </w:p>
        </w:tc>
        <w:tc>
          <w:tcPr>
            <w:tcW w:type="dxa" w:w="1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المستشار القانوني</w:t>
            </w:r>
          </w:p>
        </w:tc>
        <w:tc>
          <w:tcPr>
            <w:tcW w:type="dxa" w:w="32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تحميل بيانات حقيقية (ADR 0001)</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DQ-S07-2</w:t>
            </w:r>
          </w:p>
        </w:tc>
        <w:tc>
          <w:tcPr>
            <w:tcW w:type="dxa" w:w="17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دولة الموقع المنفصل للنسخ ومخزن المفاتيح</w:t>
            </w:r>
          </w:p>
        </w:tc>
        <w:tc>
          <w:tcPr>
            <w:tcW w:type="dxa" w:w="21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الدولة نفسها أو دولة يقبلها الرأي القانوني</w:t>
            </w:r>
          </w:p>
        </w:tc>
        <w:tc>
          <w:tcPr>
            <w:tcW w:type="dxa" w:w="1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المستشار</w:t>
            </w:r>
          </w:p>
        </w:tc>
        <w:tc>
          <w:tcPr>
            <w:tcW w:type="dxa" w:w="32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 DOC-S02</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DQ-S07-3</w:t>
            </w:r>
          </w:p>
        </w:tc>
        <w:tc>
          <w:tcPr>
            <w:tcW w:type="dxa" w:w="17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الأدوار (Controller وProcessor) والعقد مع المشترك وقائمة المعالجين الفرعيين</w:t>
            </w:r>
          </w:p>
        </w:tc>
        <w:tc>
          <w:tcPr>
            <w:tcW w:type="dxa" w:w="21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الافتراض في القسم 2، وملحق معالجة في عقد الاشتراك</w:t>
            </w:r>
          </w:p>
        </w:tc>
        <w:tc>
          <w:tcPr>
            <w:tcW w:type="dxa" w:w="1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المستشار</w:t>
            </w:r>
          </w:p>
        </w:tc>
        <w:tc>
          <w:tcPr>
            <w:tcW w:type="dxa" w:w="32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الإطلاق التجريبي</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DQ-S07-4</w:t>
            </w:r>
          </w:p>
        </w:tc>
        <w:tc>
          <w:tcPr>
            <w:tcW w:type="dxa" w:w="17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بقاء التدقيق المقنَّع بعد طلب حذف</w:t>
            </w:r>
          </w:p>
        </w:tc>
        <w:tc>
          <w:tcPr>
            <w:tcW w:type="dxa" w:w="21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مقبول للمساءلة، ويُذكر في وصف المعالجة</w:t>
            </w:r>
          </w:p>
        </w:tc>
        <w:tc>
          <w:tcPr>
            <w:tcW w:type="dxa" w:w="1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المستشار القانوني</w:t>
            </w:r>
          </w:p>
        </w:tc>
        <w:tc>
          <w:tcPr>
            <w:tcW w:type="dxa" w:w="32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FR-PTY-029</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DQ-S07-5</w:t>
            </w:r>
          </w:p>
        </w:tc>
        <w:tc>
          <w:tcPr>
            <w:tcW w:type="dxa" w:w="17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علم «مقيَّد المعالجة» على Party</w:t>
            </w:r>
          </w:p>
        </w:tc>
        <w:tc>
          <w:tcPr>
            <w:tcW w:type="dxa" w:w="21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نعم في S1</w:t>
            </w:r>
          </w:p>
        </w:tc>
        <w:tc>
          <w:tcPr>
            <w:tcW w:type="dxa" w:w="1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32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DQ-S07-6</w:t>
            </w:r>
          </w:p>
        </w:tc>
        <w:tc>
          <w:tcPr>
            <w:tcW w:type="dxa" w:w="17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القيم السرّية في </w:t>
            </w:r>
            <w:r>
              <w:rPr>
                <w:rFonts w:ascii="Courier New" w:cs="Courier New" w:eastAsia="Courier New" w:hAnsi="Courier New"/>
                <w:b w:val="false"/>
                <w:bCs w:val="false"/>
                <w:color w:val="1F2937"/>
                <w:sz w:val="16"/>
                <w:szCs w:val="16"/>
                <w:shd w:fill="F1F3F5" w:color="auto" w:val="clear"/>
                <w:rtl/>
              </w:rPr>
              <w:t xml:space="preserve">‎BeforeJson‎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‎AfterJson‎</w:t>
            </w:r>
          </w:p>
        </w:tc>
        <w:tc>
          <w:tcPr>
            <w:tcW w:type="dxa" w:w="21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«تغيّر» فقط لأعمدة Party السرّية</w:t>
            </w:r>
          </w:p>
        </w:tc>
        <w:tc>
          <w:tcPr>
            <w:tcW w:type="dxa" w:w="1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البيانات</w:t>
            </w:r>
          </w:p>
        </w:tc>
        <w:tc>
          <w:tcPr>
            <w:tcW w:type="dxa" w:w="32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DQ-S07-7</w:t>
            </w:r>
          </w:p>
        </w:tc>
        <w:tc>
          <w:tcPr>
            <w:tcW w:type="dxa" w:w="17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نقطة اتصال الخصوصية لكل مشترك</w:t>
            </w:r>
          </w:p>
        </w:tc>
        <w:tc>
          <w:tcPr>
            <w:tcW w:type="dxa" w:w="21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حقل إلزامي عند التهيئة</w:t>
            </w:r>
          </w:p>
        </w:tc>
        <w:tc>
          <w:tcPr>
            <w:tcW w:type="dxa" w:w="1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32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DOC-F05</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DQ-S07-8</w:t>
            </w:r>
          </w:p>
        </w:tc>
        <w:tc>
          <w:tcPr>
            <w:tcW w:type="dxa" w:w="17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مدد الاحتفاظ لكل فئة</w:t>
            </w:r>
          </w:p>
        </w:tc>
        <w:tc>
          <w:tcPr>
            <w:tcW w:type="dxa" w:w="21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عمود الاحتفاظ في القسم 4</w:t>
            </w:r>
          </w:p>
        </w:tc>
        <w:tc>
          <w:tcPr>
            <w:tcW w:type="dxa" w:w="1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المستشار مع المالك</w:t>
            </w:r>
          </w:p>
        </w:tc>
        <w:tc>
          <w:tcPr>
            <w:tcW w:type="dxa" w:w="32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FR-PLT-040، O-6 (20-database-design)</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DQ-S07-9</w:t>
            </w:r>
          </w:p>
        </w:tc>
        <w:tc>
          <w:tcPr>
            <w:tcW w:type="dxa" w:w="17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بيانات شخص واحد</w:t>
            </w:r>
          </w:p>
        </w:tc>
        <w:tc>
          <w:tcPr>
            <w:tcW w:type="dxa" w:w="21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متطلب جديد في S1 أو S2</w:t>
            </w:r>
          </w:p>
        </w:tc>
        <w:tc>
          <w:tcPr>
            <w:tcW w:type="dxa" w:w="1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32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 الاطلاع</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DQ-S07-10</w:t>
            </w:r>
          </w:p>
        </w:tc>
        <w:tc>
          <w:tcPr>
            <w:tcW w:type="dxa" w:w="17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الأساس النظامي لكل غرض</w:t>
            </w:r>
          </w:p>
        </w:tc>
        <w:tc>
          <w:tcPr>
            <w:tcW w:type="dxa" w:w="21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يحدده المستشار لكل دولة</w:t>
            </w:r>
          </w:p>
        </w:tc>
        <w:tc>
          <w:tcPr>
            <w:tcW w:type="dxa" w:w="1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المستشار القانوني</w:t>
            </w:r>
          </w:p>
        </w:tc>
        <w:tc>
          <w:tcPr>
            <w:tcW w:type="dxa" w:w="32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X-AUD-4</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Q-PLT-03 (الجزء القانوني)</w:t>
            </w:r>
          </w:p>
        </w:tc>
        <w:tc>
          <w:tcPr>
            <w:tcW w:type="dxa" w:w="17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إقامة البيانات وحماية البيانات الشخصية</w:t>
            </w:r>
          </w:p>
        </w:tc>
        <w:tc>
          <w:tcPr>
            <w:tcW w:type="dxa" w:w="21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DQ-S07-1</w:t>
            </w:r>
          </w:p>
        </w:tc>
        <w:tc>
          <w:tcPr>
            <w:tcW w:type="dxa" w:w="1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المستشار</w:t>
            </w:r>
          </w:p>
        </w:tc>
        <w:tc>
          <w:tcPr>
            <w:tcW w:type="dxa" w:w="32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Q-PLT-04</w:t>
            </w:r>
          </w:p>
        </w:tc>
        <w:tc>
          <w:tcPr>
            <w:tcW w:type="dxa" w:w="17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المدد النظامية</w:t>
            </w:r>
          </w:p>
        </w:tc>
        <w:tc>
          <w:tcPr>
            <w:tcW w:type="dxa" w:w="21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 10 / 5 سنوات حتى الرأي القانوني</w:t>
            </w:r>
          </w:p>
        </w:tc>
        <w:tc>
          <w:tcPr>
            <w:tcW w:type="dxa" w:w="1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المستشار</w:t>
            </w:r>
          </w:p>
        </w:tc>
        <w:tc>
          <w:tcPr>
            <w:tcW w:type="dxa" w:w="32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FR-PLT-040</w:t>
            </w:r>
          </w:p>
        </w:tc>
      </w:tr>
    </w:tbl>
    <w:p>
      <w:pPr>
        <w:bidi/>
        <w:spacing w:after="120" w:before="0"/>
      </w:pPr>
    </w:p>
    <w:p>
      <w:pPr>
        <w:pStyle w:val="Heading1"/>
        <w:bidi/>
      </w:pPr>
      <w:bookmarkStart w:name="_sec16" w:id="16"/>
      <w:r>
        <w:rPr>
          <w:rFonts w:ascii="Arial" w:cs="Arial" w:eastAsia="Arial" w:hAnsi="Arial"/>
          <w:b/>
          <w:bCs/>
          <w:color w:val="1F3A5F"/>
          <w:sz w:val="32"/>
          <w:szCs w:val="32"/>
          <w:rtl/>
        </w:rPr>
        <w:t xml:space="preserve">13. تعارضات وفجوات في المصادر</w:t>
      </w:r>
      <w:bookmarkEnd w:id="16"/>
    </w:p>
    <w:p>
      <w:pPr>
        <w:pStyle w:val="ListParagraph"/>
        <w:numPr>
          <w:ilvl w:val="0"/>
          <w:numId w:val="2"/>
        </w:numPr>
        <w:bidi/>
        <w:spacing w:after="70" w:before="0" w:line="300"/>
      </w:pPr>
      <w:r>
        <w:rPr>
          <w:rFonts w:ascii="Arial" w:cs="Arial" w:eastAsia="Arial" w:hAnsi="Arial"/>
          <w:b w:val="false"/>
          <w:bCs w:val="false"/>
          <w:sz w:val="21"/>
          <w:szCs w:val="21"/>
          <w:rtl/>
        </w:rPr>
        <w:t xml:space="preserve">docs/10-detailed-analysis/00-overview-and-cross-cutting.md:301 ما زال يقترح لـ Q-PLT-03 «منطقة داخل دولة المشترك»، والوثيقة نفسها تسجّل القرار «VPS خاص لدى مزوّد استضافة» (docs/10-detailed-analysis/00-overview-and-cross-cutting.md:319). وdocs/10-detailed-analysis/00-overview-and-cross-cutting.md:303 ما زال يقترح «عربية كاملة» لـ Q-PLT-05 خلافًا للقرار في docs/10-detailed-analysis/00-overview-and-cross-cutting.md:320.</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‎plat.Tenant.DataRegion‎</w:t>
      </w:r>
      <w:r>
        <w:rPr>
          <w:rFonts w:ascii="Arial" w:cs="Arial" w:eastAsia="Arial" w:hAnsi="Arial"/>
          <w:b w:val="false"/>
          <w:bCs w:val="false"/>
          <w:sz w:val="21"/>
          <w:szCs w:val="21"/>
          <w:rtl/>
        </w:rPr>
        <w:t xml:space="preserve"> (db/model/10-platform.model:42) يوحي بإقامة لكل مشترك، والقاعدة واحدة لكل المشتركين (docs/20-database-design.md:61).</w:t>
      </w:r>
    </w:p>
    <w:p>
      <w:pPr>
        <w:pStyle w:val="ListParagraph"/>
        <w:numPr>
          <w:ilvl w:val="0"/>
          <w:numId w:val="2"/>
        </w:numPr>
        <w:bidi/>
        <w:spacing w:after="70" w:before="0" w:line="300"/>
      </w:pPr>
      <w:r>
        <w:rPr>
          <w:rFonts w:ascii="Arial" w:cs="Arial" w:eastAsia="Arial" w:hAnsi="Arial"/>
          <w:b w:val="false"/>
          <w:bCs w:val="false"/>
          <w:sz w:val="21"/>
          <w:szCs w:val="21"/>
          <w:rtl/>
        </w:rPr>
        <w:t xml:space="preserve">docs/10-detailed-analysis/10-m0-m1-platform-organization.md:588 ينسب «استخراج كل بيانات شخص عند الطلب» إلى FR-PTY-028، لكن FR-PTY-028 نظرة شاملة ضمن نطاق المستخدم (docs/10-detailed-analysis/10-m0-m1-platform-organization.md:218) لا تصدير.</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‎sec.LoginAttempt‎</w:t>
      </w:r>
      <w:r>
        <w:rPr>
          <w:rFonts w:ascii="Arial" w:cs="Arial" w:eastAsia="Arial" w:hAnsi="Arial"/>
          <w:b w:val="false"/>
          <w:bCs w:val="false"/>
          <w:sz w:val="21"/>
          <w:szCs w:val="21"/>
          <w:rtl/>
        </w:rPr>
        <w:t xml:space="preserve"> يخزّن البريد المكتوب لمستخدم غير موجود (db/static/030_session_context.sql:124-126) بلا مدة احتفاظ، وقد يكون بريد شخص لا علاقة له بالمنصة.</w:t>
      </w:r>
    </w:p>
    <w:p>
      <w:pPr>
        <w:pStyle w:val="ListParagraph"/>
        <w:numPr>
          <w:ilvl w:val="0"/>
          <w:numId w:val="2"/>
        </w:numPr>
        <w:bidi/>
        <w:spacing w:after="70" w:before="0" w:line="300"/>
      </w:pPr>
      <w:r>
        <w:rPr>
          <w:rFonts w:ascii="Arial" w:cs="Arial" w:eastAsia="Arial" w:hAnsi="Arial"/>
          <w:b w:val="false"/>
          <w:bCs w:val="false"/>
          <w:sz w:val="21"/>
          <w:szCs w:val="21"/>
          <w:rtl/>
        </w:rPr>
        <w:t xml:space="preserve">مرحّل البريد «تهيّئه الاستضافة» (docs/10-detailed-analysis/10-m0-m1-platform-organization.md:115) دون ذكر أنه معالج فرعي يلزمه عقد.</w:t>
      </w:r>
    </w:p>
    <w:p>
      <w:pPr>
        <w:pStyle w:val="ListParagraph"/>
        <w:numPr>
          <w:ilvl w:val="0"/>
          <w:numId w:val="2"/>
        </w:numPr>
        <w:bidi/>
        <w:spacing w:after="70" w:before="0" w:line="300"/>
      </w:pPr>
      <w:r>
        <w:rPr>
          <w:rFonts w:ascii="Arial" w:cs="Arial" w:eastAsia="Arial" w:hAnsi="Arial"/>
          <w:b w:val="false"/>
          <w:bCs w:val="false"/>
          <w:sz w:val="21"/>
          <w:szCs w:val="21"/>
          <w:rtl/>
        </w:rPr>
        <w:t xml:space="preserve">صف الخصوصية يحيل الإقامة إلى Q-PLT-03 (docs/10-detailed-analysis/10-m0-m1-platform-organization.md:588)، وQ-PLT-03 يحيلها إلى المراجعة القانونية (docs/10-detailed-analysis/10-m0-m1-platform-organization.md:615)؛ لا وثيقة تحدد دولة الخادم.</w:t>
      </w:r>
    </w:p>
    <w:p>
      <w:pPr>
        <w:bidi/>
        <w:spacing w:after="60" w:before="0"/>
      </w:pPr>
    </w:p>
    <w:p>
      <w:pPr>
        <w:pStyle w:val="Heading1"/>
        <w:bidi/>
      </w:pPr>
      <w:bookmarkStart w:name="_sec17" w:id="17"/>
      <w:r>
        <w:rPr>
          <w:rFonts w:ascii="Arial" w:cs="Arial" w:eastAsia="Arial" w:hAnsi="Arial"/>
          <w:b/>
          <w:bCs/>
          <w:color w:val="1F3A5F"/>
          <w:sz w:val="32"/>
          <w:szCs w:val="32"/>
          <w:rtl/>
        </w:rPr>
        <w:t xml:space="preserve">14. التتبع</w:t>
      </w:r>
      <w:bookmarkEnd w:id="1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9"/>
        <w:gridCol w:w="2221"/>
        <w:gridCol w:w="6664"/>
      </w:tblGrid>
      <w:tr>
        <w:trPr>
          <w:cantSplit/>
          <w:tblHeader/>
        </w:trPr>
        <w:tc>
          <w:tcPr>
            <w:tcW w:type="dxa" w:w="9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2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6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2</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الخصوصية، X-AUD-4</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docs/10-detailed-analysis/10-m0-m1-platform-organization.md:588؛ docs/10-detailed-analysis/00-overview-and-cross-cutting.md:150</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4</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النموذج، DOC-S06</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 db/model/11-organization-party.model</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5</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BR-PTY-019، G-12</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docs/10-detailed-analysis/10-m0-m1-platform-organization.md:290؛ docs/05-kyc-forms-analysis.md:73</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6</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Q-PLT-03، 01 س-4، T-1، FR-PLT-047</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docs/10-detailed-analysis/10-m0-m1-platform-organization.md:615 و149؛ docs/01-preliminary-analysis.md:125؛ docs/20-database-design.md:61</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7</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BR-PLT-016، Q-PLT-04، FR-PLT-040، BR-PLT-002، X-AUD-3، O-6 (20-database-design)</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docs/10-detailed-analysis/10-m0-m1-platform-organization.md:242 و616 و142 و228؛ docs/10-detailed-analysis/00-overview-and-cross-cutting.md:149؛ docs/20-database-design.md:534</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8</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FR-PTY-028، FR-PTY-029، BR-PTY-006، FR-PLT-039، FR-PLT-023</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docs/10-detailed-analysis/10-m0-m1-platform-organization.md:218 و219 و277 و141 و125</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9</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 Q-NTF-01</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docs/10-detailed-analysis/10-m0-m1-platform-organization.md:115؛ docs/10-detailed-analysis/13-m6-workflow-engine-notifications.md:737</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10</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R4 وR5</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docs/01-preliminary-analysis.md:359-360</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11</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DOC-S15، BR-PTY-009</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docs/30-readiness-documents.md:325-330؛ docs/10-detailed-analysis/10-m0-m1-platform-organization.md:280</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DOC-S07 · BankFas · مستندات الجاهزية P0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866faa485897001b587ebfeb523997392b29fa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DOC-S07 — تقييم أثر الخصوصية وحماية البيانات الشخصية</dc:title>
  <dc:creator>Claude</dc:creator>
  <dc:description>BankFas database design document</dc:description>
  <cp:lastModifiedBy>Un-named</cp:lastModifiedBy>
  <cp:revision>1</cp:revision>
  <dcterms:created xsi:type="dcterms:W3CDTF">2026-10-21T16:20:01.715Z</dcterms:created>
  <dcterms:modified xsi:type="dcterms:W3CDTF">2026-10-21T16:20:01.715Z</dcterms:modified>
</cp:coreProperties>
</file>

<file path=docProps/custom.xml><?xml version="1.0" encoding="utf-8"?>
<Properties xmlns="http://schemas.openxmlformats.org/officeDocument/2006/custom-properties" xmlns:vt="http://schemas.openxmlformats.org/officeDocument/2006/docPropsVTypes"/>
</file>