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bidi/>
      </w:pPr>
      <w:r>
        <w:rPr>
          <w:rFonts w:ascii="Arial" w:cs="Arial" w:eastAsia="Arial" w:hAnsi="Arial"/>
          <w:b/>
          <w:bCs/>
          <w:color w:val="1F3A5F"/>
          <w:sz w:val="48"/>
          <w:szCs w:val="48"/>
          <w:rtl/>
        </w:rPr>
        <w:t xml:space="preserve">DOC-S13 — خطة اختبار الأمن والعزل</w:t>
      </w:r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44"/>
        <w:gridCol w:w="8220"/>
      </w:tblGrid>
      <w:tr>
        <w:trPr>
          <w:cantSplit/>
          <w:tblHeader/>
        </w:trPr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البند</w:t>
            </w:r>
          </w:p>
        </w:tc>
        <w:tc>
          <w:tcPr>
            <w:tcW w:type="dxa" w:w="822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القيمة</w:t>
            </w:r>
          </w:p>
        </w:tc>
      </w:tr>
      <w:tr>
        <w:trPr>
          <w:cantSplit/>
        </w:trPr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المعرّف</w:t>
            </w:r>
          </w:p>
        </w:tc>
        <w:tc>
          <w:tcPr>
            <w:tcW w:type="dxa" w:w="822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DOC-S13 (docs/30-readiness-documents.md)</w:t>
            </w:r>
          </w:p>
        </w:tc>
      </w:tr>
      <w:tr>
        <w:trPr>
          <w:cantSplit/>
        </w:trPr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الإصدار</w:t>
            </w:r>
          </w:p>
        </w:tc>
        <w:tc>
          <w:tcPr>
            <w:tcW w:type="dxa" w:w="822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0.1 — مسودة للمراجعة — 2026-10-12</w:t>
            </w:r>
          </w:p>
        </w:tc>
      </w:tr>
      <w:tr>
        <w:trPr>
          <w:cantSplit/>
        </w:trPr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المالك المقترح</w:t>
            </w:r>
          </w:p>
        </w:tc>
        <w:tc>
          <w:tcPr>
            <w:tcW w:type="dxa" w:w="822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مهندس ضمان الجودة مع مهندس الأمن (docs/30-readiness-documents.md:44)</w:t>
            </w:r>
          </w:p>
        </w:tc>
      </w:tr>
      <w:tr>
        <w:trPr>
          <w:cantSplit/>
        </w:trPr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الأولوية</w:t>
            </w:r>
          </w:p>
        </w:tc>
        <w:tc>
          <w:tcPr>
            <w:tcW w:type="dxa" w:w="822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P1 قبل S2؛ وبنود API في S0 تبدأ مع أول نقطة (O-09، erd_open_items)</w:t>
            </w:r>
          </w:p>
        </w:tc>
      </w:tr>
      <w:tr>
        <w:trPr>
          <w:cantSplit/>
        </w:trPr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يغطي</w:t>
            </w:r>
          </w:p>
        </w:tc>
        <w:tc>
          <w:tcPr>
            <w:tcW w:type="dxa" w:w="822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X-SEC-4، X-SEC-5، FR-PLT-020، FR-PLT-021، FR-PLT-036، FR-PLT-041، FR-PLT-046، BR-PLT-001، NFR-SEC-01، NFR-SEC-02، NFR-SEC-13، NFR-SEC-18، O-09 وO-18 إلى O-22 وO-24 (erd_open_items)</w:t>
            </w:r>
          </w:p>
        </w:tc>
      </w:tr>
      <w:tr>
        <w:trPr>
          <w:cantSplit/>
        </w:trPr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يعتمد على</w:t>
            </w:r>
          </w:p>
        </w:tc>
        <w:tc>
          <w:tcPr>
            <w:tcW w:type="dxa" w:w="822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DOC-S01 (THR-nn)، DOC-S03، DOC-S04، DOC-S06، DOC-B01، DOC-B03، DOC-B04، DOC-B06، DOC-B11</w:t>
            </w:r>
          </w:p>
        </w:tc>
      </w:tr>
      <w:tr>
        <w:trPr>
          <w:cantSplit/>
        </w:trPr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المصادر</w:t>
            </w:r>
          </w:p>
        </w:tc>
        <w:tc>
          <w:tcPr>
            <w:tcW w:type="dxa" w:w="822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db/tests/tenant_isolation_tests.sql، db/tests/fac_share_rule_tests.sql، tools/ci/db_ci.sh، ../.github/workflows/treasury-db-ci.yml (جذر المستودع)، tools/dbgen/check_grants.py، tools/dbgen/erd_open_items.py، db/static/010_rls.sql، db/static/030_session_context.sql، db/generated/tsql/005_delete_grants.sql، db/generated/tsql/007_table_grants.sql، docs/10-detailed-analysis/*.md</w:t>
            </w:r>
          </w:p>
        </w:tc>
      </w:tr>
    </w:tbl>
    <w:p>
      <w:pPr>
        <w:bidi/>
        <w:spacing w:after="120" w:before="0"/>
      </w:pPr>
    </w:p>
    <w:p>
      <w:pPr>
        <w:pBdr>
          <w:bottom w:val="single" w:color="1F3A5F" w:sz="8" w:space="4"/>
        </w:pBdr>
        <w:bidi/>
        <w:spacing w:after="100" w:before="280"/>
      </w:pPr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المحتويات</w:t>
      </w:r>
    </w:p>
    <w:p>
      <w:pPr>
        <w:bidi/>
        <w:spacing w:after="50" w:before="0"/>
        <w:ind w:left="0"/>
      </w:pPr>
      <w:hyperlink w:history="1" w:anchor="_sec1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1. الغرض والنطاق</w:t>
        </w:r>
      </w:hyperlink>
    </w:p>
    <w:p>
      <w:pPr>
        <w:bidi/>
        <w:spacing w:after="50" w:before="0"/>
        <w:ind w:left="0"/>
      </w:pPr>
      <w:hyperlink w:history="1" w:anchor="_sec2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2. ما يوجد اليوم</w:t>
        </w:r>
      </w:hyperlink>
    </w:p>
    <w:p>
      <w:pPr>
        <w:bidi/>
        <w:spacing w:after="50" w:before="0"/>
        <w:ind w:left="0"/>
      </w:pPr>
      <w:hyperlink w:history="1" w:anchor="_sec3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3. طبقات الاختبار الأمني</w:t>
        </w:r>
      </w:hyperlink>
    </w:p>
    <w:p>
      <w:pPr>
        <w:bidi/>
        <w:spacing w:after="50" w:before="0"/>
        <w:ind w:left="0"/>
      </w:pPr>
      <w:hyperlink w:history="1" w:anchor="_sec4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4. اختبارات العزل القائمة في القاعدة وربطها بالتهديدات</w:t>
        </w:r>
      </w:hyperlink>
    </w:p>
    <w:p>
      <w:pPr>
        <w:bidi/>
        <w:spacing w:after="50" w:before="0"/>
        <w:ind w:left="0"/>
      </w:pPr>
      <w:hyperlink w:history="1" w:anchor="_sec5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5. عبور المشتركين وIDOR وغياب السياق على مستوى API</w:t>
        </w:r>
      </w:hyperlink>
    </w:p>
    <w:p>
      <w:pPr>
        <w:bidi/>
        <w:spacing w:after="50" w:before="0"/>
        <w:ind w:left="0"/>
      </w:pPr>
      <w:hyperlink w:history="1" w:anchor="_sec10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6. ربط OWASP ASVS المستوى 2 بالضوابط والاختبارات</w:t>
        </w:r>
      </w:hyperlink>
    </w:p>
    <w:p>
      <w:pPr>
        <w:bidi/>
        <w:spacing w:after="50" w:before="0"/>
        <w:ind w:left="0"/>
      </w:pPr>
      <w:hyperlink w:history="1" w:anchor="_sec11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7. اختبارات الجلسة وCSRF والترويسات</w:t>
        </w:r>
      </w:hyperlink>
    </w:p>
    <w:p>
      <w:pPr>
        <w:bidi/>
        <w:spacing w:after="50" w:before="0"/>
        <w:ind w:left="0"/>
      </w:pPr>
      <w:hyperlink w:history="1" w:anchor="_sec12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8. اختبارات سياسة كلمة المرور وMFA</w:t>
        </w:r>
      </w:hyperlink>
    </w:p>
    <w:p>
      <w:pPr>
        <w:bidi/>
        <w:spacing w:after="50" w:before="0"/>
        <w:ind w:left="0"/>
      </w:pPr>
      <w:hyperlink w:history="1" w:anchor="_sec13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9. اختبار الاختراق</w:t>
        </w:r>
      </w:hyperlink>
    </w:p>
    <w:p>
      <w:pPr>
        <w:bidi/>
        <w:spacing w:after="50" w:before="0"/>
        <w:ind w:left="0"/>
      </w:pPr>
      <w:hyperlink w:history="1" w:anchor="_sec17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10. المخاطر المتبقية: حالات تُكتب عند الإغلاق</w:t>
        </w:r>
      </w:hyperlink>
    </w:p>
    <w:p>
      <w:pPr>
        <w:bidi/>
        <w:spacing w:after="50" w:before="0"/>
        <w:ind w:left="0"/>
      </w:pPr>
      <w:hyperlink w:history="1" w:anchor="_sec20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11. البوابات لكل شريحة</w:t>
        </w:r>
      </w:hyperlink>
    </w:p>
    <w:p>
      <w:pPr>
        <w:bidi/>
        <w:spacing w:after="50" w:before="0"/>
        <w:ind w:left="0"/>
      </w:pPr>
      <w:hyperlink w:history="1" w:anchor="_sec21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12. القرارات المطلوبة</w:t>
        </w:r>
      </w:hyperlink>
    </w:p>
    <w:p>
      <w:pPr>
        <w:bidi/>
        <w:spacing w:after="50" w:before="0"/>
        <w:ind w:left="0"/>
      </w:pPr>
      <w:hyperlink w:history="1" w:anchor="_sec22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13. تعارضات وفجوات في المصادر</w:t>
        </w:r>
      </w:hyperlink>
    </w:p>
    <w:p>
      <w:pPr>
        <w:bidi/>
        <w:spacing w:after="50" w:before="0"/>
        <w:ind w:left="0"/>
      </w:pPr>
      <w:hyperlink w:history="1" w:anchor="_sec23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14. التتبع</w:t>
        </w:r>
      </w:hyperlink>
    </w:p>
    <w:p>
      <w:r>
        <w:br w:type="page"/>
      </w:r>
    </w:p>
    <w:p>
      <w:pPr>
        <w:pStyle w:val="Heading1"/>
        <w:bidi/>
      </w:pPr>
      <w:bookmarkStart w:name="_sec1" w:id="1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1. الغرض والنطاق</w:t>
      </w:r>
      <w:bookmarkEnd w:id="1"/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تحدد الوثيقة كل اختبار أمني لكل طبقة، ونتيجته المتوقعة، وموضعه في CI، وبوابة الشريحة التي يوقفها.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داخل النطاق: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اختبارات العزل في القاعدة، واختبارات عبور المشتركين وIDOR وغياب السياق لكل نقطة API، وربط فصول OWASP ASVS المستوى 2 بالضوابط والاختبارات، واختبارات الجلسة وCSRF والترويسات، واختبارات سياسة كلمة المرور وMFA، واختبار الاختراق، وحالات المخاطر المتبقية O-24.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خارج النطاق: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قيم السياسات (DOC-S04)، وتصميم الضوابط (DOC-S03)، وإعدادات TLS (DOC-S05)، وبيانات الاختبار (DOC-B06)، واستراتيجية الاختبار العامة وشدة العيوب (DOC-B01)، والاستجابة للحوادث (DOC-S15).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لا يوجد كود تطبيق في المستودع بعد (docs/30-readiness-documents.md:338)، فكل اختبار على مستوى API أو المتصفح مقترح </w:t>
      </w:r>
      <w:r>
        <w:rPr>
          <w:rFonts w:ascii="Arial" w:cs="Arial" w:eastAsia="Arial" w:hAnsi="Arial"/>
          <w:color w:val="E0A800"/>
          <w:sz w:val="21"/>
          <w:szCs w:val="21"/>
          <w:rtl/>
        </w:rPr>
        <w:t xml:space="preserve">●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 اختبارات القاعدة موجودة وتمر </w:t>
      </w:r>
      <w:r>
        <w:rPr>
          <w:rFonts w:ascii="Arial" w:cs="Arial" w:eastAsia="Arial" w:hAnsi="Arial"/>
          <w:color w:val="2E9E44"/>
          <w:sz w:val="21"/>
          <w:szCs w:val="21"/>
          <w:rtl/>
        </w:rPr>
        <w:t xml:space="preserve">●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</w:t>
      </w:r>
    </w:p>
    <w:p>
      <w:pPr>
        <w:bidi/>
        <w:spacing w:after="6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اختصارات: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أرقام T حالات db/tests/tenant_isolation_tests.sql، وFSR-Tn حالات db/tests/fac_share_rule_tests.sql (DQ-B01-4). THR-nn من DOC-S01. «030» هو db/static/030_session_context.sql.</w:t>
      </w:r>
    </w:p>
    <w:p>
      <w:pPr>
        <w:pStyle w:val="Heading1"/>
        <w:bidi/>
      </w:pPr>
      <w:bookmarkStart w:name="_sec2" w:id="2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2. ما يوجد اليوم</w:t>
      </w:r>
      <w:bookmarkEnd w:id="2"/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4"/>
        <w:gridCol w:w="2006"/>
        <w:gridCol w:w="6834"/>
      </w:tblGrid>
      <w:tr>
        <w:trPr>
          <w:cantSplit/>
          <w:tblHeader/>
        </w:trPr>
        <w:tc>
          <w:tcPr>
            <w:tcW w:type="dxa" w:w="102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البند</w:t>
            </w:r>
          </w:p>
        </w:tc>
        <w:tc>
          <w:tcPr>
            <w:tcW w:type="dxa" w:w="200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الحالة</w:t>
            </w:r>
          </w:p>
        </w:tc>
        <w:tc>
          <w:tcPr>
            <w:tcW w:type="dxa" w:w="683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المصدر</w:t>
            </w:r>
          </w:p>
        </w:tc>
      </w:tr>
      <w:tr>
        <w:trPr>
          <w:cantSplit/>
        </w:trPr>
        <w:tc>
          <w:tcPr>
            <w:tcW w:type="dxa" w:w="102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حالات العزل</w:t>
            </w:r>
          </w:p>
        </w:tc>
        <w:tc>
          <w:tcPr>
            <w:tcW w:type="dxa" w:w="200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48 حالة: T1 إلى T38 مع T8b وT16b وT16c، وT40 إلى T46، بصفة tp_app وtp_readonly وtp_platform، في معاملة واحدة تُلغى؛ وT32 يجرب أربعة رموز: خاطئ، ومنتهٍ بالخمول، ومنتهٍ بالحد المطلق، ولجلسة منتهية (المراجعة الذاتية C1)</w:t>
            </w:r>
          </w:p>
        </w:tc>
        <w:tc>
          <w:tcPr>
            <w:tcW w:type="dxa" w:w="683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db/tests/tenant_isolation_tests.sql:1-19، :21-27</w:t>
            </w:r>
          </w:p>
        </w:tc>
      </w:tr>
      <w:tr>
        <w:trPr>
          <w:cantSplit/>
        </w:trPr>
        <w:tc>
          <w:tcPr>
            <w:tcW w:type="dxa" w:w="102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حالات قاعدة الحصص</w:t>
            </w:r>
          </w:p>
        </w:tc>
        <w:tc>
          <w:tcPr>
            <w:tcW w:type="dxa" w:w="200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7 حالات للمحفّز V-FAC-02 (T1 إلى T6 وT2b)، سلامة أعمال لا أمن</w:t>
            </w:r>
          </w:p>
        </w:tc>
        <w:tc>
          <w:tcPr>
            <w:tcW w:type="dxa" w:w="683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db/tests/fac_share_rule_tests.sql:2، :47-150</w:t>
            </w:r>
          </w:p>
        </w:tc>
      </w:tr>
      <w:tr>
        <w:trPr>
          <w:cantSplit/>
        </w:trPr>
        <w:tc>
          <w:tcPr>
            <w:tcW w:type="dxa" w:w="102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قواعد المنح الثابتة</w:t>
            </w:r>
          </w:p>
        </w:tc>
        <w:tc>
          <w:tcPr>
            <w:tcW w:type="dxa" w:w="200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R1 إلى R10 بلا SQL Server</w:t>
            </w:r>
          </w:p>
        </w:tc>
        <w:tc>
          <w:tcPr>
            <w:tcW w:type="dxa" w:w="683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tools/dbgen/check_grants.py:4-16</w:t>
            </w:r>
          </w:p>
        </w:tc>
      </w:tr>
      <w:tr>
        <w:trPr>
          <w:cantSplit/>
        </w:trPr>
        <w:tc>
          <w:tcPr>
            <w:tcW w:type="dxa" w:w="102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CI</w:t>
            </w:r>
          </w:p>
        </w:tc>
        <w:tc>
          <w:tcPr>
            <w:tcW w:type="dxa" w:w="200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الخطوة 3 للمنح، و6 للحصص (7 PASS بالضبط)، و7 للعزل (48 PASS بالضبط)، و19 لإصلاحات المراجعة ومنها SR7: دور التقارير لا يقرأ دالة داخلية (43 PASS)، و23 لما تركته الاختبارات</w:t>
            </w:r>
          </w:p>
        </w:tc>
        <w:tc>
          <w:tcPr>
            <w:tcW w:type="dxa" w:w="683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tools/ci/db_ci.sh:47-49، :59-74، :75-92</w:t>
            </w:r>
          </w:p>
        </w:tc>
      </w:tr>
      <w:tr>
        <w:trPr>
          <w:cantSplit/>
        </w:trPr>
        <w:tc>
          <w:tcPr>
            <w:tcW w:type="dxa" w:w="102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خط GitHub</w:t>
            </w:r>
          </w:p>
        </w:tc>
        <w:tc>
          <w:tcPr>
            <w:tcW w:type="dxa" w:w="200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في جذر المستودع، يعمل عند تغيّر db/ أو tools/dbgen/ أو tools/ci/؛ أول تشغيل أخضر في 2026-10-12 بـ 6 و41 حالة يومها</w:t>
            </w:r>
          </w:p>
        </w:tc>
        <w:tc>
          <w:tcPr>
            <w:tcW w:type="dxa" w:w="683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../.github/workflows/treasury-db-ci.yml (جذر المستودع):7-21؛ O-02 (tools/dbgen/erd_open_items.py:22)</w:t>
            </w:r>
          </w:p>
        </w:tc>
      </w:tr>
      <w:tr>
        <w:trPr>
          <w:cantSplit/>
        </w:trPr>
        <w:tc>
          <w:tcPr>
            <w:tcW w:type="dxa" w:w="102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اختبارات API والمتصفح</w:t>
            </w:r>
          </w:p>
        </w:tc>
        <w:tc>
          <w:tcPr>
            <w:tcW w:type="dxa" w:w="200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لا توجد، لأن التطبيق غير موجود</w:t>
            </w:r>
          </w:p>
        </w:tc>
        <w:tc>
          <w:tcPr>
            <w:tcW w:type="dxa" w:w="683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O-09 (erd_open_items، tools/dbgen/erd_open_items.py:62-66)</w:t>
            </w:r>
          </w:p>
        </w:tc>
      </w:tr>
      <w:tr>
        <w:trPr>
          <w:cantSplit/>
        </w:trPr>
        <w:tc>
          <w:tcPr>
            <w:tcW w:type="dxa" w:w="102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المطلوب في المواصفات</w:t>
            </w:r>
          </w:p>
        </w:tc>
        <w:tc>
          <w:tcPr>
            <w:tcW w:type="dxa" w:w="200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«اختبار آلي لكل نقطة API ضد IDOR وضد عبور المشتركين»</w:t>
            </w:r>
          </w:p>
        </w:tc>
        <w:tc>
          <w:tcPr>
            <w:tcW w:type="dxa" w:w="683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docs/10-detailed-analysis/13-m6-workflow-engine-notifications.md:687؛ docs/10-detailed-analysis/14-m7-m8-letters-of-credit.md:666</w:t>
            </w:r>
          </w:p>
        </w:tc>
      </w:tr>
      <w:tr>
        <w:trPr>
          <w:cantSplit/>
        </w:trPr>
        <w:tc>
          <w:tcPr>
            <w:tcW w:type="dxa" w:w="102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الهدف الأمني</w:t>
            </w:r>
          </w:p>
        </w:tc>
        <w:tc>
          <w:tcPr>
            <w:tcW w:type="dxa" w:w="200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ASVS المستوى 2، واختبار اختراق قبل التجربة (S5)</w:t>
            </w:r>
          </w:p>
        </w:tc>
        <w:tc>
          <w:tcPr>
            <w:tcW w:type="dxa" w:w="683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docs/10-detailed-analysis/00-overview-and-cross-cutting.md:140؛ docs/10-detailed-analysis/10-m0-m1-platform-organization.md:591</w:t>
            </w:r>
          </w:p>
        </w:tc>
      </w:tr>
    </w:tbl>
    <w:p>
      <w:pPr>
        <w:bidi/>
        <w:spacing w:after="12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المرشّح يقصر الخط على ملفات القاعدة (../.github/workflows/treasury-db-ci.yml:10-20)، فلا يعمل عند تغيّر كود التطبيق. خط التطبيق في DOC-B11 §5.2 يحمل الطبقات L3 إلى L5.</w:t>
      </w:r>
    </w:p>
    <w:p>
      <w:pPr>
        <w:pStyle w:val="Heading1"/>
        <w:bidi/>
      </w:pPr>
      <w:bookmarkStart w:name="_sec3" w:id="3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3. طبقات الاختبار الأمني</w:t>
      </w:r>
      <w:bookmarkEnd w:id="3"/>
    </w:p>
    <w:p>
      <w:pPr>
        <w:keepNext/>
        <w:bidi/>
        <w:spacing w:after="60" w:before="160"/>
        <w:jc w:val="center"/>
      </w:pPr>
      <w:r>
        <w:drawing>
          <wp:inline distT="0" distB="0" distL="0" distR="0">
            <wp:extent cx="1733550" cy="8191500"/>
            <wp:effectExtent t="0" r="0" b="0" l="0"/>
            <wp:docPr id="1" name="diagram-1.png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3550" cy="819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61"/>
        <w:gridCol w:w="1826"/>
        <w:gridCol w:w="2741"/>
        <w:gridCol w:w="1644"/>
        <w:gridCol w:w="2192"/>
      </w:tblGrid>
      <w:tr>
        <w:trPr>
          <w:cantSplit/>
          <w:tblHeader/>
        </w:trPr>
        <w:tc>
          <w:tcPr>
            <w:tcW w:type="dxa" w:w="146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الطبقة</w:t>
            </w:r>
          </w:p>
        </w:tc>
        <w:tc>
          <w:tcPr>
            <w:tcW w:type="dxa" w:w="182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ما تغطيه</w:t>
            </w:r>
          </w:p>
        </w:tc>
        <w:tc>
          <w:tcPr>
            <w:tcW w:type="dxa" w:w="274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الأداة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أين تعمل</w:t>
            </w:r>
          </w:p>
        </w:tc>
        <w:tc>
          <w:tcPr>
            <w:tcW w:type="dxa" w:w="21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تفشل البناء أو البوابة</w:t>
            </w:r>
          </w:p>
        </w:tc>
      </w:tr>
      <w:tr>
        <w:trPr>
          <w:cantSplit/>
        </w:trPr>
        <w:tc>
          <w:tcPr>
            <w:tcW w:type="dxa" w:w="146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L1 ثابت</w:t>
            </w:r>
          </w:p>
        </w:tc>
        <w:tc>
          <w:tcPr>
            <w:tcW w:type="dxa" w:w="182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المنح والتشفير وترتيب النشر؛ وفحص انحراف التصنيف المقترح في DOC-S06 §10</w:t>
            </w:r>
          </w:p>
        </w:tc>
        <w:tc>
          <w:tcPr>
            <w:tcW w:type="dxa" w:w="274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check_grants.py </w:t>
            </w:r>
            <w:r>
              <w:rPr>
                <w:rFonts w:ascii="Arial" w:cs="Arial" w:eastAsia="Arial" w:hAnsi="Arial"/>
                <w:color w:val="2E9E44"/>
                <w:sz w:val="18"/>
                <w:szCs w:val="18"/>
                <w:rtl/>
              </w:rPr>
              <w:t xml:space="preserve">●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، فحص الانحراف </w:t>
            </w:r>
            <w:r>
              <w:rPr>
                <w:rFonts w:ascii="Arial" w:cs="Arial" w:eastAsia="Arial" w:hAnsi="Arial"/>
                <w:color w:val="E0A800"/>
                <w:sz w:val="18"/>
                <w:szCs w:val="18"/>
                <w:rtl/>
              </w:rPr>
              <w:t xml:space="preserve">●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CI الخطوة 3</w:t>
            </w:r>
          </w:p>
        </w:tc>
        <w:tc>
          <w:tcPr>
            <w:tcW w:type="dxa" w:w="21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كل بناء</w:t>
            </w:r>
          </w:p>
        </w:tc>
      </w:tr>
      <w:tr>
        <w:trPr>
          <w:cantSplit/>
        </w:trPr>
        <w:tc>
          <w:tcPr>
            <w:tcW w:type="dxa" w:w="146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L2 القاعدة</w:t>
            </w:r>
          </w:p>
        </w:tc>
        <w:tc>
          <w:tcPr>
            <w:tcW w:type="dxa" w:w="182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RLS والربط والدخول والقفل والجلسات والمنح الفعلية</w:t>
            </w:r>
          </w:p>
        </w:tc>
        <w:tc>
          <w:tcPr>
            <w:tcW w:type="dxa" w:w="274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sqlcmd في db/tests </w:t>
            </w:r>
            <w:r>
              <w:rPr>
                <w:rFonts w:ascii="Arial" w:cs="Arial" w:eastAsia="Arial" w:hAnsi="Arial"/>
                <w:color w:val="2E9E44"/>
                <w:sz w:val="18"/>
                <w:szCs w:val="18"/>
                <w:rtl/>
              </w:rPr>
              <w:t xml:space="preserve">●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CI الخطوتان 6 و7</w:t>
            </w:r>
          </w:p>
        </w:tc>
        <w:tc>
          <w:tcPr>
            <w:tcW w:type="dxa" w:w="21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كل بناء</w:t>
            </w:r>
          </w:p>
        </w:tc>
      </w:tr>
      <w:tr>
        <w:trPr>
          <w:cantSplit/>
        </w:trPr>
        <w:tc>
          <w:tcPr>
            <w:tcW w:type="dxa" w:w="146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L3 تكامل</w:t>
            </w:r>
          </w:p>
        </w:tc>
        <w:tc>
          <w:tcPr>
            <w:tcW w:type="dxa" w:w="182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غياب السياق لكل استعلام، والربط لكل طلب، وسحب الربط</w:t>
            </w:r>
          </w:p>
        </w:tc>
        <w:tc>
          <w:tcPr>
            <w:tcW w:type="dxa" w:w="274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xUnit مع حاوية SQL Server 2025 </w:t>
            </w:r>
            <w:r>
              <w:rPr>
                <w:rFonts w:ascii="Arial" w:cs="Arial" w:eastAsia="Arial" w:hAnsi="Arial"/>
                <w:color w:val="E0A800"/>
                <w:sz w:val="18"/>
                <w:szCs w:val="18"/>
                <w:rtl/>
              </w:rPr>
              <w:t xml:space="preserve">●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(DQ-B01-1)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CI</w:t>
            </w:r>
          </w:p>
        </w:tc>
        <w:tc>
          <w:tcPr>
            <w:tcW w:type="dxa" w:w="21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كل بناء</w:t>
            </w:r>
          </w:p>
        </w:tc>
      </w:tr>
      <w:tr>
        <w:trPr>
          <w:cantSplit/>
        </w:trPr>
        <w:tc>
          <w:tcPr>
            <w:tcW w:type="dxa" w:w="146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L4 API</w:t>
            </w:r>
          </w:p>
        </w:tc>
        <w:tc>
          <w:tcPr>
            <w:tcW w:type="dxa" w:w="182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الحالات X1 إلى X11 في §5 لكل عملية</w:t>
            </w:r>
          </w:p>
        </w:tc>
        <w:tc>
          <w:tcPr>
            <w:tcW w:type="dxa" w:w="274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مولّد من OpenAPI </w:t>
            </w:r>
            <w:r>
              <w:rPr>
                <w:rFonts w:ascii="Arial" w:cs="Arial" w:eastAsia="Arial" w:hAnsi="Arial"/>
                <w:color w:val="E0A800"/>
                <w:sz w:val="18"/>
                <w:szCs w:val="18"/>
                <w:rtl/>
              </w:rPr>
              <w:t xml:space="preserve">●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CI</w:t>
            </w:r>
          </w:p>
        </w:tc>
        <w:tc>
          <w:tcPr>
            <w:tcW w:type="dxa" w:w="21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كل بناء؛ عملية بلا حالات تفشل البناء</w:t>
            </w:r>
          </w:p>
        </w:tc>
      </w:tr>
      <w:tr>
        <w:trPr>
          <w:cantSplit/>
        </w:trPr>
        <w:tc>
          <w:tcPr>
            <w:tcW w:type="dxa" w:w="146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L5 حزم وأسرار</w:t>
            </w:r>
          </w:p>
        </w:tc>
        <w:tc>
          <w:tcPr>
            <w:tcW w:type="dxa" w:w="182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ثغرات الحزم، وأسرار في المستودع</w:t>
            </w:r>
          </w:p>
        </w:tc>
        <w:tc>
          <w:tcPr>
            <w:tcW w:type="dxa" w:w="274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فاحص الحزم في خط التطبيق (DOC-B11 §5.2) </w:t>
            </w:r>
            <w:r>
              <w:rPr>
                <w:rFonts w:ascii="Arial" w:cs="Arial" w:eastAsia="Arial" w:hAnsi="Arial"/>
                <w:color w:val="E0A800"/>
                <w:sz w:val="18"/>
                <w:szCs w:val="18"/>
                <w:rtl/>
              </w:rPr>
              <w:t xml:space="preserve">●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CI وأسبوعيًا</w:t>
            </w:r>
          </w:p>
        </w:tc>
        <w:tc>
          <w:tcPr>
            <w:tcW w:type="dxa" w:w="21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ثغرة عالية بلا استثناء (NFR-SEC-16)</w:t>
            </w:r>
          </w:p>
        </w:tc>
      </w:tr>
      <w:tr>
        <w:trPr>
          <w:cantSplit/>
        </w:trPr>
        <w:tc>
          <w:tcPr>
            <w:tcW w:type="dxa" w:w="146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L6 متصفح</w:t>
            </w:r>
          </w:p>
        </w:tc>
        <w:tc>
          <w:tcPr>
            <w:tcW w:type="dxa" w:w="182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الكوكي وCSRF وCSP والترويسات</w:t>
            </w:r>
          </w:p>
        </w:tc>
        <w:tc>
          <w:tcPr>
            <w:tcW w:type="dxa" w:w="274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Playwright </w:t>
            </w:r>
            <w:r>
              <w:rPr>
                <w:rFonts w:ascii="Arial" w:cs="Arial" w:eastAsia="Arial" w:hAnsi="Arial"/>
                <w:color w:val="E0A800"/>
                <w:sz w:val="18"/>
                <w:szCs w:val="18"/>
                <w:rtl/>
              </w:rPr>
              <w:t xml:space="preserve">●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(DQ-B01-1)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بيئة الاختبار</w:t>
            </w:r>
          </w:p>
        </w:tc>
        <w:tc>
          <w:tcPr>
            <w:tcW w:type="dxa" w:w="21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خروج الشريحة</w:t>
            </w:r>
          </w:p>
        </w:tc>
      </w:tr>
      <w:tr>
        <w:trPr>
          <w:cantSplit/>
        </w:trPr>
        <w:tc>
          <w:tcPr>
            <w:tcW w:type="dxa" w:w="146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L7 ديناميكي</w:t>
            </w:r>
          </w:p>
        </w:tc>
        <w:tc>
          <w:tcPr>
            <w:tcW w:type="dxa" w:w="182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فحص آلي للتطبيق المنشور</w:t>
            </w:r>
          </w:p>
        </w:tc>
        <w:tc>
          <w:tcPr>
            <w:tcW w:type="dxa" w:w="274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فاحص DAST </w:t>
            </w:r>
            <w:r>
              <w:rPr>
                <w:rFonts w:ascii="Arial" w:cs="Arial" w:eastAsia="Arial" w:hAnsi="Arial"/>
                <w:color w:val="E0A800"/>
                <w:sz w:val="18"/>
                <w:szCs w:val="18"/>
                <w:rtl/>
              </w:rPr>
              <w:t xml:space="preserve">●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(DQ-S13-5)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بيئة الاختبار</w:t>
            </w:r>
          </w:p>
        </w:tc>
        <w:tc>
          <w:tcPr>
            <w:tcW w:type="dxa" w:w="21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خروج كل شريحة</w:t>
            </w:r>
          </w:p>
        </w:tc>
      </w:tr>
      <w:tr>
        <w:trPr>
          <w:cantSplit/>
        </w:trPr>
        <w:tc>
          <w:tcPr>
            <w:tcW w:type="dxa" w:w="146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L8 اختراق</w:t>
            </w:r>
          </w:p>
        </w:tc>
        <w:tc>
          <w:tcPr>
            <w:tcW w:type="dxa" w:w="182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§9</w:t>
            </w:r>
          </w:p>
        </w:tc>
        <w:tc>
          <w:tcPr>
            <w:tcW w:type="dxa" w:w="274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مختبِر مستقل </w:t>
            </w:r>
            <w:r>
              <w:rPr>
                <w:rFonts w:ascii="Arial" w:cs="Arial" w:eastAsia="Arial" w:hAnsi="Arial"/>
                <w:color w:val="E0A800"/>
                <w:sz w:val="18"/>
                <w:szCs w:val="18"/>
                <w:rtl/>
              </w:rPr>
              <w:t xml:space="preserve">●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نسخة معزولة من UAT ببيانات اصطناعية</w:t>
            </w:r>
          </w:p>
        </w:tc>
        <w:tc>
          <w:tcPr>
            <w:tcW w:type="dxa" w:w="21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قبل التجربة (NFR-SEC-18)</w:t>
            </w:r>
          </w:p>
        </w:tc>
      </w:tr>
    </w:tbl>
    <w:p>
      <w:pPr>
        <w:bidi/>
        <w:spacing w:after="120" w:before="0"/>
      </w:pPr>
    </w:p>
    <w:p>
      <w:pPr>
        <w:pStyle w:val="Heading1"/>
        <w:bidi/>
      </w:pPr>
      <w:bookmarkStart w:name="_sec4" w:id="4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4. اختبارات العزل القائمة في القاعدة وربطها بالتهديدات</w:t>
      </w:r>
      <w:bookmarkEnd w:id="4"/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كل الحالات تمر في tools/ci/db_ci.sh على حاوية التطوير (السطور 75-92). العمود «السطر» يشير إلى db/tests/tenant_isolation_tests.sql.</w:t>
      </w:r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17"/>
        <w:gridCol w:w="3151"/>
        <w:gridCol w:w="3198"/>
        <w:gridCol w:w="1598"/>
      </w:tblGrid>
      <w:tr>
        <w:trPr>
          <w:cantSplit/>
          <w:tblHeader/>
        </w:trPr>
        <w:tc>
          <w:tcPr>
            <w:tcW w:type="dxa" w:w="191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الحالة</w:t>
            </w:r>
          </w:p>
        </w:tc>
        <w:tc>
          <w:tcPr>
            <w:tcW w:type="dxa" w:w="315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ما تثبته</w:t>
            </w:r>
          </w:p>
        </w:tc>
        <w:tc>
          <w:tcPr>
            <w:tcW w:type="dxa" w:w="319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THR</w:t>
            </w:r>
          </w:p>
        </w:tc>
        <w:tc>
          <w:tcPr>
            <w:tcW w:type="dxa" w:w="159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السطر</w:t>
            </w:r>
          </w:p>
        </w:tc>
      </w:tr>
      <w:tr>
        <w:trPr>
          <w:cantSplit/>
        </w:trPr>
        <w:tc>
          <w:tcPr>
            <w:tcW w:type="dxa" w:w="191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T1</w:t>
            </w:r>
          </w:p>
        </w:tc>
        <w:tc>
          <w:tcPr>
            <w:tcW w:type="dxa" w:w="315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بلا ربط لا يرى tp_app أي تسهيل</w:t>
            </w:r>
          </w:p>
        </w:tc>
        <w:tc>
          <w:tcPr>
            <w:tcW w:type="dxa" w:w="319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THR-17</w:t>
            </w:r>
          </w:p>
        </w:tc>
        <w:tc>
          <w:tcPr>
            <w:tcW w:type="dxa" w:w="159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114</w:t>
            </w:r>
          </w:p>
        </w:tc>
      </w:tr>
      <w:tr>
        <w:trPr>
          <w:cantSplit/>
        </w:trPr>
        <w:tc>
          <w:tcPr>
            <w:tcW w:type="dxa" w:w="191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T2</w:t>
            </w:r>
          </w:p>
        </w:tc>
        <w:tc>
          <w:tcPr>
            <w:tcW w:type="dxa" w:w="315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المشترك يرى تسهيله وحده</w:t>
            </w:r>
          </w:p>
        </w:tc>
        <w:tc>
          <w:tcPr>
            <w:tcW w:type="dxa" w:w="319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THR-07</w:t>
            </w:r>
          </w:p>
        </w:tc>
        <w:tc>
          <w:tcPr>
            <w:tcW w:type="dxa" w:w="159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126</w:t>
            </w:r>
          </w:p>
        </w:tc>
      </w:tr>
      <w:tr>
        <w:trPr>
          <w:cantSplit/>
        </w:trPr>
        <w:tc>
          <w:tcPr>
            <w:tcW w:type="dxa" w:w="191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T3</w:t>
            </w:r>
          </w:p>
        </w:tc>
        <w:tc>
          <w:tcPr>
            <w:tcW w:type="dxa" w:w="315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تسهيل مشترك آخر لا يُقرأ بالمفتاح</w:t>
            </w:r>
          </w:p>
        </w:tc>
        <w:tc>
          <w:tcPr>
            <w:tcW w:type="dxa" w:w="319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THR-07</w:t>
            </w:r>
          </w:p>
        </w:tc>
        <w:tc>
          <w:tcPr>
            <w:tcW w:type="dxa" w:w="159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138</w:t>
            </w:r>
          </w:p>
        </w:tc>
      </w:tr>
      <w:tr>
        <w:trPr>
          <w:cantSplit/>
        </w:trPr>
        <w:tc>
          <w:tcPr>
            <w:tcW w:type="dxa" w:w="191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T4</w:t>
            </w:r>
          </w:p>
        </w:tc>
        <w:tc>
          <w:tcPr>
            <w:tcW w:type="dxa" w:w="315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إدراج صف لمشترك آخر يُرفض 33504</w:t>
            </w:r>
          </w:p>
        </w:tc>
        <w:tc>
          <w:tcPr>
            <w:tcW w:type="dxa" w:w="319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THR-07، THR-26</w:t>
            </w:r>
          </w:p>
        </w:tc>
        <w:tc>
          <w:tcPr>
            <w:tcW w:type="dxa" w:w="159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152</w:t>
            </w:r>
          </w:p>
        </w:tc>
      </w:tr>
      <w:tr>
        <w:trPr>
          <w:cantSplit/>
        </w:trPr>
        <w:tc>
          <w:tcPr>
            <w:tcW w:type="dxa" w:w="191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T5</w:t>
            </w:r>
          </w:p>
        </w:tc>
        <w:tc>
          <w:tcPr>
            <w:tcW w:type="dxa" w:w="315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إدراج صف للمشترك نفسه يُقبل (ضابط إيجابي)</w:t>
            </w:r>
          </w:p>
        </w:tc>
        <w:tc>
          <w:tcPr>
            <w:tcW w:type="dxa" w:w="319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THR-07</w:t>
            </w:r>
          </w:p>
        </w:tc>
        <w:tc>
          <w:tcPr>
            <w:tcW w:type="dxa" w:w="159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167</w:t>
            </w:r>
          </w:p>
        </w:tc>
      </w:tr>
      <w:tr>
        <w:trPr>
          <w:cantSplit/>
        </w:trPr>
        <w:tc>
          <w:tcPr>
            <w:tcW w:type="dxa" w:w="191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T6</w:t>
            </w:r>
          </w:p>
        </w:tc>
        <w:tc>
          <w:tcPr>
            <w:tcW w:type="dxa" w:w="315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تعديل تسهيل مشترك آخر لا يصل الصف</w:t>
            </w:r>
          </w:p>
        </w:tc>
        <w:tc>
          <w:tcPr>
            <w:tcW w:type="dxa" w:w="319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THR-07</w:t>
            </w:r>
          </w:p>
        </w:tc>
        <w:tc>
          <w:tcPr>
            <w:tcW w:type="dxa" w:w="159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182</w:t>
            </w:r>
          </w:p>
        </w:tc>
      </w:tr>
      <w:tr>
        <w:trPr>
          <w:cantSplit/>
        </w:trPr>
        <w:tc>
          <w:tcPr>
            <w:tcW w:type="dxa" w:w="191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T7</w:t>
            </w:r>
          </w:p>
        </w:tc>
        <w:tc>
          <w:tcPr>
            <w:tcW w:type="dxa" w:w="315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نقل صف إلى مشترك آخر يُرفض 33504</w:t>
            </w:r>
          </w:p>
        </w:tc>
        <w:tc>
          <w:tcPr>
            <w:tcW w:type="dxa" w:w="319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THR-07</w:t>
            </w:r>
          </w:p>
        </w:tc>
        <w:tc>
          <w:tcPr>
            <w:tcW w:type="dxa" w:w="159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199</w:t>
            </w:r>
          </w:p>
        </w:tc>
      </w:tr>
      <w:tr>
        <w:trPr>
          <w:cantSplit/>
        </w:trPr>
        <w:tc>
          <w:tcPr>
            <w:tcW w:type="dxa" w:w="191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T8</w:t>
            </w:r>
          </w:p>
        </w:tc>
        <w:tc>
          <w:tcPr>
            <w:tcW w:type="dxa" w:w="315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حذف تسهيل مشترك آخر لا يحذف شيئًا</w:t>
            </w:r>
          </w:p>
        </w:tc>
        <w:tc>
          <w:tcPr>
            <w:tcW w:type="dxa" w:w="319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THR-07</w:t>
            </w:r>
          </w:p>
        </w:tc>
        <w:tc>
          <w:tcPr>
            <w:tcW w:type="dxa" w:w="159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211</w:t>
            </w:r>
          </w:p>
        </w:tc>
      </w:tr>
      <w:tr>
        <w:trPr>
          <w:cantSplit/>
        </w:trPr>
        <w:tc>
          <w:tcPr>
            <w:tcW w:type="dxa" w:w="191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T8b</w:t>
            </w:r>
          </w:p>
        </w:tc>
        <w:tc>
          <w:tcPr>
            <w:tcW w:type="dxa" w:w="315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حذف يوم عطلة لمشترك آخر لا يحذف شيئًا</w:t>
            </w:r>
          </w:p>
        </w:tc>
        <w:tc>
          <w:tcPr>
            <w:tcW w:type="dxa" w:w="319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THR-07</w:t>
            </w:r>
          </w:p>
        </w:tc>
        <w:tc>
          <w:tcPr>
            <w:tcW w:type="dxa" w:w="159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228</w:t>
            </w:r>
          </w:p>
        </w:tc>
      </w:tr>
      <w:tr>
        <w:trPr>
          <w:cantSplit/>
        </w:trPr>
        <w:tc>
          <w:tcPr>
            <w:tcW w:type="dxa" w:w="191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T9</w:t>
            </w:r>
          </w:p>
        </w:tc>
        <w:tc>
          <w:tcPr>
            <w:tcW w:type="dxa" w:w="315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الصف العام يُقرأ، وصف المشترك الآخر لا يُقرأ</w:t>
            </w:r>
          </w:p>
        </w:tc>
        <w:tc>
          <w:tcPr>
            <w:tcW w:type="dxa" w:w="319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THR-07</w:t>
            </w:r>
          </w:p>
        </w:tc>
        <w:tc>
          <w:tcPr>
            <w:tcW w:type="dxa" w:w="159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248</w:t>
            </w:r>
          </w:p>
        </w:tc>
      </w:tr>
      <w:tr>
        <w:trPr>
          <w:cantSplit/>
        </w:trPr>
        <w:tc>
          <w:tcPr>
            <w:tcW w:type="dxa" w:w="191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T10</w:t>
            </w:r>
          </w:p>
        </w:tc>
        <w:tc>
          <w:tcPr>
            <w:tcW w:type="dxa" w:w="315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المشترك لا يدرج صفًا عامًا</w:t>
            </w:r>
          </w:p>
        </w:tc>
        <w:tc>
          <w:tcPr>
            <w:tcW w:type="dxa" w:w="319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لا THR صريح (DQ-S13-9)</w:t>
            </w:r>
          </w:p>
        </w:tc>
        <w:tc>
          <w:tcPr>
            <w:tcW w:type="dxa" w:w="159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263</w:t>
            </w:r>
          </w:p>
        </w:tc>
      </w:tr>
      <w:tr>
        <w:trPr>
          <w:cantSplit/>
        </w:trPr>
        <w:tc>
          <w:tcPr>
            <w:tcW w:type="dxa" w:w="191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T11</w:t>
            </w:r>
          </w:p>
        </w:tc>
        <w:tc>
          <w:tcPr>
            <w:tcW w:type="dxa" w:w="315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المشترك لا يعدّل صفًا عامًا</w:t>
            </w:r>
          </w:p>
        </w:tc>
        <w:tc>
          <w:tcPr>
            <w:tcW w:type="dxa" w:w="319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لا THR صريح (DQ-S13-9)</w:t>
            </w:r>
          </w:p>
        </w:tc>
        <w:tc>
          <w:tcPr>
            <w:tcW w:type="dxa" w:w="159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275</w:t>
            </w:r>
          </w:p>
        </w:tc>
      </w:tr>
      <w:tr>
        <w:trPr>
          <w:cantSplit/>
        </w:trPr>
        <w:tc>
          <w:tcPr>
            <w:tcW w:type="dxa" w:w="191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T12</w:t>
            </w:r>
          </w:p>
        </w:tc>
        <w:tc>
          <w:tcPr>
            <w:tcW w:type="dxa" w:w="315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المشترك لا يحذف صفًا عامًا</w:t>
            </w:r>
          </w:p>
        </w:tc>
        <w:tc>
          <w:tcPr>
            <w:tcW w:type="dxa" w:w="319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لا THR صريح (DQ-S13-9)</w:t>
            </w:r>
          </w:p>
        </w:tc>
        <w:tc>
          <w:tcPr>
            <w:tcW w:type="dxa" w:w="159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287</w:t>
            </w:r>
          </w:p>
        </w:tc>
      </w:tr>
      <w:tr>
        <w:trPr>
          <w:cantSplit/>
        </w:trPr>
        <w:tc>
          <w:tcPr>
            <w:tcW w:type="dxa" w:w="191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T13</w:t>
            </w:r>
          </w:p>
        </w:tc>
        <w:tc>
          <w:tcPr>
            <w:tcW w:type="dxa" w:w="315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المشترك يضيف صف تدقيق لنفسه (ضابط إيجابي لـ T14)</w:t>
            </w:r>
          </w:p>
        </w:tc>
        <w:tc>
          <w:tcPr>
            <w:tcW w:type="dxa" w:w="319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THR-24</w:t>
            </w:r>
          </w:p>
        </w:tc>
        <w:tc>
          <w:tcPr>
            <w:tcW w:type="dxa" w:w="159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302</w:t>
            </w:r>
          </w:p>
        </w:tc>
      </w:tr>
      <w:tr>
        <w:trPr>
          <w:cantSplit/>
        </w:trPr>
        <w:tc>
          <w:tcPr>
            <w:tcW w:type="dxa" w:w="191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T14</w:t>
            </w:r>
          </w:p>
        </w:tc>
        <w:tc>
          <w:tcPr>
            <w:tcW w:type="dxa" w:w="315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لا صف تدقيق لمشترك آخر</w:t>
            </w:r>
          </w:p>
        </w:tc>
        <w:tc>
          <w:tcPr>
            <w:tcW w:type="dxa" w:w="319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THR-24، THR-39</w:t>
            </w:r>
          </w:p>
        </w:tc>
        <w:tc>
          <w:tcPr>
            <w:tcW w:type="dxa" w:w="159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314</w:t>
            </w:r>
          </w:p>
        </w:tc>
      </w:tr>
      <w:tr>
        <w:trPr>
          <w:cantSplit/>
        </w:trPr>
        <w:tc>
          <w:tcPr>
            <w:tcW w:type="dxa" w:w="191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T15</w:t>
            </w:r>
          </w:p>
        </w:tc>
        <w:tc>
          <w:tcPr>
            <w:tcW w:type="dxa" w:w="315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tp_app لا يعدّل التدقيق ولا يحذفه</w:t>
            </w:r>
          </w:p>
        </w:tc>
        <w:tc>
          <w:tcPr>
            <w:tcW w:type="dxa" w:w="319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THR-57</w:t>
            </w:r>
          </w:p>
        </w:tc>
        <w:tc>
          <w:tcPr>
            <w:tcW w:type="dxa" w:w="159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326</w:t>
            </w:r>
          </w:p>
        </w:tc>
      </w:tr>
      <w:tr>
        <w:trPr>
          <w:cantSplit/>
        </w:trPr>
        <w:tc>
          <w:tcPr>
            <w:tcW w:type="dxa" w:w="191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T38</w:t>
            </w:r>
          </w:p>
        </w:tc>
        <w:tc>
          <w:tcPr>
            <w:tcW w:type="dxa" w:w="315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المنصة تقرأ أحداثها لا أحداث المشتركين</w:t>
            </w:r>
          </w:p>
        </w:tc>
        <w:tc>
          <w:tcPr>
            <w:tcW w:type="dxa" w:w="319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THR-38</w:t>
            </w:r>
          </w:p>
        </w:tc>
        <w:tc>
          <w:tcPr>
            <w:tcW w:type="dxa" w:w="159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340</w:t>
            </w:r>
          </w:p>
        </w:tc>
      </w:tr>
      <w:tr>
        <w:trPr>
          <w:cantSplit/>
        </w:trPr>
        <w:tc>
          <w:tcPr>
            <w:tcW w:type="dxa" w:w="191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T16</w:t>
            </w:r>
          </w:p>
        </w:tc>
        <w:tc>
          <w:tcPr>
            <w:tcW w:type="dxa" w:w="315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ضبط TenantId يدويًا لا يكشف صفًا</w:t>
            </w:r>
          </w:p>
        </w:tc>
        <w:tc>
          <w:tcPr>
            <w:tcW w:type="dxa" w:w="319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THR-17</w:t>
            </w:r>
          </w:p>
        </w:tc>
        <w:tc>
          <w:tcPr>
            <w:tcW w:type="dxa" w:w="159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360</w:t>
            </w:r>
          </w:p>
        </w:tc>
      </w:tr>
      <w:tr>
        <w:trPr>
          <w:cantSplit/>
        </w:trPr>
        <w:tc>
          <w:tcPr>
            <w:tcW w:type="dxa" w:w="191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T16b</w:t>
            </w:r>
          </w:p>
        </w:tc>
        <w:tc>
          <w:tcPr>
            <w:tcW w:type="dxa" w:w="315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tp_app لا يقرأ جدول الربط ولا يكتبه</w:t>
            </w:r>
          </w:p>
        </w:tc>
        <w:tc>
          <w:tcPr>
            <w:tcW w:type="dxa" w:w="319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THR-17</w:t>
            </w:r>
          </w:p>
        </w:tc>
        <w:tc>
          <w:tcPr>
            <w:tcW w:type="dxa" w:w="159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379</w:t>
            </w:r>
          </w:p>
        </w:tc>
      </w:tr>
      <w:tr>
        <w:trPr>
          <w:cantSplit/>
        </w:trPr>
        <w:tc>
          <w:tcPr>
            <w:tcW w:type="dxa" w:w="191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T16c</w:t>
            </w:r>
          </w:p>
        </w:tc>
        <w:tc>
          <w:tcPr>
            <w:tcW w:type="dxa" w:w="315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رمز ربط خاطئ أو غائب لا يكشف صفًا</w:t>
            </w:r>
          </w:p>
        </w:tc>
        <w:tc>
          <w:tcPr>
            <w:tcW w:type="dxa" w:w="319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THR-17</w:t>
            </w:r>
          </w:p>
        </w:tc>
        <w:tc>
          <w:tcPr>
            <w:tcW w:type="dxa" w:w="159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392</w:t>
            </w:r>
          </w:p>
        </w:tc>
      </w:tr>
      <w:tr>
        <w:trPr>
          <w:cantSplit/>
        </w:trPr>
        <w:tc>
          <w:tcPr>
            <w:tcW w:type="dxa" w:w="191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T28</w:t>
            </w:r>
          </w:p>
        </w:tc>
        <w:tc>
          <w:tcPr>
            <w:tcW w:type="dxa" w:w="315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اتصال غير مربوط لا يرى المشترك ولا وحداته عبر العروض</w:t>
            </w:r>
          </w:p>
        </w:tc>
        <w:tc>
          <w:tcPr>
            <w:tcW w:type="dxa" w:w="319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THR-17</w:t>
            </w:r>
          </w:p>
        </w:tc>
        <w:tc>
          <w:tcPr>
            <w:tcW w:type="dxa" w:w="159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411</w:t>
            </w:r>
          </w:p>
        </w:tc>
      </w:tr>
      <w:tr>
        <w:trPr>
          <w:cantSplit/>
        </w:trPr>
        <w:tc>
          <w:tcPr>
            <w:tcW w:type="dxa" w:w="191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T17</w:t>
            </w:r>
          </w:p>
        </w:tc>
        <w:tc>
          <w:tcPr>
            <w:tcW w:type="dxa" w:w="315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الإجراء يرفض مشتركًا مجهولًا أو مغلقًا (50002)</w:t>
            </w:r>
          </w:p>
        </w:tc>
        <w:tc>
          <w:tcPr>
            <w:tcW w:type="dxa" w:w="319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THR-23، THR-27</w:t>
            </w:r>
          </w:p>
        </w:tc>
        <w:tc>
          <w:tcPr>
            <w:tcW w:type="dxa" w:w="159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429</w:t>
            </w:r>
          </w:p>
        </w:tc>
      </w:tr>
      <w:tr>
        <w:trPr>
          <w:cantSplit/>
        </w:trPr>
        <w:tc>
          <w:tcPr>
            <w:tcW w:type="dxa" w:w="191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T18</w:t>
            </w:r>
          </w:p>
        </w:tc>
        <w:tc>
          <w:tcPr>
            <w:tcW w:type="dxa" w:w="315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جلسة مشترك لا تربط مشتركًا آخر، وجلسة مستخدم معطّل لا تربط</w:t>
            </w:r>
          </w:p>
        </w:tc>
        <w:tc>
          <w:tcPr>
            <w:tcW w:type="dxa" w:w="319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THR-18</w:t>
            </w:r>
          </w:p>
        </w:tc>
        <w:tc>
          <w:tcPr>
            <w:tcW w:type="dxa" w:w="159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442</w:t>
            </w:r>
          </w:p>
        </w:tc>
      </w:tr>
      <w:tr>
        <w:trPr>
          <w:cantSplit/>
        </w:trPr>
        <w:tc>
          <w:tcPr>
            <w:tcW w:type="dxa" w:w="191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T32</w:t>
            </w:r>
          </w:p>
        </w:tc>
        <w:tc>
          <w:tcPr>
            <w:tcW w:type="dxa" w:w="315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رمز خاطئ وجلسة منتهية بالخمول وجلسة منهاة لا تربط</w:t>
            </w:r>
          </w:p>
        </w:tc>
        <w:tc>
          <w:tcPr>
            <w:tcW w:type="dxa" w:w="319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THR-03، THR-18</w:t>
            </w:r>
          </w:p>
        </w:tc>
        <w:tc>
          <w:tcPr>
            <w:tcW w:type="dxa" w:w="159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455</w:t>
            </w:r>
          </w:p>
        </w:tc>
      </w:tr>
      <w:tr>
        <w:trPr>
          <w:cantSplit/>
        </w:trPr>
        <w:tc>
          <w:tcPr>
            <w:tcW w:type="dxa" w:w="191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T33</w:t>
            </w:r>
          </w:p>
        </w:tc>
        <w:tc>
          <w:tcPr>
            <w:tcW w:type="dxa" w:w="315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الدخول يقارن التجزئة في القاعدة ويرفض بخطأ واحد 50005</w:t>
            </w:r>
          </w:p>
        </w:tc>
        <w:tc>
          <w:tcPr>
            <w:tcW w:type="dxa" w:w="319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THR-01، THR-02</w:t>
            </w:r>
          </w:p>
        </w:tc>
        <w:tc>
          <w:tcPr>
            <w:tcW w:type="dxa" w:w="159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470</w:t>
            </w:r>
          </w:p>
        </w:tc>
      </w:tr>
      <w:tr>
        <w:trPr>
          <w:cantSplit/>
        </w:trPr>
        <w:tc>
          <w:tcPr>
            <w:tcW w:type="dxa" w:w="191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T34</w:t>
            </w:r>
          </w:p>
        </w:tc>
        <w:tc>
          <w:tcPr>
            <w:tcW w:type="dxa" w:w="315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خمسة إخفاقات تقفل، والكلمة الصحيحة ترفض بعدها</w:t>
            </w:r>
          </w:p>
        </w:tc>
        <w:tc>
          <w:tcPr>
            <w:tcW w:type="dxa" w:w="319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THR-01، THR-11</w:t>
            </w:r>
          </w:p>
        </w:tc>
        <w:tc>
          <w:tcPr>
            <w:tcW w:type="dxa" w:w="159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499</w:t>
            </w:r>
          </w:p>
        </w:tc>
      </w:tr>
      <w:tr>
        <w:trPr>
          <w:cantSplit/>
        </w:trPr>
        <w:tc>
          <w:tcPr>
            <w:tcW w:type="dxa" w:w="191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T35</w:t>
            </w:r>
          </w:p>
        </w:tc>
        <w:tc>
          <w:tcPr>
            <w:tcW w:type="dxa" w:w="315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tp_app لا يقرأ التجزئة ولا ينشئ جلسة ولا يغيّر الرمز ولا يمدد المهلة المطلقة</w:t>
            </w:r>
          </w:p>
        </w:tc>
        <w:tc>
          <w:tcPr>
            <w:tcW w:type="dxa" w:w="319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THR-04، THR-19، THR-22</w:t>
            </w:r>
          </w:p>
        </w:tc>
        <w:tc>
          <w:tcPr>
            <w:tcW w:type="dxa" w:w="159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524</w:t>
            </w:r>
          </w:p>
        </w:tc>
      </w:tr>
      <w:tr>
        <w:trPr>
          <w:cantSplit/>
        </w:trPr>
        <w:tc>
          <w:tcPr>
            <w:tcW w:type="dxa" w:w="191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T36</w:t>
            </w:r>
          </w:p>
        </w:tc>
        <w:tc>
          <w:tcPr>
            <w:tcW w:type="dxa" w:w="315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لا ربط قبل تسجيل MFA، والفشل يُسجَّل</w:t>
            </w:r>
          </w:p>
        </w:tc>
        <w:tc>
          <w:tcPr>
            <w:tcW w:type="dxa" w:w="319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THR-05، THR-06</w:t>
            </w:r>
          </w:p>
        </w:tc>
        <w:tc>
          <w:tcPr>
            <w:tcW w:type="dxa" w:w="159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546</w:t>
            </w:r>
          </w:p>
        </w:tc>
      </w:tr>
      <w:tr>
        <w:trPr>
          <w:cantSplit/>
        </w:trPr>
        <w:tc>
          <w:tcPr>
            <w:tcW w:type="dxa" w:w="191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T25</w:t>
            </w:r>
          </w:p>
        </w:tc>
        <w:tc>
          <w:tcPr>
            <w:tcW w:type="dxa" w:w="315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تعطيل المستخدم يسحب ربطه</w:t>
            </w:r>
          </w:p>
        </w:tc>
        <w:tc>
          <w:tcPr>
            <w:tcW w:type="dxa" w:w="319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THR-18</w:t>
            </w:r>
          </w:p>
        </w:tc>
        <w:tc>
          <w:tcPr>
            <w:tcW w:type="dxa" w:w="159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565</w:t>
            </w:r>
          </w:p>
        </w:tc>
      </w:tr>
      <w:tr>
        <w:trPr>
          <w:cantSplit/>
        </w:trPr>
        <w:tc>
          <w:tcPr>
            <w:tcW w:type="dxa" w:w="191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T26</w:t>
            </w:r>
          </w:p>
        </w:tc>
        <w:tc>
          <w:tcPr>
            <w:tcW w:type="dxa" w:w="315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إغلاق المشترك يسحب ربط اتصالاته</w:t>
            </w:r>
          </w:p>
        </w:tc>
        <w:tc>
          <w:tcPr>
            <w:tcW w:type="dxa" w:w="319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THR-23</w:t>
            </w:r>
          </w:p>
        </w:tc>
        <w:tc>
          <w:tcPr>
            <w:tcW w:type="dxa" w:w="159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579</w:t>
            </w:r>
          </w:p>
        </w:tc>
      </w:tr>
      <w:tr>
        <w:trPr>
          <w:cantSplit/>
        </w:trPr>
        <w:tc>
          <w:tcPr>
            <w:tcW w:type="dxa" w:w="191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T27</w:t>
            </w:r>
          </w:p>
        </w:tc>
        <w:tc>
          <w:tcPr>
            <w:tcW w:type="dxa" w:w="315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المشترك المعلّق يقرأ ولا يكتب</w:t>
            </w:r>
          </w:p>
        </w:tc>
        <w:tc>
          <w:tcPr>
            <w:tcW w:type="dxa" w:w="319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THR-23</w:t>
            </w:r>
          </w:p>
        </w:tc>
        <w:tc>
          <w:tcPr>
            <w:tcW w:type="dxa" w:w="159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593</w:t>
            </w:r>
          </w:p>
        </w:tc>
      </w:tr>
      <w:tr>
        <w:trPr>
          <w:cantSplit/>
        </w:trPr>
        <w:tc>
          <w:tcPr>
            <w:tcW w:type="dxa" w:w="191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T30</w:t>
            </w:r>
          </w:p>
        </w:tc>
        <w:tc>
          <w:tcPr>
            <w:tcW w:type="dxa" w:w="315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حذف صف المستخدم يسحب ربطه</w:t>
            </w:r>
          </w:p>
        </w:tc>
        <w:tc>
          <w:tcPr>
            <w:tcW w:type="dxa" w:w="319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THR-18</w:t>
            </w:r>
          </w:p>
        </w:tc>
        <w:tc>
          <w:tcPr>
            <w:tcW w:type="dxa" w:w="159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608</w:t>
            </w:r>
          </w:p>
        </w:tc>
      </w:tr>
      <w:tr>
        <w:trPr>
          <w:cantSplit/>
        </w:trPr>
        <w:tc>
          <w:tcPr>
            <w:tcW w:type="dxa" w:w="191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T31</w:t>
            </w:r>
          </w:p>
        </w:tc>
        <w:tc>
          <w:tcPr>
            <w:tcW w:type="dxa" w:w="315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المشترك المعلّق لا يحذف صفوفه</w:t>
            </w:r>
          </w:p>
        </w:tc>
        <w:tc>
          <w:tcPr>
            <w:tcW w:type="dxa" w:w="319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THR-23</w:t>
            </w:r>
          </w:p>
        </w:tc>
        <w:tc>
          <w:tcPr>
            <w:tcW w:type="dxa" w:w="159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624</w:t>
            </w:r>
          </w:p>
        </w:tc>
      </w:tr>
      <w:tr>
        <w:trPr>
          <w:cantSplit/>
        </w:trPr>
        <w:tc>
          <w:tcPr>
            <w:tcW w:type="dxa" w:w="191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T37</w:t>
            </w:r>
          </w:p>
        </w:tc>
        <w:tc>
          <w:tcPr>
            <w:tcW w:type="dxa" w:w="315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إنهاء جلسة يسحب ربط مستخدمها فورًا</w:t>
            </w:r>
          </w:p>
        </w:tc>
        <w:tc>
          <w:tcPr>
            <w:tcW w:type="dxa" w:w="319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THR-03</w:t>
            </w:r>
          </w:p>
        </w:tc>
        <w:tc>
          <w:tcPr>
            <w:tcW w:type="dxa" w:w="159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643</w:t>
            </w:r>
          </w:p>
        </w:tc>
      </w:tr>
      <w:tr>
        <w:trPr>
          <w:cantSplit/>
        </w:trPr>
        <w:tc>
          <w:tcPr>
            <w:tcW w:type="dxa" w:w="191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T19</w:t>
            </w:r>
          </w:p>
        </w:tc>
        <w:tc>
          <w:tcPr>
            <w:tcW w:type="dxa" w:w="315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جلسة صالحة تربط مشتركها ومستخدمها فقط</w:t>
            </w:r>
          </w:p>
        </w:tc>
        <w:tc>
          <w:tcPr>
            <w:tcW w:type="dxa" w:w="319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THR-18</w:t>
            </w:r>
          </w:p>
        </w:tc>
        <w:tc>
          <w:tcPr>
            <w:tcW w:type="dxa" w:w="159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658</w:t>
            </w:r>
          </w:p>
        </w:tc>
      </w:tr>
      <w:tr>
        <w:trPr>
          <w:cantSplit/>
        </w:trPr>
        <w:tc>
          <w:tcPr>
            <w:tcW w:type="dxa" w:w="191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T20</w:t>
            </w:r>
          </w:p>
        </w:tc>
        <w:tc>
          <w:tcPr>
            <w:tcW w:type="dxa" w:w="315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السياق المربوط لا يتغير، والربط الثاني يُرفض 50004</w:t>
            </w:r>
          </w:p>
        </w:tc>
        <w:tc>
          <w:tcPr>
            <w:tcW w:type="dxa" w:w="319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THR-17، THR-18</w:t>
            </w:r>
          </w:p>
        </w:tc>
        <w:tc>
          <w:tcPr>
            <w:tcW w:type="dxa" w:w="159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678</w:t>
            </w:r>
          </w:p>
        </w:tc>
      </w:tr>
      <w:tr>
        <w:trPr>
          <w:cantSplit/>
        </w:trPr>
        <w:tc>
          <w:tcPr>
            <w:tcW w:type="dxa" w:w="191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T29</w:t>
            </w:r>
          </w:p>
        </w:tc>
        <w:tc>
          <w:tcPr>
            <w:tcW w:type="dxa" w:w="315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التقارير لا تقرأ سجل المشتركين ولا قائمة الوحدات</w:t>
            </w:r>
          </w:p>
        </w:tc>
        <w:tc>
          <w:tcPr>
            <w:tcW w:type="dxa" w:w="319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THR-42</w:t>
            </w:r>
          </w:p>
        </w:tc>
        <w:tc>
          <w:tcPr>
            <w:tcW w:type="dxa" w:w="159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693</w:t>
            </w:r>
          </w:p>
        </w:tc>
      </w:tr>
      <w:tr>
        <w:trPr>
          <w:cantSplit/>
        </w:trPr>
        <w:tc>
          <w:tcPr>
            <w:tcW w:type="dxa" w:w="191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T21</w:t>
            </w:r>
          </w:p>
        </w:tc>
        <w:tc>
          <w:tcPr>
            <w:tcW w:type="dxa" w:w="315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التقارير لا تقرأ عمودًا مقيّدًا (230)</w:t>
            </w:r>
          </w:p>
        </w:tc>
        <w:tc>
          <w:tcPr>
            <w:tcW w:type="dxa" w:w="319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THR-42</w:t>
            </w:r>
          </w:p>
        </w:tc>
        <w:tc>
          <w:tcPr>
            <w:tcW w:type="dxa" w:w="159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704</w:t>
            </w:r>
          </w:p>
        </w:tc>
      </w:tr>
      <w:tr>
        <w:trPr>
          <w:cantSplit/>
        </w:trPr>
        <w:tc>
          <w:tcPr>
            <w:tcW w:type="dxa" w:w="191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T22</w:t>
            </w:r>
          </w:p>
        </w:tc>
        <w:tc>
          <w:tcPr>
            <w:tcW w:type="dxa" w:w="315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التقارير لا تقرأ جدول المشغّلين ولا جدول الربط</w:t>
            </w:r>
          </w:p>
        </w:tc>
        <w:tc>
          <w:tcPr>
            <w:tcW w:type="dxa" w:w="319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THR-42، THR-43</w:t>
            </w:r>
          </w:p>
        </w:tc>
        <w:tc>
          <w:tcPr>
            <w:tcW w:type="dxa" w:w="159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713</w:t>
            </w:r>
          </w:p>
        </w:tc>
      </w:tr>
      <w:tr>
        <w:trPr>
          <w:cantSplit/>
        </w:trPr>
        <w:tc>
          <w:tcPr>
            <w:tcW w:type="dxa" w:w="191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T23</w:t>
            </w:r>
          </w:p>
        </w:tc>
        <w:tc>
          <w:tcPr>
            <w:tcW w:type="dxa" w:w="315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التقارير تقرأ عمودًا غير مقيّد (ضابط إيجابي)</w:t>
            </w:r>
          </w:p>
        </w:tc>
        <w:tc>
          <w:tcPr>
            <w:tcW w:type="dxa" w:w="319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THR-42</w:t>
            </w:r>
          </w:p>
        </w:tc>
        <w:tc>
          <w:tcPr>
            <w:tcW w:type="dxa" w:w="159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724</w:t>
            </w:r>
          </w:p>
        </w:tc>
      </w:tr>
      <w:tr>
        <w:trPr>
          <w:cantSplit/>
        </w:trPr>
        <w:tc>
          <w:tcPr>
            <w:tcW w:type="dxa" w:w="191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T24</w:t>
            </w:r>
          </w:p>
        </w:tc>
        <w:tc>
          <w:tcPr>
            <w:tcW w:type="dxa" w:w="315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كل جدول فيه TenantId مُرشَّح وكل سياسة مفعّلة</w:t>
            </w:r>
          </w:p>
        </w:tc>
        <w:tc>
          <w:tcPr>
            <w:tcW w:type="dxa" w:w="319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THR-07، THR-17، THR-37</w:t>
            </w:r>
          </w:p>
        </w:tc>
        <w:tc>
          <w:tcPr>
            <w:tcW w:type="dxa" w:w="159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735</w:t>
            </w:r>
          </w:p>
        </w:tc>
      </w:tr>
    </w:tbl>
    <w:p>
      <w:pPr>
        <w:bidi/>
        <w:spacing w:after="120" w:before="0"/>
      </w:pP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العدد: 41 حالة، منها 4 ضوابط إيجابية (T5 وT13 وT19 وT23). الحالات FSR-T1 إلى FSR-T6 لا تقابل أي THR لأنها تحمي سلامة الحصص (O-03، tools/dbgen/erd_open_items.py:27-31).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التهديدات التي لا حالة قاعدة لها بعد: THR-20 وTHR-21 (O-24)، وTHR-25 (O-20)، وTHR-27 للمؤشرات (O-22)، وTHR-14 وTHR-28 وTHR-29 وTHR-31 وTHR-33 (نتائج المراجعة DR). حالاتها المقترحة في §10.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عند إضافة حالة يتغير العدّاد الثابت 41 في tools/ci/db_ci.sh:88 يدويًا، إلى أن يُشتق من الملف (DOC-B01 §9).</w:t>
      </w:r>
    </w:p>
    <w:p>
      <w:pPr>
        <w:bidi/>
        <w:spacing w:after="60" w:before="0"/>
      </w:pPr>
    </w:p>
    <w:p>
      <w:pPr>
        <w:pStyle w:val="Heading1"/>
        <w:bidi/>
      </w:pPr>
      <w:bookmarkStart w:name="_sec5" w:id="5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5. عبور المشتركين وIDOR وغياب السياق على مستوى API</w:t>
      </w:r>
      <w:bookmarkEnd w:id="5"/>
    </w:p>
    <w:p>
      <w:pPr>
        <w:pStyle w:val="Heading2"/>
        <w:bidi/>
      </w:pPr>
      <w:bookmarkStart w:name="_sec6" w:id="6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5.1 التجهيز</w:t>
      </w:r>
      <w:bookmarkEnd w:id="6"/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كل تشغيل يبدأ بقاعدة منشورة بـ tools/deploy/deploy.sh، ثم يؤهّل مشتركين اصطناعيين A وB بإجراء التأهيل نفسه (DOC-F05)، ويبذر لكلٍّ منهما بيانات من مولّدات DOC-B06 </w:t>
      </w:r>
      <w:r>
        <w:rPr>
          <w:rFonts w:ascii="Arial" w:cs="Arial" w:eastAsia="Arial" w:hAnsi="Arial"/>
          <w:color w:val="E0A800"/>
          <w:sz w:val="21"/>
          <w:szCs w:val="21"/>
          <w:rtl/>
        </w:rPr>
        <w:t xml:space="preserve">●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: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في كل مشترك: شركتان C1 وC2، ومستخدم لكل دور نظام، ومستخدم U1 نطاقه C1 وحدها، ومستخدم بلا أي صلاحية.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لكل مورد في الشريحة صف واحد على الأقل في C1 وفي C2 لكل مشترك.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الاتصال بحساب tp_app عبر sec.usp_StartSession ثم sec.usp_SetSessionContext، لا بحساب sa (DOC-B01 §3).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يُحفظ PublicId كل صف من B قبل التشغيل، لأن التصفية تخفيها عن A.</w:t>
      </w:r>
    </w:p>
    <w:p>
      <w:pPr>
        <w:bidi/>
        <w:spacing w:after="60" w:before="0"/>
      </w:pPr>
    </w:p>
    <w:p>
      <w:pPr>
        <w:pStyle w:val="Heading2"/>
        <w:bidi/>
      </w:pPr>
      <w:bookmarkStart w:name="_sec7" w:id="7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5.2 الحالات لكل عملية</w:t>
      </w:r>
      <w:bookmarkEnd w:id="7"/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1"/>
        <w:gridCol w:w="1688"/>
        <w:gridCol w:w="1594"/>
        <w:gridCol w:w="5631"/>
      </w:tblGrid>
      <w:tr>
        <w:trPr>
          <w:cantSplit/>
          <w:tblHeader/>
        </w:trPr>
        <w:tc>
          <w:tcPr>
            <w:tcW w:type="dxa" w:w="95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الرمز</w:t>
            </w:r>
          </w:p>
        </w:tc>
        <w:tc>
          <w:tcPr>
            <w:tcW w:type="dxa" w:w="168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الحالة</w:t>
            </w:r>
          </w:p>
        </w:tc>
        <w:tc>
          <w:tcPr>
            <w:tcW w:type="dxa" w:w="159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المتوقع</w:t>
            </w:r>
          </w:p>
        </w:tc>
        <w:tc>
          <w:tcPr>
            <w:tcW w:type="dxa" w:w="563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المرجع</w:t>
            </w:r>
          </w:p>
        </w:tc>
      </w:tr>
      <w:tr>
        <w:trPr>
          <w:cantSplit/>
        </w:trPr>
        <w:tc>
          <w:tcPr>
            <w:tcW w:type="dxa" w:w="95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X1</w:t>
            </w:r>
          </w:p>
        </w:tc>
        <w:tc>
          <w:tcPr>
            <w:tcW w:type="dxa" w:w="168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بلا كوكي جلسة أو بجلسة منتهية</w:t>
            </w:r>
          </w:p>
        </w:tc>
        <w:tc>
          <w:tcPr>
            <w:tcW w:type="dxa" w:w="159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401 SESSION_INVALID، ولا استعلام بيانات</w:t>
            </w:r>
          </w:p>
        </w:tc>
        <w:tc>
          <w:tcPr>
            <w:tcW w:type="dxa" w:w="563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DOC-B04 §9.1؛ T32</w:t>
            </w:r>
          </w:p>
        </w:tc>
      </w:tr>
      <w:tr>
        <w:trPr>
          <w:cantSplit/>
        </w:trPr>
        <w:tc>
          <w:tcPr>
            <w:tcW w:type="dxa" w:w="95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X2</w:t>
            </w:r>
          </w:p>
        </w:tc>
        <w:tc>
          <w:tcPr>
            <w:tcW w:type="dxa" w:w="168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غياب السياق: الاتصال يصل الاستعلام بلا ربط عبر مفتاح اختبار (DQ-S13-4)</w:t>
            </w:r>
          </w:p>
        </w:tc>
        <w:tc>
          <w:tcPr>
            <w:tcW w:type="dxa" w:w="159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القراءة صفر صفوف أو 404؛ الكتابة 33504 فتعيد 500 مع تنبيه أمني؛ لا صف يتغير</w:t>
            </w:r>
          </w:p>
        </w:tc>
        <w:tc>
          <w:tcPr>
            <w:tcW w:type="dxa" w:w="563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FR-PLT-036؛ NFR-SEC-02؛ T1، T28</w:t>
            </w:r>
          </w:p>
        </w:tc>
      </w:tr>
      <w:tr>
        <w:trPr>
          <w:cantSplit/>
        </w:trPr>
        <w:tc>
          <w:tcPr>
            <w:tcW w:type="dxa" w:w="95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X3</w:t>
            </w:r>
          </w:p>
        </w:tc>
        <w:tc>
          <w:tcPr>
            <w:tcW w:type="dxa" w:w="168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PublicId من المشترك B في المسار بجلسة A</w:t>
            </w:r>
          </w:p>
        </w:tc>
        <w:tc>
          <w:tcPr>
            <w:tcW w:type="dxa" w:w="159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404 NOT_FOUND بالجسم نفسه لمعرّف غير موجود؛ لا أثر في B</w:t>
            </w:r>
          </w:p>
        </w:tc>
        <w:tc>
          <w:tcPr>
            <w:tcW w:type="dxa" w:w="563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FR-PLT-021؛ AC-PLT-1؛ T3، T6، T8</w:t>
            </w:r>
          </w:p>
        </w:tc>
      </w:tr>
      <w:tr>
        <w:trPr>
          <w:cantSplit/>
        </w:trPr>
        <w:tc>
          <w:tcPr>
            <w:tcW w:type="dxa" w:w="95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X4</w:t>
            </w:r>
          </w:p>
        </w:tc>
        <w:tc>
          <w:tcPr>
            <w:tcW w:type="dxa" w:w="168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PublicId لصف في C2 بجلسة U1</w:t>
            </w:r>
          </w:p>
        </w:tc>
        <w:tc>
          <w:tcPr>
            <w:tcW w:type="dxa" w:w="159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404، لا 403</w:t>
            </w:r>
          </w:p>
        </w:tc>
        <w:tc>
          <w:tcPr>
            <w:tcW w:type="dxa" w:w="563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FR-PLT-020 (docs/10-detailed-analysis/10-m0-m1-platform-organization.md:122)</w:t>
            </w:r>
          </w:p>
        </w:tc>
      </w:tr>
      <w:tr>
        <w:trPr>
          <w:cantSplit/>
        </w:trPr>
        <w:tc>
          <w:tcPr>
            <w:tcW w:type="dxa" w:w="95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X5</w:t>
            </w:r>
          </w:p>
        </w:tc>
        <w:tc>
          <w:tcPr>
            <w:tcW w:type="dxa" w:w="168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مستخدم بلا الصلاحية المعلنة في x-permission</w:t>
            </w:r>
          </w:p>
        </w:tc>
        <w:tc>
          <w:tcPr>
            <w:tcW w:type="dxa" w:w="159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403 FORBIDDEN قبل أي فحص للمعرّف</w:t>
            </w:r>
          </w:p>
        </w:tc>
        <w:tc>
          <w:tcPr>
            <w:tcW w:type="dxa" w:w="563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FR-PLT-021 (:123)؛ DOC-B04 §12</w:t>
            </w:r>
          </w:p>
        </w:tc>
      </w:tr>
      <w:tr>
        <w:trPr>
          <w:cantSplit/>
        </w:trPr>
        <w:tc>
          <w:tcPr>
            <w:tcW w:type="dxa" w:w="95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X6</w:t>
            </w:r>
          </w:p>
        </w:tc>
        <w:tc>
          <w:tcPr>
            <w:tcW w:type="dxa" w:w="168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القوائم والبحث والعدّ والتصدير</w:t>
            </w:r>
          </w:p>
        </w:tc>
        <w:tc>
          <w:tcPr>
            <w:tcW w:type="dxa" w:w="159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لا صف من B ولا من خارج النطاق، ولا يتأثر total بهما</w:t>
            </w:r>
          </w:p>
        </w:tc>
        <w:tc>
          <w:tcPr>
            <w:tcW w:type="dxa" w:w="563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DOC-B04 §5</w:t>
            </w:r>
          </w:p>
        </w:tc>
      </w:tr>
      <w:tr>
        <w:trPr>
          <w:cantSplit/>
        </w:trPr>
        <w:tc>
          <w:tcPr>
            <w:tcW w:type="dxa" w:w="95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X7</w:t>
            </w:r>
          </w:p>
        </w:tc>
        <w:tc>
          <w:tcPr>
            <w:tcW w:type="dxa" w:w="168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PublicId من B داخل الجسم مرجعًا (roleIds، companyId، facilityId…)</w:t>
            </w:r>
          </w:p>
        </w:tc>
        <w:tc>
          <w:tcPr>
            <w:tcW w:type="dxa" w:w="159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422 REFERENCE_INVALID أو 404، ولا صف يُكتب</w:t>
            </w:r>
          </w:p>
        </w:tc>
        <w:tc>
          <w:tcPr>
            <w:tcW w:type="dxa" w:w="563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DOC-B04 §9.4؛ O-20 (erd_open_items)</w:t>
            </w:r>
          </w:p>
        </w:tc>
      </w:tr>
      <w:tr>
        <w:trPr>
          <w:cantSplit/>
        </w:trPr>
        <w:tc>
          <w:tcPr>
            <w:tcW w:type="dxa" w:w="95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X8</w:t>
            </w:r>
          </w:p>
        </w:tc>
        <w:tc>
          <w:tcPr>
            <w:tcW w:type="dxa" w:w="168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كوكي جلسة A على مضيف B</w:t>
            </w:r>
          </w:p>
        </w:tc>
        <w:tc>
          <w:tcPr>
            <w:tcW w:type="dxa" w:w="159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401؛ لا ربط</w:t>
            </w:r>
          </w:p>
        </w:tc>
        <w:tc>
          <w:tcPr>
            <w:tcW w:type="dxa" w:w="563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FR-PLT-046؛ AC-PLT-21؛ T18</w:t>
            </w:r>
          </w:p>
        </w:tc>
      </w:tr>
      <w:tr>
        <w:trPr>
          <w:cantSplit/>
        </w:trPr>
        <w:tc>
          <w:tcPr>
            <w:tcW w:type="dxa" w:w="95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X9</w:t>
            </w:r>
          </w:p>
        </w:tc>
        <w:tc>
          <w:tcPr>
            <w:tcW w:type="dxa" w:w="168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TenantId في المسار أو الاستعلام أو الجسم</w:t>
            </w:r>
          </w:p>
        </w:tc>
        <w:tc>
          <w:tcPr>
            <w:tcW w:type="dxa" w:w="159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400 UNKNOWN_PARAMETER للاستعلام؛ وللجسم 400 MALFORMED_REQUEST </w:t>
            </w:r>
            <w:r>
              <w:rPr>
                <w:rFonts w:ascii="Arial" w:cs="Arial" w:eastAsia="Arial" w:hAnsi="Arial"/>
                <w:color w:val="E0A800"/>
                <w:sz w:val="18"/>
                <w:szCs w:val="18"/>
                <w:rtl/>
              </w:rPr>
              <w:t xml:space="preserve">●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(DQ-S13-8)؛ لا يتغير المشترك</w:t>
            </w:r>
          </w:p>
        </w:tc>
        <w:tc>
          <w:tcPr>
            <w:tcW w:type="dxa" w:w="563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BR-PLT-001؛ DOC-B04 §3.1</w:t>
            </w:r>
          </w:p>
        </w:tc>
      </w:tr>
      <w:tr>
        <w:trPr>
          <w:cantSplit/>
        </w:trPr>
        <w:tc>
          <w:tcPr>
            <w:tcW w:type="dxa" w:w="95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X10</w:t>
            </w:r>
          </w:p>
        </w:tc>
        <w:tc>
          <w:tcPr>
            <w:tcW w:type="dxa" w:w="168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وحدة معطّلة للمشترك</w:t>
            </w:r>
          </w:p>
        </w:tc>
        <w:tc>
          <w:tcPr>
            <w:tcW w:type="dxa" w:w="159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403 MODULE_DISABLED، والبيانات باقية</w:t>
            </w:r>
          </w:p>
        </w:tc>
        <w:tc>
          <w:tcPr>
            <w:tcW w:type="dxa" w:w="563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FR-PLT-003 (:105)</w:t>
            </w:r>
          </w:p>
        </w:tc>
      </w:tr>
      <w:tr>
        <w:trPr>
          <w:cantSplit/>
        </w:trPr>
        <w:tc>
          <w:tcPr>
            <w:tcW w:type="dxa" w:w="95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X11</w:t>
            </w:r>
          </w:p>
        </w:tc>
        <w:tc>
          <w:tcPr>
            <w:tcW w:type="dxa" w:w="168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كتابة في مشترك SUSPENDED أو ARCHIVED_READ_ONLY</w:t>
            </w:r>
          </w:p>
        </w:tc>
        <w:tc>
          <w:tcPr>
            <w:tcW w:type="dxa" w:w="159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403 TENANT_READ_ONLY ولا صف يتغير</w:t>
            </w:r>
          </w:p>
        </w:tc>
        <w:tc>
          <w:tcPr>
            <w:tcW w:type="dxa" w:w="563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BR-PLT-002؛ T27، T31</w:t>
            </w:r>
          </w:p>
        </w:tc>
      </w:tr>
    </w:tbl>
    <w:p>
      <w:pPr>
        <w:bidi/>
        <w:spacing w:after="12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قواعد </w:t>
      </w:r>
      <w:r>
        <w:rPr>
          <w:rFonts w:ascii="Arial" w:cs="Arial" w:eastAsia="Arial" w:hAnsi="Arial"/>
          <w:color w:val="E0A800"/>
          <w:sz w:val="21"/>
          <w:szCs w:val="21"/>
          <w:rtl/>
        </w:rPr>
        <w:t xml:space="preserve">●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:</w:t>
      </w:r>
    </w:p>
    <w:p>
      <w:pPr>
        <w:pStyle w:val="ListParagraph"/>
        <w:numPr>
          <w:ilvl w:val="0"/>
          <w:numId w:val="3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التوليد.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تُولَّد قائمة الحالات من وثيقة OpenAPI المولَّدة في البناء (FR-PLT-041، :143). الامتدادات x-permission وx-company-scoped وx-module تحدد أي الحالات تنطبق (DQ-S13-3). عملية بلا حالات تفشل البناء، كما تطلب O-09 (tools/dbgen/erd_open_items.py:65).</w:t>
      </w:r>
    </w:p>
    <w:p>
      <w:pPr>
        <w:pStyle w:val="ListParagraph"/>
        <w:numPr>
          <w:ilvl w:val="0"/>
          <w:numId w:val="3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المعرّف.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SEC-API-{operationId}-X{n}، مثل SEC-API-getUser-X3. يحمل كل اختبار وسم FR وTHR ليقرأه مولّد التتبع (DOC-B08).</w:t>
      </w:r>
    </w:p>
    <w:p>
      <w:pPr>
        <w:pStyle w:val="ListParagraph"/>
        <w:numPr>
          <w:ilvl w:val="0"/>
          <w:numId w:val="3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تطابق الاستجابة.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في X3 وX4 تُقارن الحالة والجسم والترويسات بطلب معرّف عشوائي غير موجود، فلا يكشف الفرق وجود الصف.</w:t>
      </w:r>
    </w:p>
    <w:p>
      <w:pPr>
        <w:pStyle w:val="ListParagraph"/>
        <w:numPr>
          <w:ilvl w:val="0"/>
          <w:numId w:val="3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فحص الجسم.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كل استجابة في هذه الاختبارات تُمسح بحثًا عن PublicId أو اسم أو قيمة مقيّدة من B (DOC-S06 §10).</w:t>
      </w:r>
    </w:p>
    <w:p>
      <w:pPr>
        <w:pStyle w:val="ListParagraph"/>
        <w:numPr>
          <w:ilvl w:val="0"/>
          <w:numId w:val="3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الأثر.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بعد كل حالة كتابة يُقرأ صف B بحساب اختبار مربوط بـ B، ويُتحقق أن RowVersion لم يتغير.</w:t>
      </w:r>
    </w:p>
    <w:p>
      <w:pPr>
        <w:bidi/>
        <w:spacing w:after="60" w:before="0"/>
      </w:pPr>
    </w:p>
    <w:p>
      <w:pPr>
        <w:pStyle w:val="Heading2"/>
        <w:bidi/>
      </w:pPr>
      <w:bookmarkStart w:name="_sec8" w:id="8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5.3 نقاط S0 في هيكل OpenAPI</w:t>
      </w:r>
      <w:bookmarkEnd w:id="8"/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المسارات من هيكل DOC-B04 §12. العمود «خاص» يذكر ما يُضاف إلى الحالات العامة.</w:t>
      </w:r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35"/>
        <w:gridCol w:w="997"/>
        <w:gridCol w:w="2632"/>
      </w:tblGrid>
      <w:tr>
        <w:trPr>
          <w:cantSplit/>
          <w:tblHeader/>
        </w:trPr>
        <w:tc>
          <w:tcPr>
            <w:tcW w:type="dxa" w:w="623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العملية</w:t>
            </w:r>
          </w:p>
        </w:tc>
        <w:tc>
          <w:tcPr>
            <w:tcW w:type="dxa" w:w="99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الحالات</w:t>
            </w:r>
          </w:p>
        </w:tc>
        <w:tc>
          <w:tcPr>
            <w:tcW w:type="dxa" w:w="263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خاص</w:t>
            </w:r>
          </w:p>
        </w:tc>
      </w:tr>
      <w:tr>
        <w:trPr>
          <w:cantSplit/>
        </w:trPr>
        <w:tc>
          <w:tcPr>
            <w:tcW w:type="dxa" w:w="623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POST /auth/login</w:t>
            </w:r>
          </w:p>
        </w:tc>
        <w:tc>
          <w:tcPr>
            <w:tcW w:type="dxa" w:w="99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X8، X9</w:t>
            </w:r>
          </w:p>
        </w:tc>
        <w:tc>
          <w:tcPr>
            <w:tcW w:type="dxa" w:w="263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بريد مستخدم من A على مضيف B يعطي 401 INVALID_CREDENTIALS بالرسالة نفسها والزمن نفسه تقريبًا (SEC-AUTH-02)</w:t>
            </w:r>
          </w:p>
        </w:tc>
      </w:tr>
      <w:tr>
        <w:trPr>
          <w:cantSplit/>
        </w:trPr>
        <w:tc>
          <w:tcPr>
            <w:tcW w:type="dxa" w:w="623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POST /auth/mfa</w:t>
            </w:r>
          </w:p>
        </w:tc>
        <w:tc>
          <w:tcPr>
            <w:tcW w:type="dxa" w:w="99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X1، X8</w:t>
            </w:r>
          </w:p>
        </w:tc>
        <w:tc>
          <w:tcPr>
            <w:tcW w:type="dxa" w:w="263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جلسة تنتظر MFA من A لا تُستكمل على B</w:t>
            </w:r>
          </w:p>
        </w:tc>
      </w:tr>
      <w:tr>
        <w:trPr>
          <w:cantSplit/>
        </w:trPr>
        <w:tc>
          <w:tcPr>
            <w:tcW w:type="dxa" w:w="623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POST /auth/logout</w:t>
            </w:r>
          </w:p>
        </w:tc>
        <w:tc>
          <w:tcPr>
            <w:tcW w:type="dxa" w:w="99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X1</w:t>
            </w:r>
          </w:p>
        </w:tc>
        <w:tc>
          <w:tcPr>
            <w:tcW w:type="dxa" w:w="263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ينهي جلسة الطالب وحده</w:t>
            </w:r>
          </w:p>
        </w:tc>
      </w:tr>
      <w:tr>
        <w:trPr>
          <w:cantSplit/>
        </w:trPr>
        <w:tc>
          <w:tcPr>
            <w:tcW w:type="dxa" w:w="623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GET /auth/session</w:t>
            </w:r>
          </w:p>
        </w:tc>
        <w:tc>
          <w:tcPr>
            <w:tcW w:type="dxa" w:w="99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X1، X8</w:t>
            </w:r>
          </w:p>
        </w:tc>
        <w:tc>
          <w:tcPr>
            <w:tcW w:type="dxa" w:w="263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لا يعيد إلا مستخدم الجلسة ومشتركها</w:t>
            </w:r>
          </w:p>
        </w:tc>
      </w:tr>
      <w:tr>
        <w:trPr>
          <w:cantSplit/>
        </w:trPr>
        <w:tc>
          <w:tcPr>
            <w:tcW w:type="dxa" w:w="623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POST /auth/password-reset-requests</w:t>
            </w:r>
          </w:p>
        </w:tc>
        <w:tc>
          <w:tcPr>
            <w:tcW w:type="dxa" w:w="99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X9</w:t>
            </w:r>
          </w:p>
        </w:tc>
        <w:tc>
          <w:tcPr>
            <w:tcW w:type="dxa" w:w="263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202 دائمًا؛ بريد مستخدم B على مضيف A لا يرسل رسالة</w:t>
            </w:r>
          </w:p>
        </w:tc>
      </w:tr>
      <w:tr>
        <w:trPr>
          <w:cantSplit/>
        </w:trPr>
        <w:tc>
          <w:tcPr>
            <w:tcW w:type="dxa" w:w="623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POST /auth/password-resets</w:t>
            </w:r>
          </w:p>
        </w:tc>
        <w:tc>
          <w:tcPr>
            <w:tcW w:type="dxa" w:w="99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X8، X9</w:t>
            </w:r>
          </w:p>
        </w:tc>
        <w:tc>
          <w:tcPr>
            <w:tcW w:type="dxa" w:w="263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رمز صادر لمستخدم B يُرفض على مضيف A بالرسالة الموحدة V-PLT-06</w:t>
            </w:r>
          </w:p>
        </w:tc>
      </w:tr>
      <w:tr>
        <w:trPr>
          <w:cantSplit/>
        </w:trPr>
        <w:tc>
          <w:tcPr>
            <w:tcW w:type="dxa" w:w="623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POST /auth/invitations/accept</w:t>
            </w:r>
          </w:p>
        </w:tc>
        <w:tc>
          <w:tcPr>
            <w:tcW w:type="dxa" w:w="99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X8، X9</w:t>
            </w:r>
          </w:p>
        </w:tc>
        <w:tc>
          <w:tcPr>
            <w:tcW w:type="dxa" w:w="263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كما السابق</w:t>
            </w:r>
          </w:p>
        </w:tc>
      </w:tr>
      <w:tr>
        <w:trPr>
          <w:cantSplit/>
        </w:trPr>
        <w:tc>
          <w:tcPr>
            <w:tcW w:type="dxa" w:w="623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GET /users</w:t>
            </w:r>
          </w:p>
        </w:tc>
        <w:tc>
          <w:tcPr>
            <w:tcW w:type="dxa" w:w="99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X1، X2، X5، X6، X8، X9</w:t>
            </w:r>
          </w:p>
        </w:tc>
        <w:tc>
          <w:tcPr>
            <w:tcW w:type="dxa" w:w="263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البحث q بجزء بريد من B لا يعيد شيئًا</w:t>
            </w:r>
          </w:p>
        </w:tc>
      </w:tr>
      <w:tr>
        <w:trPr>
          <w:cantSplit/>
        </w:trPr>
        <w:tc>
          <w:tcPr>
            <w:tcW w:type="dxa" w:w="623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POST /users</w:t>
            </w:r>
          </w:p>
        </w:tc>
        <w:tc>
          <w:tcPr>
            <w:tcW w:type="dxa" w:w="99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X1، X2، X5، X7، X8، X9، X11</w:t>
            </w:r>
          </w:p>
        </w:tc>
        <w:tc>
          <w:tcPr>
            <w:tcW w:type="dxa" w:w="263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roleIds من B تعطي 422؛ بريد مستخدم من B لا يكشف وجوده (O-21)</w:t>
            </w:r>
          </w:p>
        </w:tc>
      </w:tr>
      <w:tr>
        <w:trPr>
          <w:cantSplit/>
        </w:trPr>
        <w:tc>
          <w:tcPr>
            <w:tcW w:type="dxa" w:w="623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GET /users/{userId}</w:t>
            </w:r>
          </w:p>
        </w:tc>
        <w:tc>
          <w:tcPr>
            <w:tcW w:type="dxa" w:w="99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X1، X2، X3، X5، X8</w:t>
            </w:r>
          </w:p>
        </w:tc>
        <w:tc>
          <w:tcPr>
            <w:tcW w:type="dxa" w:w="263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623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PATCH /users/{userId}</w:t>
            </w:r>
          </w:p>
        </w:tc>
        <w:tc>
          <w:tcPr>
            <w:tcW w:type="dxa" w:w="99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X1، X2، X3، X5، X8، X11</w:t>
            </w:r>
          </w:p>
        </w:tc>
        <w:tc>
          <w:tcPr>
            <w:tcW w:type="dxa" w:w="263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623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POST /users/{userId}/actions/{action}</w:t>
            </w:r>
          </w:p>
        </w:tc>
        <w:tc>
          <w:tcPr>
            <w:tcW w:type="dxa" w:w="99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X1، X2، X3، X5، X8، X11</w:t>
            </w:r>
          </w:p>
        </w:tc>
        <w:tc>
          <w:tcPr>
            <w:tcW w:type="dxa" w:w="263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لكل قيمة من القيم الست؛ فك قفل مستخدم B مستحيل</w:t>
            </w:r>
          </w:p>
        </w:tc>
      </w:tr>
      <w:tr>
        <w:trPr>
          <w:cantSplit/>
        </w:trPr>
        <w:tc>
          <w:tcPr>
            <w:tcW w:type="dxa" w:w="623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PUT /users/{userId}/roles</w:t>
            </w:r>
          </w:p>
        </w:tc>
        <w:tc>
          <w:tcPr>
            <w:tcW w:type="dxa" w:w="99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X1، X3، X5، X7، X11</w:t>
            </w:r>
          </w:p>
        </w:tc>
        <w:tc>
          <w:tcPr>
            <w:tcW w:type="dxa" w:w="263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دور من B مرجعًا يعطي 422</w:t>
            </w:r>
          </w:p>
        </w:tc>
      </w:tr>
      <w:tr>
        <w:trPr>
          <w:cantSplit/>
        </w:trPr>
        <w:tc>
          <w:tcPr>
            <w:tcW w:type="dxa" w:w="623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DELETE /users/{userId}/sessions</w:t>
            </w:r>
          </w:p>
        </w:tc>
        <w:tc>
          <w:tcPr>
            <w:tcW w:type="dxa" w:w="99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X1، X3، X5</w:t>
            </w:r>
          </w:p>
        </w:tc>
        <w:tc>
          <w:tcPr>
            <w:tcW w:type="dxa" w:w="263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جلسات مستخدم B تبقى، وT37 يثبت السحب لمستخدم A</w:t>
            </w:r>
          </w:p>
        </w:tc>
      </w:tr>
      <w:tr>
        <w:trPr>
          <w:cantSplit/>
        </w:trPr>
        <w:tc>
          <w:tcPr>
            <w:tcW w:type="dxa" w:w="623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GET /roles</w:t>
            </w:r>
          </w:p>
        </w:tc>
        <w:tc>
          <w:tcPr>
            <w:tcW w:type="dxa" w:w="99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X1، X2، X5، X6</w:t>
            </w:r>
          </w:p>
        </w:tc>
        <w:tc>
          <w:tcPr>
            <w:tcW w:type="dxa" w:w="263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623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POST /roles</w:t>
            </w:r>
          </w:p>
        </w:tc>
        <w:tc>
          <w:tcPr>
            <w:tcW w:type="dxa" w:w="99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X1، X5، X11</w:t>
            </w:r>
          </w:p>
        </w:tc>
        <w:tc>
          <w:tcPr>
            <w:tcW w:type="dxa" w:w="263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623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GET /roles/{roleId}</w:t>
            </w:r>
          </w:p>
        </w:tc>
        <w:tc>
          <w:tcPr>
            <w:tcW w:type="dxa" w:w="99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X1، X3، X5</w:t>
            </w:r>
          </w:p>
        </w:tc>
        <w:tc>
          <w:tcPr>
            <w:tcW w:type="dxa" w:w="263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623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PATCH /roles/{roleId}</w:t>
            </w:r>
          </w:p>
        </w:tc>
        <w:tc>
          <w:tcPr>
            <w:tcW w:type="dxa" w:w="99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X1، X3، X5، X11</w:t>
            </w:r>
          </w:p>
        </w:tc>
        <w:tc>
          <w:tcPr>
            <w:tcW w:type="dxa" w:w="263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623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PUT /roles/{roleId}/permissions</w:t>
            </w:r>
          </w:p>
        </w:tc>
        <w:tc>
          <w:tcPr>
            <w:tcW w:type="dxa" w:w="99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X1، X3، X5، X11</w:t>
            </w:r>
          </w:p>
        </w:tc>
        <w:tc>
          <w:tcPr>
            <w:tcW w:type="dxa" w:w="263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صلاحية مقفلة لدور غير TM وFO تعطي 403 PERMISSION_LOCKED (AC-PTY-1)</w:t>
            </w:r>
          </w:p>
        </w:tc>
      </w:tr>
      <w:tr>
        <w:trPr>
          <w:cantSplit/>
        </w:trPr>
        <w:tc>
          <w:tcPr>
            <w:tcW w:type="dxa" w:w="623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GET /permissions</w:t>
            </w:r>
          </w:p>
        </w:tc>
        <w:tc>
          <w:tcPr>
            <w:tcW w:type="dxa" w:w="99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X1</w:t>
            </w:r>
          </w:p>
        </w:tc>
        <w:tc>
          <w:tcPr>
            <w:tcW w:type="dxa" w:w="263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كتالوج عالمي للقراءة فقط</w:t>
            </w:r>
          </w:p>
        </w:tc>
      </w:tr>
      <w:tr>
        <w:trPr>
          <w:cantSplit/>
        </w:trPr>
        <w:tc>
          <w:tcPr>
            <w:tcW w:type="dxa" w:w="623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GET، POST /platform/tenants</w:t>
            </w:r>
          </w:p>
        </w:tc>
        <w:tc>
          <w:tcPr>
            <w:tcW w:type="dxa" w:w="99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X1</w:t>
            </w:r>
          </w:p>
        </w:tc>
        <w:tc>
          <w:tcPr>
            <w:tcW w:type="dxa" w:w="263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كوكي مشترك على مضيف المشغّل يعطي 401؛ الاستجابة عدّادات بلا بيانات أعمال (FR-PLT-005)</w:t>
            </w:r>
          </w:p>
        </w:tc>
      </w:tr>
      <w:tr>
        <w:trPr>
          <w:cantSplit/>
        </w:trPr>
        <w:tc>
          <w:tcPr>
            <w:tcW w:type="dxa" w:w="623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GET /platform/tenants/{tenantId}</w:t>
            </w:r>
          </w:p>
        </w:tc>
        <w:tc>
          <w:tcPr>
            <w:tcW w:type="dxa" w:w="99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X1</w:t>
            </w:r>
          </w:p>
        </w:tc>
        <w:tc>
          <w:tcPr>
            <w:tcW w:type="dxa" w:w="263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OPERATOR_SUPPORT يقرأ ولا ينشئ</w:t>
            </w:r>
          </w:p>
        </w:tc>
      </w:tr>
      <w:tr>
        <w:trPr>
          <w:cantSplit/>
        </w:trPr>
        <w:tc>
          <w:tcPr>
            <w:tcW w:type="dxa" w:w="623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POST /platform/tenants/{tenantId}/actions/{action}</w:t>
            </w:r>
          </w:p>
        </w:tc>
        <w:tc>
          <w:tcPr>
            <w:tcW w:type="dxa" w:w="99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X1، X5</w:t>
            </w:r>
          </w:p>
        </w:tc>
        <w:tc>
          <w:tcPr>
            <w:tcW w:type="dxa" w:w="263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OPERATOR_SUPPORT يُرفض بـ 403</w:t>
            </w:r>
          </w:p>
        </w:tc>
      </w:tr>
    </w:tbl>
    <w:p>
      <w:pPr>
        <w:bidi/>
        <w:spacing w:after="12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موارد S0 خارج الهيكل اليوم، ويجب أن تظهر في OpenAPI المولَّد بحالاتها: المستندات ورفعها وتنزيلها (FR-PLT-027 إلى FR-PLT-030)، وعارض التدقيق وتصديره (FR-PLT-024)، والإعدادات (FR-PLT-043)، والترقيم (FR-PLT-026)، والمهام (FR-PLT-044)، ومنح وصول الدعم (FR-PLT-007). تنزيل مستند من B يعطي 404، وتنزيل مستند مقيّد بلا صلاحية الكشف يعطي 403 (AC-PLT-15).</w:t>
      </w:r>
    </w:p>
    <w:p>
      <w:pPr>
        <w:pStyle w:val="Heading2"/>
        <w:bidi/>
      </w:pPr>
      <w:bookmarkStart w:name="_sec9" w:id="9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5.4 نقاط الشرائح التالية</w:t>
      </w:r>
      <w:bookmarkEnd w:id="9"/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قوائم الموارد من §11 في كل مواصفة. الحالات X1 إلى X11 تنطبق على كل مورد، ويضاف لكل وحدة ما يلي.</w:t>
      </w:r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93"/>
        <w:gridCol w:w="2496"/>
        <w:gridCol w:w="961"/>
        <w:gridCol w:w="1414"/>
      </w:tblGrid>
      <w:tr>
        <w:trPr>
          <w:cantSplit/>
          <w:tblHeader/>
        </w:trPr>
        <w:tc>
          <w:tcPr>
            <w:tcW w:type="dxa" w:w="499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الوحدة والمصدر</w:t>
            </w:r>
          </w:p>
        </w:tc>
        <w:tc>
          <w:tcPr>
            <w:tcW w:type="dxa" w:w="249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الموارد</w:t>
            </w:r>
          </w:p>
        </w:tc>
        <w:tc>
          <w:tcPr>
            <w:tcW w:type="dxa" w:w="96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الشريحة</w:t>
            </w:r>
          </w:p>
        </w:tc>
        <w:tc>
          <w:tcPr>
            <w:tcW w:type="dxa" w:w="141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حالات خاصة</w:t>
            </w:r>
          </w:p>
        </w:tc>
      </w:tr>
      <w:tr>
        <w:trPr>
          <w:cantSplit/>
        </w:trPr>
        <w:tc>
          <w:tcPr>
            <w:tcW w:type="dxa" w:w="499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M1 (docs/10-detailed-analysis/10-m0-m1-platform-organization.md:568)</w:t>
            </w:r>
          </w:p>
        </w:tc>
        <w:tc>
          <w:tcPr>
            <w:tcW w:type="dxa" w:w="249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companies، parties مع identity-documents، authority-grants، authority-query، documents، kyc-profiles، audit-events</w:t>
            </w:r>
          </w:p>
        </w:tc>
        <w:tc>
          <w:tcPr>
            <w:tcW w:type="dxa" w:w="96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S1 وS1-ب وS2</w:t>
            </w:r>
          </w:p>
        </w:tc>
        <w:tc>
          <w:tcPr>
            <w:tcW w:type="dxa" w:w="141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قواعد رؤية Party (FR-PTY-019)؛ الكشف والصور 403 لغير TM وFO (AC-PTY-1)؛ لا رقم كامل في أي استجابة غير نقطة الكشف</w:t>
            </w:r>
          </w:p>
        </w:tc>
      </w:tr>
      <w:tr>
        <w:trPr>
          <w:cantSplit/>
        </w:trPr>
        <w:tc>
          <w:tcPr>
            <w:tcW w:type="dxa" w:w="499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M2-M4 (docs/10-detailed-analysis/11-m2-m4-institutions-accounts-catalogs.md:567)</w:t>
            </w:r>
          </w:p>
        </w:tc>
        <w:tc>
          <w:tcPr>
            <w:tcW w:type="dxa" w:w="249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/institutions، /relationships، /bank-setup، /accounts، /signatories/{id}/authorities، /services/*، /base-rates/{id}/values، /catalogs/{kind}</w:t>
            </w:r>
          </w:p>
        </w:tc>
        <w:tc>
          <w:tcPr>
            <w:tcW w:type="dxa" w:w="96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S1 وS1-ب</w:t>
            </w:r>
          </w:p>
        </w:tc>
        <w:tc>
          <w:tcPr>
            <w:tcW w:type="dxa" w:w="141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أرقام الحسابات وIBAN مقنّعة؛ الصفوف العامة في الكتالوج المختلط للقراءة فقط (نظير T9 إلى T12)؛ كل خدمة /services/* معرَّضة تُختبر كغيرها</w:t>
            </w:r>
          </w:p>
        </w:tc>
      </w:tr>
      <w:tr>
        <w:trPr>
          <w:cantSplit/>
        </w:trPr>
        <w:tc>
          <w:tcPr>
            <w:tcW w:type="dxa" w:w="499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M5 (docs/10-detailed-analysis/12-m5-facilities-pricing-collateral-obligations.md:581)</w:t>
            </w:r>
          </w:p>
        </w:tc>
        <w:tc>
          <w:tcPr>
            <w:tcW w:type="dxa" w:w="249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/facilities، /limits، /utilizations، /reservations، /availability، /pricing/resolve، /collaterals، /obligations، /financial-statements، /terms/compare وغيرها</w:t>
            </w:r>
          </w:p>
        </w:tc>
        <w:tc>
          <w:tcPr>
            <w:tcW w:type="dxa" w:w="96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S2 وS2-ب</w:t>
            </w:r>
          </w:p>
        </w:tc>
        <w:tc>
          <w:tcPr>
            <w:tcW w:type="dxa" w:w="141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المعرّفات في الاستعلام لـ /availability و/pricing/resolve و/terms/compare تأخذ X3 وX4 لكل معرّف؛ حزمة الكفيل مقنّعة بلا صلاحية</w:t>
            </w:r>
          </w:p>
        </w:tc>
      </w:tr>
      <w:tr>
        <w:trPr>
          <w:cantSplit/>
        </w:trPr>
        <w:tc>
          <w:tcPr>
            <w:tcW w:type="dxa" w:w="499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M6 (docs/10-detailed-analysis/13-m6-workflow-engine-notifications.md:675)</w:t>
            </w:r>
          </w:p>
        </w:tc>
        <w:tc>
          <w:tcPr>
            <w:tcW w:type="dxa" w:w="249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/request-types، /templates، /requests وإجراءاته، /claim، /inbox، /search، /notifications</w:t>
            </w:r>
          </w:p>
        </w:tc>
        <w:tc>
          <w:tcPr>
            <w:tcW w:type="dxa" w:w="96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S3</w:t>
            </w:r>
          </w:p>
        </w:tc>
        <w:tc>
          <w:tcPr>
            <w:tcW w:type="dxa" w:w="141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فصل المهام 403 SOD_VIOLATION؛ /claim على طلب من B يعطي 404؛ إشعار مستخدم آخر 404 (AC-NTF-2)</w:t>
            </w:r>
          </w:p>
        </w:tc>
      </w:tr>
      <w:tr>
        <w:trPr>
          <w:cantSplit/>
        </w:trPr>
        <w:tc>
          <w:tcPr>
            <w:tcW w:type="dxa" w:w="499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M7-M8 (docs/10-detailed-analysis/14-m7-m8-letters-of-credit.md:654)</w:t>
            </w:r>
          </w:p>
        </w:tc>
        <w:tc>
          <w:tcPr>
            <w:tcW w:type="dxa" w:w="249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/lc-terms، /lcs وتعديلاته، /drawings، /export-lcs/{id}/orders، /proformas، /counterparties</w:t>
            </w:r>
          </w:p>
        </w:tc>
        <w:tc>
          <w:tcPr>
            <w:tcW w:type="dxa" w:w="96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S3 وS4</w:t>
            </w:r>
          </w:p>
        </w:tc>
        <w:tc>
          <w:tcPr>
            <w:tcW w:type="dxa" w:w="141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مسح استجابات الطالب والمبيعات بحثًا عن أعمدة الخزينة (BR-LCI-014، BR-LCE-015، :666)؛ IBAN المستفيد مقنّع</w:t>
            </w:r>
          </w:p>
        </w:tc>
      </w:tr>
    </w:tbl>
    <w:p>
      <w:pPr>
        <w:bidi/>
        <w:spacing w:after="120" w:before="0"/>
      </w:pPr>
    </w:p>
    <w:p>
      <w:pPr>
        <w:pStyle w:val="Heading1"/>
        <w:bidi/>
      </w:pPr>
      <w:bookmarkStart w:name="_sec10" w:id="10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6. ربط OWASP ASVS المستوى 2 بالضوابط والاختبارات</w:t>
      </w:r>
      <w:bookmarkEnd w:id="10"/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الهدف المستوى 2 </w:t>
      </w:r>
      <w:r>
        <w:rPr>
          <w:rFonts w:ascii="Arial" w:cs="Arial" w:eastAsia="Arial" w:hAnsi="Arial"/>
          <w:color w:val="2E9E44"/>
          <w:sz w:val="21"/>
          <w:szCs w:val="21"/>
          <w:rtl/>
        </w:rPr>
        <w:t xml:space="preserve">●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(X-SEC-5، docs/10-detailed-analysis/00-overview-and-cross-cutting.md:140). أسماء الفصول وأرقامها أدناه من الإصدار 5.0 </w:t>
      </w:r>
      <w:r>
        <w:rPr>
          <w:rFonts w:ascii="Arial" w:cs="Arial" w:eastAsia="Arial" w:hAnsi="Arial"/>
          <w:color w:val="E0A800"/>
          <w:sz w:val="21"/>
          <w:szCs w:val="21"/>
          <w:rtl/>
        </w:rPr>
        <w:t xml:space="preserve">●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، وتُطابق على نص الإصدار المعتمد قبل الاستعمال (DQ-S13-1). يُحفظ لكل متطلب من المستوى 2 سطر في قائمة فحص: ينطبق أو لا، والدليل، والنتيجة (DQ-S13-2).</w:t>
      </w:r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4"/>
        <w:gridCol w:w="3979"/>
        <w:gridCol w:w="3977"/>
        <w:gridCol w:w="954"/>
      </w:tblGrid>
      <w:tr>
        <w:trPr>
          <w:cantSplit/>
          <w:tblHeader/>
        </w:trPr>
        <w:tc>
          <w:tcPr>
            <w:tcW w:type="dxa" w:w="95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الفصل</w:t>
            </w:r>
          </w:p>
        </w:tc>
        <w:tc>
          <w:tcPr>
            <w:tcW w:type="dxa" w:w="397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الضوابط في BankFas</w:t>
            </w:r>
          </w:p>
        </w:tc>
        <w:tc>
          <w:tcPr>
            <w:tcW w:type="dxa" w:w="397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الاختبارات</w:t>
            </w:r>
          </w:p>
        </w:tc>
        <w:tc>
          <w:tcPr>
            <w:tcW w:type="dxa" w:w="95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الحالة</w:t>
            </w:r>
          </w:p>
        </w:tc>
      </w:tr>
      <w:tr>
        <w:trPr>
          <w:cantSplit/>
        </w:trPr>
        <w:tc>
          <w:tcPr>
            <w:tcW w:type="dxa" w:w="95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V1 Encoding and Sanitization</w:t>
            </w:r>
          </w:p>
        </w:tc>
        <w:tc>
          <w:tcPr>
            <w:tcW w:type="dxa" w:w="397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استعلامات بمعاملات فقط؛ لا SQL ديناميكي في وحدات EXECUTE AS (THR-34)؛ نصوص البنود بلا HTML (docs/10-detailed-analysis/14-m7-m8-letters-of-credit.md:668)</w:t>
            </w:r>
          </w:p>
        </w:tc>
        <w:tc>
          <w:tcPr>
            <w:tcW w:type="dxa" w:w="397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مراجعة كود؛ حمولات حقن في L7؛ AC-NTF-1</w:t>
            </w:r>
          </w:p>
        </w:tc>
        <w:tc>
          <w:tcPr>
            <w:tcW w:type="dxa" w:w="95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color w:val="E0A800"/>
                <w:sz w:val="18"/>
                <w:szCs w:val="18"/>
                <w:rtl/>
              </w:rPr>
              <w:t xml:space="preserve">●</w:t>
            </w:r>
          </w:p>
        </w:tc>
      </w:tr>
      <w:tr>
        <w:trPr>
          <w:cantSplit/>
        </w:trPr>
        <w:tc>
          <w:tcPr>
            <w:tcW w:type="dxa" w:w="95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V2 Validation and Business Logic</w:t>
            </w:r>
          </w:p>
        </w:tc>
        <w:tc>
          <w:tcPr>
            <w:tcW w:type="dxa" w:w="397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رموز V-XXX-nn في الخادم (DOC-B04 §9.2)؛ If-Match وIdempotency-Key؛ فصل المهام؛ قفل الحد</w:t>
            </w:r>
          </w:p>
        </w:tc>
        <w:tc>
          <w:tcPr>
            <w:tcW w:type="dxa" w:w="397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حالات 422 لكل رمز؛ NFR-PERF-03 وNFR-PERF-07؛ FSR-T1 إلى FSR-T6 </w:t>
            </w:r>
            <w:r>
              <w:rPr>
                <w:rFonts w:ascii="Arial" w:cs="Arial" w:eastAsia="Arial" w:hAnsi="Arial"/>
                <w:color w:val="2E9E44"/>
                <w:sz w:val="18"/>
                <w:szCs w:val="18"/>
                <w:rtl/>
              </w:rPr>
              <w:t xml:space="preserve">●</w:t>
            </w:r>
          </w:p>
        </w:tc>
        <w:tc>
          <w:tcPr>
            <w:tcW w:type="dxa" w:w="95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color w:val="2E9E44"/>
                <w:sz w:val="18"/>
                <w:szCs w:val="18"/>
                <w:rtl/>
              </w:rPr>
              <w:t xml:space="preserve">●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للقاعدة، </w:t>
            </w:r>
            <w:r>
              <w:rPr>
                <w:rFonts w:ascii="Arial" w:cs="Arial" w:eastAsia="Arial" w:hAnsi="Arial"/>
                <w:color w:val="E0A800"/>
                <w:sz w:val="18"/>
                <w:szCs w:val="18"/>
                <w:rtl/>
              </w:rPr>
              <w:t xml:space="preserve">●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للتطبيق</w:t>
            </w:r>
          </w:p>
        </w:tc>
      </w:tr>
      <w:tr>
        <w:trPr>
          <w:cantSplit/>
        </w:trPr>
        <w:tc>
          <w:tcPr>
            <w:tcW w:type="dxa" w:w="95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V3 Web Frontend Security</w:t>
            </w:r>
          </w:p>
        </w:tc>
        <w:tc>
          <w:tcPr>
            <w:tcW w:type="dxa" w:w="397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الكوكي وCSP والترويسات وCSRF وفحص Origin (DOC-S03 §4 إلى §6)</w:t>
            </w:r>
          </w:p>
        </w:tc>
        <w:tc>
          <w:tcPr>
            <w:tcW w:type="dxa" w:w="397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§7: SEC-SES وSEC-CSRF وSEC-HDR</w:t>
            </w:r>
          </w:p>
        </w:tc>
        <w:tc>
          <w:tcPr>
            <w:tcW w:type="dxa" w:w="95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color w:val="E0A800"/>
                <w:sz w:val="18"/>
                <w:szCs w:val="18"/>
                <w:rtl/>
              </w:rPr>
              <w:t xml:space="preserve">●</w:t>
            </w:r>
          </w:p>
        </w:tc>
      </w:tr>
      <w:tr>
        <w:trPr>
          <w:cantSplit/>
        </w:trPr>
        <w:tc>
          <w:tcPr>
            <w:tcW w:type="dxa" w:w="95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V4 API and Web Service</w:t>
            </w:r>
          </w:p>
        </w:tc>
        <w:tc>
          <w:tcPr>
            <w:tcW w:type="dxa" w:w="397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عقد OpenAPI؛ معامل مجهول 400؛ لا CORS؛ problem+json (DOC-B04)</w:t>
            </w:r>
          </w:p>
        </w:tc>
        <w:tc>
          <w:tcPr>
            <w:tcW w:type="dxa" w:w="397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AC-PLT-18؛ X9؛ SEC-CSRF-04</w:t>
            </w:r>
          </w:p>
        </w:tc>
        <w:tc>
          <w:tcPr>
            <w:tcW w:type="dxa" w:w="95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color w:val="E0A800"/>
                <w:sz w:val="18"/>
                <w:szCs w:val="18"/>
                <w:rtl/>
              </w:rPr>
              <w:t xml:space="preserve">●</w:t>
            </w:r>
          </w:p>
        </w:tc>
      </w:tr>
      <w:tr>
        <w:trPr>
          <w:cantSplit/>
        </w:trPr>
        <w:tc>
          <w:tcPr>
            <w:tcW w:type="dxa" w:w="95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V5 File Handling</w:t>
            </w:r>
          </w:p>
        </w:tc>
        <w:tc>
          <w:tcPr>
            <w:tcW w:type="dxa" w:w="397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فحص المحتوى، 25 ميغابايت، فحص البرمجيات قبل الإتاحة، الحجر، التنزيل من نقطة مصرَّحة (FR-PLT-029، FR-PLT-030)</w:t>
            </w:r>
          </w:p>
        </w:tc>
        <w:tc>
          <w:tcPr>
            <w:tcW w:type="dxa" w:w="397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AC-PLT-15؛ NFR-SEC-15؛ X3 على التنزيل</w:t>
            </w:r>
          </w:p>
        </w:tc>
        <w:tc>
          <w:tcPr>
            <w:tcW w:type="dxa" w:w="95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color w:val="E0A800"/>
                <w:sz w:val="18"/>
                <w:szCs w:val="18"/>
                <w:rtl/>
              </w:rPr>
              <w:t xml:space="preserve">●</w:t>
            </w:r>
          </w:p>
        </w:tc>
      </w:tr>
      <w:tr>
        <w:trPr>
          <w:cantSplit/>
        </w:trPr>
        <w:tc>
          <w:tcPr>
            <w:tcW w:type="dxa" w:w="95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V6 Authentication</w:t>
            </w:r>
          </w:p>
        </w:tc>
        <w:tc>
          <w:tcPr>
            <w:tcW w:type="dxa" w:w="397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Argon2id في القاعدة، والقفل، والخطأ الواحد، وMFA وTOTP ورموز الاسترداد (DOC-S04)</w:t>
            </w:r>
          </w:p>
        </w:tc>
        <w:tc>
          <w:tcPr>
            <w:tcW w:type="dxa" w:w="397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T33 إلى T36 </w:t>
            </w:r>
            <w:r>
              <w:rPr>
                <w:rFonts w:ascii="Arial" w:cs="Arial" w:eastAsia="Arial" w:hAnsi="Arial"/>
                <w:color w:val="2E9E44"/>
                <w:sz w:val="18"/>
                <w:szCs w:val="18"/>
                <w:rtl/>
              </w:rPr>
              <w:t xml:space="preserve">●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؛ T-S04-1 إلى T-S04-16 وSEC-AUTH في §8</w:t>
            </w:r>
          </w:p>
        </w:tc>
        <w:tc>
          <w:tcPr>
            <w:tcW w:type="dxa" w:w="95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color w:val="2E9E44"/>
                <w:sz w:val="18"/>
                <w:szCs w:val="18"/>
                <w:rtl/>
              </w:rPr>
              <w:t xml:space="preserve">●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جزئيًا</w:t>
            </w:r>
          </w:p>
        </w:tc>
      </w:tr>
      <w:tr>
        <w:trPr>
          <w:cantSplit/>
        </w:trPr>
        <w:tc>
          <w:tcPr>
            <w:tcW w:type="dxa" w:w="95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V7 Session Management</w:t>
            </w:r>
          </w:p>
        </w:tc>
        <w:tc>
          <w:tcPr>
            <w:tcW w:type="dxa" w:w="397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رمز معتم مجزّأ، والمهلتان، والسحب الفوري، والخروج (DOC-S03 §3)</w:t>
            </w:r>
          </w:p>
        </w:tc>
        <w:tc>
          <w:tcPr>
            <w:tcW w:type="dxa" w:w="397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T25، T26، T30، T32، T35، T37 </w:t>
            </w:r>
            <w:r>
              <w:rPr>
                <w:rFonts w:ascii="Arial" w:cs="Arial" w:eastAsia="Arial" w:hAnsi="Arial"/>
                <w:color w:val="2E9E44"/>
                <w:sz w:val="18"/>
                <w:szCs w:val="18"/>
                <w:rtl/>
              </w:rPr>
              <w:t xml:space="preserve">●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؛ SEC-SES في §7</w:t>
            </w:r>
          </w:p>
        </w:tc>
        <w:tc>
          <w:tcPr>
            <w:tcW w:type="dxa" w:w="95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color w:val="2E9E44"/>
                <w:sz w:val="18"/>
                <w:szCs w:val="18"/>
                <w:rtl/>
              </w:rPr>
              <w:t xml:space="preserve">●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جزئيًا</w:t>
            </w:r>
          </w:p>
        </w:tc>
      </w:tr>
      <w:tr>
        <w:trPr>
          <w:cantSplit/>
        </w:trPr>
        <w:tc>
          <w:tcPr>
            <w:tcW w:type="dxa" w:w="95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V8 Authorization</w:t>
            </w:r>
          </w:p>
        </w:tc>
        <w:tc>
          <w:tcPr>
            <w:tcW w:type="dxa" w:w="397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RLS والربط، والصلاحية، ونطاق الشركة، والصلاحيات المقفلة، وترتيب التقييم</w:t>
            </w:r>
          </w:p>
        </w:tc>
        <w:tc>
          <w:tcPr>
            <w:tcW w:type="dxa" w:w="397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T1 إلى T24 وT28 </w:t>
            </w:r>
            <w:r>
              <w:rPr>
                <w:rFonts w:ascii="Arial" w:cs="Arial" w:eastAsia="Arial" w:hAnsi="Arial"/>
                <w:color w:val="2E9E44"/>
                <w:sz w:val="18"/>
                <w:szCs w:val="18"/>
                <w:rtl/>
              </w:rPr>
              <w:t xml:space="preserve">●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؛ X3 إلى X6؛ AC-PTY-1؛ AC-PLT-13</w:t>
            </w:r>
          </w:p>
        </w:tc>
        <w:tc>
          <w:tcPr>
            <w:tcW w:type="dxa" w:w="95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color w:val="2E9E44"/>
                <w:sz w:val="18"/>
                <w:szCs w:val="18"/>
                <w:rtl/>
              </w:rPr>
              <w:t xml:space="preserve">●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للقاعدة</w:t>
            </w:r>
          </w:p>
        </w:tc>
      </w:tr>
      <w:tr>
        <w:trPr>
          <w:cantSplit/>
        </w:trPr>
        <w:tc>
          <w:tcPr>
            <w:tcW w:type="dxa" w:w="95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V9 Self-contained Tokens</w:t>
            </w:r>
          </w:p>
        </w:tc>
        <w:tc>
          <w:tcPr>
            <w:tcW w:type="dxa" w:w="397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لا ينطبق الآن: الرمز مرجعي لا JWT (DOC-S03 §3)</w:t>
            </w:r>
          </w:p>
        </w:tc>
        <w:tc>
          <w:tcPr>
            <w:tcW w:type="dxa" w:w="397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يُراجع مع رموز الخدمة والخطافات (docs/10-detailed-analysis/10-m0-m1-platform-organization.md:574-575)</w:t>
            </w:r>
          </w:p>
        </w:tc>
        <w:tc>
          <w:tcPr>
            <w:tcW w:type="dxa" w:w="95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لا ينطبق</w:t>
            </w:r>
          </w:p>
        </w:tc>
      </w:tr>
      <w:tr>
        <w:trPr>
          <w:cantSplit/>
        </w:trPr>
        <w:tc>
          <w:tcPr>
            <w:tcW w:type="dxa" w:w="95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V10 OAuth and OIDC</w:t>
            </w:r>
          </w:p>
        </w:tc>
        <w:tc>
          <w:tcPr>
            <w:tcW w:type="dxa" w:w="397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لا ينطبق حتى FR-PLT-015 في S5</w:t>
            </w:r>
          </w:p>
        </w:tc>
        <w:tc>
          <w:tcPr>
            <w:tcW w:type="dxa" w:w="397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يُضاف مع ربط OIDC</w:t>
            </w:r>
          </w:p>
        </w:tc>
        <w:tc>
          <w:tcPr>
            <w:tcW w:type="dxa" w:w="95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لا ينطبق</w:t>
            </w:r>
          </w:p>
        </w:tc>
      </w:tr>
      <w:tr>
        <w:trPr>
          <w:cantSplit/>
        </w:trPr>
        <w:tc>
          <w:tcPr>
            <w:tcW w:type="dxa" w:w="95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V11 Cryptography</w:t>
            </w:r>
          </w:p>
        </w:tc>
        <w:tc>
          <w:tcPr>
            <w:tcW w:type="dxa" w:w="397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تشفير الأعمدة بمفتاح المشترك، والفهرس الأعمى، ولف المفاتيح، والتدوير (DOC-S02)</w:t>
            </w:r>
          </w:p>
        </w:tc>
        <w:tc>
          <w:tcPr>
            <w:tcW w:type="dxa" w:w="397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R7 وR8 في check_grants.py </w:t>
            </w:r>
            <w:r>
              <w:rPr>
                <w:rFonts w:ascii="Arial" w:cs="Arial" w:eastAsia="Arial" w:hAnsi="Arial"/>
                <w:color w:val="2E9E44"/>
                <w:sz w:val="18"/>
                <w:szCs w:val="18"/>
                <w:rtl/>
              </w:rPr>
              <w:t xml:space="preserve">●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؛ AC-PLT-17؛ NFR-REC-04</w:t>
            </w:r>
          </w:p>
        </w:tc>
        <w:tc>
          <w:tcPr>
            <w:tcW w:type="dxa" w:w="95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color w:val="2E9E44"/>
                <w:sz w:val="18"/>
                <w:szCs w:val="18"/>
                <w:rtl/>
              </w:rPr>
              <w:t xml:space="preserve">●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جزئيًا</w:t>
            </w:r>
          </w:p>
        </w:tc>
      </w:tr>
      <w:tr>
        <w:trPr>
          <w:cantSplit/>
        </w:trPr>
        <w:tc>
          <w:tcPr>
            <w:tcW w:type="dxa" w:w="95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V12 Secure Communication</w:t>
            </w:r>
          </w:p>
        </w:tc>
        <w:tc>
          <w:tcPr>
            <w:tcW w:type="dxa" w:w="397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TLS 1.2 حدًا أدنى وHSTS (DOC-S05)؛ اتصال القاعدة بشهادة موثوقة خارج CI (DOC-B11 §9)</w:t>
            </w:r>
          </w:p>
        </w:tc>
        <w:tc>
          <w:tcPr>
            <w:tcW w:type="dxa" w:w="397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NFR-SEC-09؛ SEC-HDR-04</w:t>
            </w:r>
          </w:p>
        </w:tc>
        <w:tc>
          <w:tcPr>
            <w:tcW w:type="dxa" w:w="95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color w:val="E0A800"/>
                <w:sz w:val="18"/>
                <w:szCs w:val="18"/>
                <w:rtl/>
              </w:rPr>
              <w:t xml:space="preserve">●</w:t>
            </w:r>
          </w:p>
        </w:tc>
      </w:tr>
      <w:tr>
        <w:trPr>
          <w:cantSplit/>
        </w:trPr>
        <w:tc>
          <w:tcPr>
            <w:tcW w:type="dxa" w:w="95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V13 Configuration</w:t>
            </w:r>
          </w:p>
        </w:tc>
        <w:tc>
          <w:tcPr>
            <w:tcW w:type="dxa" w:w="397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أقل صلاحية للأدوار، ولا أسرار في المستودع، ودخول مستقل لكل بيئة، وبوابة الإصدارات</w:t>
            </w:r>
          </w:p>
        </w:tc>
        <w:tc>
          <w:tcPr>
            <w:tcW w:type="dxa" w:w="397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R1 إلى R10 </w:t>
            </w:r>
            <w:r>
              <w:rPr>
                <w:rFonts w:ascii="Arial" w:cs="Arial" w:eastAsia="Arial" w:hAnsi="Arial"/>
                <w:color w:val="2E9E44"/>
                <w:sz w:val="18"/>
                <w:szCs w:val="18"/>
                <w:rtl/>
              </w:rPr>
              <w:t xml:space="preserve">●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؛ فحص الأسرار وAC-PLT-4 </w:t>
            </w:r>
            <w:r>
              <w:rPr>
                <w:rFonts w:ascii="Arial" w:cs="Arial" w:eastAsia="Arial" w:hAnsi="Arial"/>
                <w:color w:val="E0A800"/>
                <w:sz w:val="18"/>
                <w:szCs w:val="18"/>
                <w:rtl/>
              </w:rPr>
              <w:t xml:space="preserve">●</w:t>
            </w:r>
          </w:p>
        </w:tc>
        <w:tc>
          <w:tcPr>
            <w:tcW w:type="dxa" w:w="95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color w:val="2E9E44"/>
                <w:sz w:val="18"/>
                <w:szCs w:val="18"/>
                <w:rtl/>
              </w:rPr>
              <w:t xml:space="preserve">●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جزئيًا</w:t>
            </w:r>
          </w:p>
        </w:tc>
      </w:tr>
      <w:tr>
        <w:trPr>
          <w:cantSplit/>
        </w:trPr>
        <w:tc>
          <w:tcPr>
            <w:tcW w:type="dxa" w:w="95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V14 Data Protection</w:t>
            </w:r>
          </w:p>
        </w:tc>
        <w:tc>
          <w:tcPr>
            <w:tcW w:type="dxa" w:w="397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التصنيف والتقنيع، ولا قيمة مقيّدة في السجلات والإشعارات وOutbox، وno-store</w:t>
            </w:r>
          </w:p>
        </w:tc>
        <w:tc>
          <w:tcPr>
            <w:tcW w:type="dxa" w:w="397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T21، T23 </w:t>
            </w:r>
            <w:r>
              <w:rPr>
                <w:rFonts w:ascii="Arial" w:cs="Arial" w:eastAsia="Arial" w:hAnsi="Arial"/>
                <w:color w:val="2E9E44"/>
                <w:sz w:val="18"/>
                <w:szCs w:val="18"/>
                <w:rtl/>
              </w:rPr>
              <w:t xml:space="preserve">●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؛ مسح الاستجابات والسجلات (DOC-S06 §10)؛ NFR-SEC-14؛ SEC-HDR-03</w:t>
            </w:r>
          </w:p>
        </w:tc>
        <w:tc>
          <w:tcPr>
            <w:tcW w:type="dxa" w:w="95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color w:val="2E9E44"/>
                <w:sz w:val="18"/>
                <w:szCs w:val="18"/>
                <w:rtl/>
              </w:rPr>
              <w:t xml:space="preserve">●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جزئيًا</w:t>
            </w:r>
          </w:p>
        </w:tc>
      </w:tr>
      <w:tr>
        <w:trPr>
          <w:cantSplit/>
        </w:trPr>
        <w:tc>
          <w:tcPr>
            <w:tcW w:type="dxa" w:w="95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V15 Secure Coding and Architecture</w:t>
            </w:r>
          </w:p>
        </w:tc>
        <w:tc>
          <w:tcPr>
            <w:tcW w:type="dxa" w:w="397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حدود الثقة (DOC-F01)، ونموذج التهديدات (DOC-S01)، وجرد الحزم</w:t>
            </w:r>
          </w:p>
        </w:tc>
        <w:tc>
          <w:tcPr>
            <w:tcW w:type="dxa" w:w="397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L5؛ مراجعة THR قبل كل شريحة</w:t>
            </w:r>
          </w:p>
        </w:tc>
        <w:tc>
          <w:tcPr>
            <w:tcW w:type="dxa" w:w="95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color w:val="E0A800"/>
                <w:sz w:val="18"/>
                <w:szCs w:val="18"/>
                <w:rtl/>
              </w:rPr>
              <w:t xml:space="preserve">●</w:t>
            </w:r>
          </w:p>
        </w:tc>
      </w:tr>
      <w:tr>
        <w:trPr>
          <w:cantSplit/>
        </w:trPr>
        <w:tc>
          <w:tcPr>
            <w:tcW w:type="dxa" w:w="95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V16 Security Logging and Error Handling</w:t>
            </w:r>
          </w:p>
        </w:tc>
        <w:tc>
          <w:tcPr>
            <w:tcW w:type="dxa" w:w="397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تدقيق للإدراج فقط، وأحداث الشدة العالية، وخطأ بلا نص SQL، ومعرّف ارتباط</w:t>
            </w:r>
          </w:p>
        </w:tc>
        <w:tc>
          <w:tcPr>
            <w:tcW w:type="dxa" w:w="397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T13 إلى T15 وT38 </w:t>
            </w:r>
            <w:r>
              <w:rPr>
                <w:rFonts w:ascii="Arial" w:cs="Arial" w:eastAsia="Arial" w:hAnsi="Arial"/>
                <w:color w:val="2E9E44"/>
                <w:sz w:val="18"/>
                <w:szCs w:val="18"/>
                <w:rtl/>
              </w:rPr>
              <w:t xml:space="preserve">●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؛ AC-PLT-14؛ SEC-ERR-01</w:t>
            </w:r>
          </w:p>
        </w:tc>
        <w:tc>
          <w:tcPr>
            <w:tcW w:type="dxa" w:w="95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color w:val="2E9E44"/>
                <w:sz w:val="18"/>
                <w:szCs w:val="18"/>
                <w:rtl/>
              </w:rPr>
              <w:t xml:space="preserve">●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جزئيًا</w:t>
            </w:r>
          </w:p>
        </w:tc>
      </w:tr>
      <w:tr>
        <w:trPr>
          <w:cantSplit/>
        </w:trPr>
        <w:tc>
          <w:tcPr>
            <w:tcW w:type="dxa" w:w="95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V17 WebRTC</w:t>
            </w:r>
          </w:p>
        </w:tc>
        <w:tc>
          <w:tcPr>
            <w:tcW w:type="dxa" w:w="397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لا ينطبق</w:t>
            </w:r>
          </w:p>
        </w:tc>
        <w:tc>
          <w:tcPr>
            <w:tcW w:type="dxa" w:w="397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  <w:tc>
          <w:tcPr>
            <w:tcW w:type="dxa" w:w="95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لا ينطبق</w:t>
            </w:r>
          </w:p>
        </w:tc>
      </w:tr>
    </w:tbl>
    <w:p>
      <w:pPr>
        <w:bidi/>
        <w:spacing w:after="120" w:before="0"/>
      </w:pPr>
    </w:p>
    <w:p>
      <w:pPr>
        <w:pStyle w:val="Heading1"/>
        <w:bidi/>
      </w:pPr>
      <w:bookmarkStart w:name="_sec11" w:id="11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7. اختبارات الجلسة وCSRF والترويسات</w:t>
      </w:r>
      <w:bookmarkEnd w:id="11"/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القيم من DOC-S03، وكلها </w:t>
      </w:r>
      <w:r>
        <w:rPr>
          <w:rFonts w:ascii="Arial" w:cs="Arial" w:eastAsia="Arial" w:hAnsi="Arial"/>
          <w:color w:val="E0A800"/>
          <w:sz w:val="21"/>
          <w:szCs w:val="21"/>
          <w:rtl/>
        </w:rPr>
        <w:t xml:space="preserve">●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حتى يُبنى التطبيق. «متصفح» تعني Playwright على بيئة الاختبار، و«API» اختبار تكامل.</w:t>
      </w:r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7"/>
        <w:gridCol w:w="2055"/>
        <w:gridCol w:w="3699"/>
        <w:gridCol w:w="1096"/>
        <w:gridCol w:w="1507"/>
      </w:tblGrid>
      <w:tr>
        <w:trPr>
          <w:cantSplit/>
          <w:tblHeader/>
        </w:trPr>
        <w:tc>
          <w:tcPr>
            <w:tcW w:type="dxa" w:w="150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المعرّف</w:t>
            </w:r>
          </w:p>
        </w:tc>
        <w:tc>
          <w:tcPr>
            <w:tcW w:type="dxa" w:w="205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ما يُختبر</w:t>
            </w:r>
          </w:p>
        </w:tc>
        <w:tc>
          <w:tcPr>
            <w:tcW w:type="dxa" w:w="369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المتوقع</w:t>
            </w:r>
          </w:p>
        </w:tc>
        <w:tc>
          <w:tcPr>
            <w:tcW w:type="dxa" w:w="109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المستوى</w:t>
            </w:r>
          </w:p>
        </w:tc>
        <w:tc>
          <w:tcPr>
            <w:tcW w:type="dxa" w:w="150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المرجع</w:t>
            </w:r>
          </w:p>
        </w:tc>
      </w:tr>
      <w:tr>
        <w:trPr>
          <w:cantSplit/>
        </w:trPr>
        <w:tc>
          <w:tcPr>
            <w:tcW w:type="dxa" w:w="150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SEC-SES-01</w:t>
            </w:r>
          </w:p>
        </w:tc>
        <w:tc>
          <w:tcPr>
            <w:tcW w:type="dxa" w:w="205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خصائص كوكي الجلسة</w:t>
            </w:r>
          </w:p>
        </w:tc>
        <w:tc>
          <w:tcPr>
            <w:tcW w:type="dxa" w:w="369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الاسم __Host-bf_session، Secure، HttpOnly، SameSite=Lax، Path=/، بلا Domain ولا Expires</w:t>
            </w:r>
          </w:p>
        </w:tc>
        <w:tc>
          <w:tcPr>
            <w:tcW w:type="dxa" w:w="109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API</w:t>
            </w:r>
          </w:p>
        </w:tc>
        <w:tc>
          <w:tcPr>
            <w:tcW w:type="dxa" w:w="150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DOC-S03 §4</w:t>
            </w:r>
          </w:p>
        </w:tc>
      </w:tr>
      <w:tr>
        <w:trPr>
          <w:cantSplit/>
        </w:trPr>
        <w:tc>
          <w:tcPr>
            <w:tcW w:type="dxa" w:w="150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SEC-SES-02</w:t>
            </w:r>
          </w:p>
        </w:tc>
        <w:tc>
          <w:tcPr>
            <w:tcW w:type="dxa" w:w="205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كل Set-Cookie في كل استجابة</w:t>
            </w:r>
          </w:p>
        </w:tc>
        <w:tc>
          <w:tcPr>
            <w:tcW w:type="dxa" w:w="369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لا Domain=bankfas.com أبدًا</w:t>
            </w:r>
          </w:p>
        </w:tc>
        <w:tc>
          <w:tcPr>
            <w:tcW w:type="dxa" w:w="109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API</w:t>
            </w:r>
          </w:p>
        </w:tc>
        <w:tc>
          <w:tcPr>
            <w:tcW w:type="dxa" w:w="150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DOC-S03 §4؛ FR-PLT-046</w:t>
            </w:r>
          </w:p>
        </w:tc>
      </w:tr>
      <w:tr>
        <w:trPr>
          <w:cantSplit/>
        </w:trPr>
        <w:tc>
          <w:tcPr>
            <w:tcW w:type="dxa" w:w="150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SEC-SES-03</w:t>
            </w:r>
          </w:p>
        </w:tc>
        <w:tc>
          <w:tcPr>
            <w:tcW w:type="dxa" w:w="205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تثبيت الجلسة</w:t>
            </w:r>
          </w:p>
        </w:tc>
        <w:tc>
          <w:tcPr>
            <w:tcW w:type="dxa" w:w="369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كوكي مرسل قبل الدخول لا يُعتمد؛ رمز جديد 32 بايتًا بعد كل دخول</w:t>
            </w:r>
          </w:p>
        </w:tc>
        <w:tc>
          <w:tcPr>
            <w:tcW w:type="dxa" w:w="109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API</w:t>
            </w:r>
          </w:p>
        </w:tc>
        <w:tc>
          <w:tcPr>
            <w:tcW w:type="dxa" w:w="150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THR-04؛ 030:53-54</w:t>
            </w:r>
          </w:p>
        </w:tc>
      </w:tr>
      <w:tr>
        <w:trPr>
          <w:cantSplit/>
        </w:trPr>
        <w:tc>
          <w:tcPr>
            <w:tcW w:type="dxa" w:w="150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SEC-SES-04</w:t>
            </w:r>
          </w:p>
        </w:tc>
        <w:tc>
          <w:tcPr>
            <w:tcW w:type="dxa" w:w="205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الرمز خارج الروابط والسجلات</w:t>
            </w:r>
          </w:p>
        </w:tc>
        <w:tc>
          <w:tcPr>
            <w:tcW w:type="dxa" w:w="369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صفر تطابق لقيمة الرمز في سجلات التطبيق والوكيل</w:t>
            </w:r>
          </w:p>
        </w:tc>
        <w:tc>
          <w:tcPr>
            <w:tcW w:type="dxa" w:w="109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تكامل</w:t>
            </w:r>
          </w:p>
        </w:tc>
        <w:tc>
          <w:tcPr>
            <w:tcW w:type="dxa" w:w="150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NFR-SEC-14</w:t>
            </w:r>
          </w:p>
        </w:tc>
      </w:tr>
      <w:tr>
        <w:trPr>
          <w:cantSplit/>
        </w:trPr>
        <w:tc>
          <w:tcPr>
            <w:tcW w:type="dxa" w:w="150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SEC-SES-05</w:t>
            </w:r>
          </w:p>
        </w:tc>
        <w:tc>
          <w:tcPr>
            <w:tcW w:type="dxa" w:w="205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الخمول والمهلة المطلقة</w:t>
            </w:r>
          </w:p>
        </w:tc>
        <w:tc>
          <w:tcPr>
            <w:tcW w:type="dxa" w:w="369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طلب بعد 31 دقيقة خمول يعطي 401؛ لا جلسة بعد 12 ساعة</w:t>
            </w:r>
          </w:p>
        </w:tc>
        <w:tc>
          <w:tcPr>
            <w:tcW w:type="dxa" w:w="109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API مع ساعة مزيّفة</w:t>
            </w:r>
          </w:p>
        </w:tc>
        <w:tc>
          <w:tcPr>
            <w:tcW w:type="dxa" w:w="150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T32، T35؛ AC-PLT-12</w:t>
            </w:r>
          </w:p>
        </w:tc>
      </w:tr>
      <w:tr>
        <w:trPr>
          <w:cantSplit/>
        </w:trPr>
        <w:tc>
          <w:tcPr>
            <w:tcW w:type="dxa" w:w="150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SEC-SES-06</w:t>
            </w:r>
          </w:p>
        </w:tc>
        <w:tc>
          <w:tcPr>
            <w:tcW w:type="dxa" w:w="205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الخروج</w:t>
            </w:r>
          </w:p>
        </w:tc>
        <w:tc>
          <w:tcPr>
            <w:tcW w:type="dxa" w:w="369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الكوكي بقيمة فارغة وMax-Age=0، والجلسة EndedAt، والطلب التالي 401</w:t>
            </w:r>
          </w:p>
        </w:tc>
        <w:tc>
          <w:tcPr>
            <w:tcW w:type="dxa" w:w="109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API</w:t>
            </w:r>
          </w:p>
        </w:tc>
        <w:tc>
          <w:tcPr>
            <w:tcW w:type="dxa" w:w="150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DOC-S03 §4</w:t>
            </w:r>
          </w:p>
        </w:tc>
      </w:tr>
      <w:tr>
        <w:trPr>
          <w:cantSplit/>
        </w:trPr>
        <w:tc>
          <w:tcPr>
            <w:tcW w:type="dxa" w:w="150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SEC-SES-07</w:t>
            </w:r>
          </w:p>
        </w:tc>
        <w:tc>
          <w:tcPr>
            <w:tcW w:type="dxa" w:w="205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إنهاء المدير للجلسة</w:t>
            </w:r>
          </w:p>
        </w:tc>
        <w:tc>
          <w:tcPr>
            <w:tcW w:type="dxa" w:w="369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الطلب التالي للمستخدم 401</w:t>
            </w:r>
          </w:p>
        </w:tc>
        <w:tc>
          <w:tcPr>
            <w:tcW w:type="dxa" w:w="109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API</w:t>
            </w:r>
          </w:p>
        </w:tc>
        <w:tc>
          <w:tcPr>
            <w:tcW w:type="dxa" w:w="150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T37؛ FR-PLT-014</w:t>
            </w:r>
          </w:p>
        </w:tc>
      </w:tr>
      <w:tr>
        <w:trPr>
          <w:cantSplit/>
        </w:trPr>
        <w:tc>
          <w:tcPr>
            <w:tcW w:type="dxa" w:w="150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SEC-SES-08</w:t>
            </w:r>
          </w:p>
        </w:tc>
        <w:tc>
          <w:tcPr>
            <w:tcW w:type="dxa" w:w="205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فصل البوابتين</w:t>
            </w:r>
          </w:p>
        </w:tc>
        <w:tc>
          <w:tcPr>
            <w:tcW w:type="dxa" w:w="369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كوكي المشغّل على مضيف مشترك وكوكي المشترك على مضيف المشغّل يعطيان 401</w:t>
            </w:r>
          </w:p>
        </w:tc>
        <w:tc>
          <w:tcPr>
            <w:tcW w:type="dxa" w:w="109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API</w:t>
            </w:r>
          </w:p>
        </w:tc>
        <w:tc>
          <w:tcPr>
            <w:tcW w:type="dxa" w:w="150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FR-PLT-006؛ DQ-S03-7</w:t>
            </w:r>
          </w:p>
        </w:tc>
      </w:tr>
      <w:tr>
        <w:trPr>
          <w:cantSplit/>
        </w:trPr>
        <w:tc>
          <w:tcPr>
            <w:tcW w:type="dxa" w:w="150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SEC-CSRF-01</w:t>
            </w:r>
          </w:p>
        </w:tc>
        <w:tc>
          <w:tcPr>
            <w:tcW w:type="dxa" w:w="205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طلب يغيّر الحالة بلا رمز CSRF أو برمز جلسة أخرى</w:t>
            </w:r>
          </w:p>
        </w:tc>
        <w:tc>
          <w:tcPr>
            <w:tcW w:type="dxa" w:w="369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403</w:t>
            </w:r>
          </w:p>
        </w:tc>
        <w:tc>
          <w:tcPr>
            <w:tcW w:type="dxa" w:w="109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API</w:t>
            </w:r>
          </w:p>
        </w:tc>
        <w:tc>
          <w:tcPr>
            <w:tcW w:type="dxa" w:w="150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DOC-S03 §5</w:t>
            </w:r>
          </w:p>
        </w:tc>
      </w:tr>
      <w:tr>
        <w:trPr>
          <w:cantSplit/>
        </w:trPr>
        <w:tc>
          <w:tcPr>
            <w:tcW w:type="dxa" w:w="150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SEC-CSRF-02</w:t>
            </w:r>
          </w:p>
        </w:tc>
        <w:tc>
          <w:tcPr>
            <w:tcW w:type="dxa" w:w="205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Origin من مضيف مشترك آخر، أو بلا Origin ولا Referer</w:t>
            </w:r>
          </w:p>
        </w:tc>
        <w:tc>
          <w:tcPr>
            <w:tcW w:type="dxa" w:w="369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403</w:t>
            </w:r>
          </w:p>
        </w:tc>
        <w:tc>
          <w:tcPr>
            <w:tcW w:type="dxa" w:w="109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API</w:t>
            </w:r>
          </w:p>
        </w:tc>
        <w:tc>
          <w:tcPr>
            <w:tcW w:type="dxa" w:w="150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DOC-S03 §4، §5</w:t>
            </w:r>
          </w:p>
        </w:tc>
      </w:tr>
      <w:tr>
        <w:trPr>
          <w:cantSplit/>
        </w:trPr>
        <w:tc>
          <w:tcPr>
            <w:tcW w:type="dxa" w:w="150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SEC-CSRF-03</w:t>
            </w:r>
          </w:p>
        </w:tc>
        <w:tc>
          <w:tcPr>
            <w:tcW w:type="dxa" w:w="205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نموذج الدخول بلا رمز ما قبل الجلسة</w:t>
            </w:r>
          </w:p>
        </w:tc>
        <w:tc>
          <w:tcPr>
            <w:tcW w:type="dxa" w:w="369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403</w:t>
            </w:r>
          </w:p>
        </w:tc>
        <w:tc>
          <w:tcPr>
            <w:tcW w:type="dxa" w:w="109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API</w:t>
            </w:r>
          </w:p>
        </w:tc>
        <w:tc>
          <w:tcPr>
            <w:tcW w:type="dxa" w:w="150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DOC-S03 §5</w:t>
            </w:r>
          </w:p>
        </w:tc>
      </w:tr>
      <w:tr>
        <w:trPr>
          <w:cantSplit/>
        </w:trPr>
        <w:tc>
          <w:tcPr>
            <w:tcW w:type="dxa" w:w="150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SEC-CSRF-04</w:t>
            </w:r>
          </w:p>
        </w:tc>
        <w:tc>
          <w:tcPr>
            <w:tcW w:type="dxa" w:w="205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CORS وطلب preflight من أصل آخر</w:t>
            </w:r>
          </w:p>
        </w:tc>
        <w:tc>
          <w:tcPr>
            <w:tcW w:type="dxa" w:w="369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لا Access-Control-Allow-Origin في أي استجابة</w:t>
            </w:r>
          </w:p>
        </w:tc>
        <w:tc>
          <w:tcPr>
            <w:tcW w:type="dxa" w:w="109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API</w:t>
            </w:r>
          </w:p>
        </w:tc>
        <w:tc>
          <w:tcPr>
            <w:tcW w:type="dxa" w:w="150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DOC-S03 §5</w:t>
            </w:r>
          </w:p>
        </w:tc>
      </w:tr>
      <w:tr>
        <w:trPr>
          <w:cantSplit/>
        </w:trPr>
        <w:tc>
          <w:tcPr>
            <w:tcW w:type="dxa" w:w="150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SEC-HDR-01</w:t>
            </w:r>
          </w:p>
        </w:tc>
        <w:tc>
          <w:tcPr>
            <w:tcW w:type="dxa" w:w="205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CSP على كل صفحة HTML</w:t>
            </w:r>
          </w:p>
        </w:tc>
        <w:tc>
          <w:tcPr>
            <w:tcW w:type="dxa" w:w="369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السياسة كما في DOC-S03 §6، وصفر مخالفات CSP في تشغيل Playwright</w:t>
            </w:r>
          </w:p>
        </w:tc>
        <w:tc>
          <w:tcPr>
            <w:tcW w:type="dxa" w:w="109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متصفح</w:t>
            </w:r>
          </w:p>
        </w:tc>
        <w:tc>
          <w:tcPr>
            <w:tcW w:type="dxa" w:w="150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DOC-S03 §6</w:t>
            </w:r>
          </w:p>
        </w:tc>
      </w:tr>
      <w:tr>
        <w:trPr>
          <w:cantSplit/>
        </w:trPr>
        <w:tc>
          <w:tcPr>
            <w:tcW w:type="dxa" w:w="150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SEC-HDR-02</w:t>
            </w:r>
          </w:p>
        </w:tc>
        <w:tc>
          <w:tcPr>
            <w:tcW w:type="dxa" w:w="205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الترويسات الأخرى</w:t>
            </w:r>
          </w:p>
        </w:tc>
        <w:tc>
          <w:tcPr>
            <w:tcW w:type="dxa" w:w="369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nosniff وno-referrer وPermissions-Policy وCOOP وCORP وX-Frame-Options DENY</w:t>
            </w:r>
          </w:p>
        </w:tc>
        <w:tc>
          <w:tcPr>
            <w:tcW w:type="dxa" w:w="109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API</w:t>
            </w:r>
          </w:p>
        </w:tc>
        <w:tc>
          <w:tcPr>
            <w:tcW w:type="dxa" w:w="150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DOC-S03 §6</w:t>
            </w:r>
          </w:p>
        </w:tc>
      </w:tr>
      <w:tr>
        <w:trPr>
          <w:cantSplit/>
        </w:trPr>
        <w:tc>
          <w:tcPr>
            <w:tcW w:type="dxa" w:w="150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SEC-HDR-03</w:t>
            </w:r>
          </w:p>
        </w:tc>
        <w:tc>
          <w:tcPr>
            <w:tcW w:type="dxa" w:w="205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التخزين المؤقت</w:t>
            </w:r>
          </w:p>
        </w:tc>
        <w:tc>
          <w:tcPr>
            <w:tcW w:type="dxa" w:w="369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Cache-Control: no-store لكل استجابة مصدَّقة ولصفحات الدخول والإعادة</w:t>
            </w:r>
          </w:p>
        </w:tc>
        <w:tc>
          <w:tcPr>
            <w:tcW w:type="dxa" w:w="109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API</w:t>
            </w:r>
          </w:p>
        </w:tc>
        <w:tc>
          <w:tcPr>
            <w:tcW w:type="dxa" w:w="150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DOC-S03 §6</w:t>
            </w:r>
          </w:p>
        </w:tc>
      </w:tr>
      <w:tr>
        <w:trPr>
          <w:cantSplit/>
        </w:trPr>
        <w:tc>
          <w:tcPr>
            <w:tcW w:type="dxa" w:w="150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SEC-HDR-04</w:t>
            </w:r>
          </w:p>
        </w:tc>
        <w:tc>
          <w:tcPr>
            <w:tcW w:type="dxa" w:w="205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TLS وHSTS</w:t>
            </w:r>
          </w:p>
        </w:tc>
        <w:tc>
          <w:tcPr>
            <w:tcW w:type="dxa" w:w="369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النتيجة في DOC-S05 بعد كل نشر</w:t>
            </w:r>
          </w:p>
        </w:tc>
        <w:tc>
          <w:tcPr>
            <w:tcW w:type="dxa" w:w="109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فحص آلي</w:t>
            </w:r>
          </w:p>
        </w:tc>
        <w:tc>
          <w:tcPr>
            <w:tcW w:type="dxa" w:w="150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NFR-SEC-09</w:t>
            </w:r>
          </w:p>
        </w:tc>
      </w:tr>
      <w:tr>
        <w:trPr>
          <w:cantSplit/>
        </w:trPr>
        <w:tc>
          <w:tcPr>
            <w:tcW w:type="dxa" w:w="150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SEC-HDR-05</w:t>
            </w:r>
          </w:p>
        </w:tc>
        <w:tc>
          <w:tcPr>
            <w:tcW w:type="dxa" w:w="205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روابط الدعوة والإعادة</w:t>
            </w:r>
          </w:p>
        </w:tc>
        <w:tc>
          <w:tcPr>
            <w:tcW w:type="dxa" w:w="369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الرمز يُرسل بـ POST ثم يُحوَّل إلى عنوان بلا رمز؛ السجلات تحجب المسار</w:t>
            </w:r>
          </w:p>
        </w:tc>
        <w:tc>
          <w:tcPr>
            <w:tcW w:type="dxa" w:w="109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متصفح وتكامل</w:t>
            </w:r>
          </w:p>
        </w:tc>
        <w:tc>
          <w:tcPr>
            <w:tcW w:type="dxa" w:w="150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DOC-S03 §6</w:t>
            </w:r>
          </w:p>
        </w:tc>
      </w:tr>
      <w:tr>
        <w:trPr>
          <w:cantSplit/>
        </w:trPr>
        <w:tc>
          <w:tcPr>
            <w:tcW w:type="dxa" w:w="150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SEC-IP-01</w:t>
            </w:r>
          </w:p>
        </w:tc>
        <w:tc>
          <w:tcPr>
            <w:tcW w:type="dxa" w:w="205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X-Forwarded-For مزيّف من العميل</w:t>
            </w:r>
          </w:p>
        </w:tc>
        <w:tc>
          <w:tcPr>
            <w:tcW w:type="dxa" w:w="369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ClientIp المخزّن هو ما رآه الوكيل؛ الوصول المباشر إلى منفذ التطبيق مرفوض</w:t>
            </w:r>
          </w:p>
        </w:tc>
        <w:tc>
          <w:tcPr>
            <w:tcW w:type="dxa" w:w="109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تكامل وبيئة الاختبار</w:t>
            </w:r>
          </w:p>
        </w:tc>
        <w:tc>
          <w:tcPr>
            <w:tcW w:type="dxa" w:w="150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DOC-S03 §7؛ THR-09</w:t>
            </w:r>
          </w:p>
        </w:tc>
      </w:tr>
      <w:tr>
        <w:trPr>
          <w:cantSplit/>
        </w:trPr>
        <w:tc>
          <w:tcPr>
            <w:tcW w:type="dxa" w:w="150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SEC-ERR-01</w:t>
            </w:r>
          </w:p>
        </w:tc>
        <w:tc>
          <w:tcPr>
            <w:tcW w:type="dxa" w:w="205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خطأ قاعدة مصطنع (547، 2627، 33504)</w:t>
            </w:r>
          </w:p>
        </w:tc>
        <w:tc>
          <w:tcPr>
            <w:tcW w:type="dxa" w:w="369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problem+json بلا رقم خطأ SQL ولا اسم قيد ولا قيمة مقيّدة، مع correlationId</w:t>
            </w:r>
          </w:p>
        </w:tc>
        <w:tc>
          <w:tcPr>
            <w:tcW w:type="dxa" w:w="109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API</w:t>
            </w:r>
          </w:p>
        </w:tc>
        <w:tc>
          <w:tcPr>
            <w:tcW w:type="dxa" w:w="150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DOC-B04 §8، §9.4</w:t>
            </w:r>
          </w:p>
        </w:tc>
      </w:tr>
    </w:tbl>
    <w:p>
      <w:pPr>
        <w:bidi/>
        <w:spacing w:after="120" w:before="0"/>
      </w:pPr>
    </w:p>
    <w:p>
      <w:pPr>
        <w:pStyle w:val="Heading1"/>
        <w:bidi/>
      </w:pPr>
      <w:bookmarkStart w:name="_sec12" w:id="12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8. اختبارات سياسة كلمة المرور وMFA</w:t>
      </w:r>
      <w:bookmarkEnd w:id="12"/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القيم والاختبارات T-S04-1 إلى T-S04-16 معرَّفة في DOC-S04 §14، ولا تُكرَّر هنا. هذه الوثيقة تحدد موضعها:</w:t>
      </w:r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38"/>
        <w:gridCol w:w="1440"/>
        <w:gridCol w:w="5577"/>
        <w:gridCol w:w="1609"/>
      </w:tblGrid>
      <w:tr>
        <w:trPr>
          <w:cantSplit/>
          <w:tblHeader/>
        </w:trPr>
        <w:tc>
          <w:tcPr>
            <w:tcW w:type="dxa" w:w="123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المجموعة</w:t>
            </w:r>
          </w:p>
        </w:tc>
        <w:tc>
          <w:tcPr>
            <w:tcW w:type="dxa" w:w="144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الحالات</w:t>
            </w:r>
          </w:p>
        </w:tc>
        <w:tc>
          <w:tcPr>
            <w:tcW w:type="dxa" w:w="557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الموضع المقترح </w:t>
            </w:r>
            <w:r>
              <w:rPr>
                <w:rFonts w:ascii="Arial" w:cs="Arial" w:eastAsia="Arial" w:hAnsi="Arial"/>
                <w:color w:val="E0A800"/>
                <w:sz w:val="18"/>
                <w:szCs w:val="18"/>
                <w:rtl/>
              </w:rPr>
              <w:t xml:space="preserve">●</w:t>
            </w:r>
          </w:p>
        </w:tc>
        <w:tc>
          <w:tcPr>
            <w:tcW w:type="dxa" w:w="160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الشرط</w:t>
            </w:r>
          </w:p>
        </w:tc>
      </w:tr>
      <w:tr>
        <w:trPr>
          <w:cantSplit/>
        </w:trPr>
        <w:tc>
          <w:tcPr>
            <w:tcW w:type="dxa" w:w="123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القاعدة، موجودة</w:t>
            </w:r>
          </w:p>
        </w:tc>
        <w:tc>
          <w:tcPr>
            <w:tcW w:type="dxa" w:w="144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T33، T34، T35، T36</w:t>
            </w:r>
          </w:p>
        </w:tc>
        <w:tc>
          <w:tcPr>
            <w:tcW w:type="dxa" w:w="557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db/tests/tenant_isolation_tests.sql، الخطوة 7</w:t>
            </w:r>
          </w:p>
        </w:tc>
        <w:tc>
          <w:tcPr>
            <w:tcW w:type="dxa" w:w="160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تمر اليوم </w:t>
            </w:r>
            <w:r>
              <w:rPr>
                <w:rFonts w:ascii="Arial" w:cs="Arial" w:eastAsia="Arial" w:hAnsi="Arial"/>
                <w:color w:val="2E9E44"/>
                <w:sz w:val="18"/>
                <w:szCs w:val="18"/>
                <w:rtl/>
              </w:rPr>
              <w:t xml:space="preserve">●</w:t>
            </w:r>
          </w:p>
        </w:tc>
      </w:tr>
      <w:tr>
        <w:trPr>
          <w:cantSplit/>
        </w:trPr>
        <w:tc>
          <w:tcPr>
            <w:tcW w:type="dxa" w:w="123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القاعدة، جديدة</w:t>
            </w:r>
          </w:p>
        </w:tc>
        <w:tc>
          <w:tcPr>
            <w:tcW w:type="dxa" w:w="144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T-S04-1، T-S04-8، T-S04-10، T-S04-12، T-S04-16، وT-F06-1 للقفل الثالث</w:t>
            </w:r>
          </w:p>
        </w:tc>
        <w:tc>
          <w:tcPr>
            <w:tcW w:type="dxa" w:w="557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ملف جديد db/tests/auth_policy_tests.sql بخطوة CI مستقلة وعدّاد خاص (DQ-S13-6)</w:t>
            </w:r>
          </w:p>
        </w:tc>
        <w:tc>
          <w:tcPr>
            <w:tcW w:type="dxa" w:w="160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T-S04-8 بعد DQ-S04-5؛ T-S04-10 بعد DQ-F03-4؛ T-S04-12 بعد نقل الاستهلاك إلى القاعدة</w:t>
            </w:r>
          </w:p>
        </w:tc>
      </w:tr>
      <w:tr>
        <w:trPr>
          <w:cantSplit/>
        </w:trPr>
        <w:tc>
          <w:tcPr>
            <w:tcW w:type="dxa" w:w="123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وحدات التطبيق</w:t>
            </w:r>
          </w:p>
        </w:tc>
        <w:tc>
          <w:tcPr>
            <w:tcW w:type="dxa" w:w="144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T-S04-2، T-S04-4، T-S04-5، T-S04-6، T-S04-9</w:t>
            </w:r>
          </w:p>
        </w:tc>
        <w:tc>
          <w:tcPr>
            <w:tcW w:type="dxa" w:w="557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اختبارات خدمة كلمة المرور وتقييد المعدل</w:t>
            </w:r>
          </w:p>
        </w:tc>
        <w:tc>
          <w:tcPr>
            <w:tcW w:type="dxa" w:w="160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مع أول كود دخول في S0</w:t>
            </w:r>
          </w:p>
        </w:tc>
      </w:tr>
      <w:tr>
        <w:trPr>
          <w:cantSplit/>
        </w:trPr>
        <w:tc>
          <w:tcPr>
            <w:tcW w:type="dxa" w:w="123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تكامل</w:t>
            </w:r>
          </w:p>
        </w:tc>
        <w:tc>
          <w:tcPr>
            <w:tcW w:type="dxa" w:w="144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T-S04-3، T-S04-7، T-S04-11، T-S04-13، T-S04-14، T-S04-15</w:t>
            </w:r>
          </w:p>
        </w:tc>
        <w:tc>
          <w:tcPr>
            <w:tcW w:type="dxa" w:w="557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اختبارات التكامل على حاوية SQL Server</w:t>
            </w:r>
          </w:p>
        </w:tc>
        <w:tc>
          <w:tcPr>
            <w:tcW w:type="dxa" w:w="160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مع الإجراءات المقترحة في DOC-S04</w:t>
            </w:r>
          </w:p>
        </w:tc>
      </w:tr>
    </w:tbl>
    <w:p>
      <w:pPr>
        <w:bidi/>
        <w:spacing w:after="12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حالات API إضافية لا تذكرها DOC-S04 </w:t>
      </w:r>
      <w:r>
        <w:rPr>
          <w:rFonts w:ascii="Arial" w:cs="Arial" w:eastAsia="Arial" w:hAnsi="Arial"/>
          <w:color w:val="E0A800"/>
          <w:sz w:val="21"/>
          <w:szCs w:val="21"/>
          <w:rtl/>
        </w:rPr>
        <w:t xml:space="preserve">●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:</w:t>
      </w:r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82"/>
        <w:gridCol w:w="2023"/>
        <w:gridCol w:w="2023"/>
        <w:gridCol w:w="3036"/>
      </w:tblGrid>
      <w:tr>
        <w:trPr>
          <w:cantSplit/>
          <w:tblHeader/>
        </w:trPr>
        <w:tc>
          <w:tcPr>
            <w:tcW w:type="dxa" w:w="278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المعرّف</w:t>
            </w:r>
          </w:p>
        </w:tc>
        <w:tc>
          <w:tcPr>
            <w:tcW w:type="dxa" w:w="202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ما يُختبر</w:t>
            </w:r>
          </w:p>
        </w:tc>
        <w:tc>
          <w:tcPr>
            <w:tcW w:type="dxa" w:w="202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المتوقع</w:t>
            </w:r>
          </w:p>
        </w:tc>
        <w:tc>
          <w:tcPr>
            <w:tcW w:type="dxa" w:w="303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المرجع</w:t>
            </w:r>
          </w:p>
        </w:tc>
      </w:tr>
      <w:tr>
        <w:trPr>
          <w:cantSplit/>
        </w:trPr>
        <w:tc>
          <w:tcPr>
            <w:tcW w:type="dxa" w:w="278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SEC-AUTH-01</w:t>
            </w:r>
          </w:p>
        </w:tc>
        <w:tc>
          <w:tcPr>
            <w:tcW w:type="dxa" w:w="202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بريد مجهول، وكلمة خاطئة، وحساب مقفل ومعطّل ومدعو</w:t>
            </w:r>
          </w:p>
        </w:tc>
        <w:tc>
          <w:tcPr>
            <w:tcW w:type="dxa" w:w="202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استجابة 401 واحدة بالجسم نفسه</w:t>
            </w:r>
          </w:p>
        </w:tc>
        <w:tc>
          <w:tcPr>
            <w:tcW w:type="dxa" w:w="303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DOC-B04 §9.5؛ T33</w:t>
            </w:r>
          </w:p>
        </w:tc>
      </w:tr>
      <w:tr>
        <w:trPr>
          <w:cantSplit/>
        </w:trPr>
        <w:tc>
          <w:tcPr>
            <w:tcW w:type="dxa" w:w="278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SEC-AUTH-02</w:t>
            </w:r>
          </w:p>
        </w:tc>
        <w:tc>
          <w:tcPr>
            <w:tcW w:type="dxa" w:w="202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زمن الرد لبريد مجهول مقابل بريد معروف</w:t>
            </w:r>
          </w:p>
        </w:tc>
        <w:tc>
          <w:tcPr>
            <w:tcW w:type="dxa" w:w="202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الفرق بين الوسيطين دون الحد في DQ-S13-7</w:t>
            </w:r>
          </w:p>
        </w:tc>
        <w:tc>
          <w:tcPr>
            <w:tcW w:type="dxa" w:w="303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THR-02؛ DOC-F03 §5.2</w:t>
            </w:r>
          </w:p>
        </w:tc>
      </w:tr>
      <w:tr>
        <w:trPr>
          <w:cantSplit/>
        </w:trPr>
        <w:tc>
          <w:tcPr>
            <w:tcW w:type="dxa" w:w="278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SEC-AUTH-03</w:t>
            </w:r>
          </w:p>
        </w:tc>
        <w:tc>
          <w:tcPr>
            <w:tcW w:type="dxa" w:w="202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خمسون دخولًا متزامنًا</w:t>
            </w:r>
          </w:p>
        </w:tc>
        <w:tc>
          <w:tcPr>
            <w:tcW w:type="dxa" w:w="202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لا تتجاوز ذاكرة التجزئة السقف، ولا خطأ 500</w:t>
            </w:r>
          </w:p>
        </w:tc>
        <w:tc>
          <w:tcPr>
            <w:tcW w:type="dxa" w:w="303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THR-11؛ NFR-PERF-05؛ DQ-B03-7</w:t>
            </w:r>
          </w:p>
        </w:tc>
      </w:tr>
      <w:tr>
        <w:trPr>
          <w:cantSplit/>
        </w:trPr>
        <w:tc>
          <w:tcPr>
            <w:tcW w:type="dxa" w:w="278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SEC-AUTH-04</w:t>
            </w:r>
          </w:p>
        </w:tc>
        <w:tc>
          <w:tcPr>
            <w:tcW w:type="dxa" w:w="202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كلمة مرور معروفة في سيناريو كامل</w:t>
            </w:r>
          </w:p>
        </w:tc>
        <w:tc>
          <w:tcPr>
            <w:tcW w:type="dxa" w:w="202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صفر تطابق في السجلات والتدقيق</w:t>
            </w:r>
          </w:p>
        </w:tc>
        <w:tc>
          <w:tcPr>
            <w:tcW w:type="dxa" w:w="303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FR-PLT-010؛ NFR-SEC-14</w:t>
            </w:r>
          </w:p>
        </w:tc>
      </w:tr>
      <w:tr>
        <w:trPr>
          <w:cantSplit/>
        </w:trPr>
        <w:tc>
          <w:tcPr>
            <w:tcW w:type="dxa" w:w="278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SEC-AUTH-05</w:t>
            </w:r>
          </w:p>
        </w:tc>
        <w:tc>
          <w:tcPr>
            <w:tcW w:type="dxa" w:w="202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رابط دعوة أو إعادة بعد إصدار رابط أحدث</w:t>
            </w:r>
          </w:p>
        </w:tc>
        <w:tc>
          <w:tcPr>
            <w:tcW w:type="dxa" w:w="202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الرابط القديم مرفوض بالرسالة الموحدة</w:t>
            </w:r>
          </w:p>
        </w:tc>
        <w:tc>
          <w:tcPr>
            <w:tcW w:type="dxa" w:w="303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DOC-S04 §6</w:t>
            </w:r>
          </w:p>
        </w:tc>
      </w:tr>
    </w:tbl>
    <w:p>
      <w:pPr>
        <w:bidi/>
        <w:spacing w:after="120" w:before="0"/>
      </w:pPr>
    </w:p>
    <w:p>
      <w:pPr>
        <w:pStyle w:val="Heading1"/>
        <w:bidi/>
      </w:pPr>
      <w:bookmarkStart w:name="_sec13" w:id="13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9. اختبار الاختراق</w:t>
      </w:r>
      <w:bookmarkEnd w:id="13"/>
    </w:p>
    <w:p>
      <w:pPr>
        <w:pStyle w:val="Heading2"/>
        <w:bidi/>
      </w:pPr>
      <w:bookmarkStart w:name="_sec14" w:id="14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9.1 التوقيت</w:t>
      </w:r>
      <w:bookmarkEnd w:id="14"/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"/>
        <w:gridCol w:w="1123"/>
        <w:gridCol w:w="1010"/>
        <w:gridCol w:w="6741"/>
      </w:tblGrid>
      <w:tr>
        <w:trPr>
          <w:cantSplit/>
          <w:tblHeader/>
        </w:trPr>
        <w:tc>
          <w:tcPr>
            <w:tcW w:type="dxa" w:w="99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المرحلة</w:t>
            </w:r>
          </w:p>
        </w:tc>
        <w:tc>
          <w:tcPr>
            <w:tcW w:type="dxa" w:w="112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ما يجري</w:t>
            </w:r>
          </w:p>
        </w:tc>
        <w:tc>
          <w:tcPr>
            <w:tcW w:type="dxa" w:w="101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متى</w:t>
            </w:r>
          </w:p>
        </w:tc>
        <w:tc>
          <w:tcPr>
            <w:tcW w:type="dxa" w:w="674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المصدر</w:t>
            </w:r>
          </w:p>
        </w:tc>
      </w:tr>
      <w:tr>
        <w:trPr>
          <w:cantSplit/>
        </w:trPr>
        <w:tc>
          <w:tcPr>
            <w:tcW w:type="dxa" w:w="99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فحص ديناميكي آلي (L7)</w:t>
            </w:r>
          </w:p>
        </w:tc>
        <w:tc>
          <w:tcPr>
            <w:tcW w:type="dxa" w:w="112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فحص التطبيق المنشور في بيئة الاختبار بلا مختبِر بشري</w:t>
            </w:r>
          </w:p>
        </w:tc>
        <w:tc>
          <w:tcPr>
            <w:tcW w:type="dxa" w:w="101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عند خروج كل شريحة من S0</w:t>
            </w:r>
          </w:p>
        </w:tc>
        <w:tc>
          <w:tcPr>
            <w:tcW w:type="dxa" w:w="674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color w:val="E0A800"/>
                <w:sz w:val="18"/>
                <w:szCs w:val="18"/>
                <w:rtl/>
              </w:rPr>
              <w:t xml:space="preserve">●</w:t>
            </w:r>
          </w:p>
        </w:tc>
      </w:tr>
      <w:tr>
        <w:trPr>
          <w:cantSplit/>
        </w:trPr>
        <w:tc>
          <w:tcPr>
            <w:tcW w:type="dxa" w:w="99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اختبار اختراق مستقل</w:t>
            </w:r>
          </w:p>
        </w:tc>
        <w:tc>
          <w:tcPr>
            <w:tcW w:type="dxa" w:w="112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فريق خارجي مستقل عن فريق البناء</w:t>
            </w:r>
          </w:p>
        </w:tc>
        <w:tc>
          <w:tcPr>
            <w:tcW w:type="dxa" w:w="101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بعد تجميد ميزات S5 وقبل قرار التجربة (DOC-B12)</w:t>
            </w:r>
          </w:p>
        </w:tc>
        <w:tc>
          <w:tcPr>
            <w:tcW w:type="dxa" w:w="674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color w:val="2E9E44"/>
                <w:sz w:val="18"/>
                <w:szCs w:val="18"/>
                <w:rtl/>
              </w:rPr>
              <w:t xml:space="preserve">●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«قبل التجربة (S5)» (docs/10-detailed-analysis/10-m0-m1-platform-organization.md:591)؛ NFR-SEC-18</w:t>
            </w:r>
          </w:p>
        </w:tc>
      </w:tr>
      <w:tr>
        <w:trPr>
          <w:cantSplit/>
        </w:trPr>
        <w:tc>
          <w:tcPr>
            <w:tcW w:type="dxa" w:w="99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إعادة الاختبار</w:t>
            </w:r>
          </w:p>
        </w:tc>
        <w:tc>
          <w:tcPr>
            <w:tcW w:type="dxa" w:w="112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التحقق من إصلاح كل نتيجة حرجة أو عالية</w:t>
            </w:r>
          </w:p>
        </w:tc>
        <w:tc>
          <w:tcPr>
            <w:tcW w:type="dxa" w:w="101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قبل قرار التجربة</w:t>
            </w:r>
          </w:p>
        </w:tc>
        <w:tc>
          <w:tcPr>
            <w:tcW w:type="dxa" w:w="674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NFR-SEC-18</w:t>
            </w:r>
          </w:p>
        </w:tc>
      </w:tr>
      <w:tr>
        <w:trPr>
          <w:cantSplit/>
        </w:trPr>
        <w:tc>
          <w:tcPr>
            <w:tcW w:type="dxa" w:w="99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فحص إعدادات الإنتاج</w:t>
            </w:r>
          </w:p>
        </w:tc>
        <w:tc>
          <w:tcPr>
            <w:tcW w:type="dxa" w:w="112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TLS والترويسات والمنافذ المفتوحة، بلا وصول إلى البيانات</w:t>
            </w:r>
          </w:p>
        </w:tc>
        <w:tc>
          <w:tcPr>
            <w:tcW w:type="dxa" w:w="101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قبل فتح الإنتاج للمشترك التجريبي</w:t>
            </w:r>
          </w:p>
        </w:tc>
        <w:tc>
          <w:tcPr>
            <w:tcW w:type="dxa" w:w="674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color w:val="E0A800"/>
                <w:sz w:val="18"/>
                <w:szCs w:val="18"/>
                <w:rtl/>
              </w:rPr>
              <w:t xml:space="preserve">●</w:t>
            </w:r>
          </w:p>
        </w:tc>
      </w:tr>
      <w:tr>
        <w:trPr>
          <w:cantSplit/>
        </w:trPr>
        <w:tc>
          <w:tcPr>
            <w:tcW w:type="dxa" w:w="99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دوري</w:t>
            </w:r>
          </w:p>
        </w:tc>
        <w:tc>
          <w:tcPr>
            <w:tcW w:type="dxa" w:w="112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اختبار اختراق كامل</w:t>
            </w:r>
          </w:p>
        </w:tc>
        <w:tc>
          <w:tcPr>
            <w:tcW w:type="dxa" w:w="101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سنويًا، وبعد كل تغيير معماري كبير </w:t>
            </w:r>
            <w:r>
              <w:rPr>
                <w:rFonts w:ascii="Arial" w:cs="Arial" w:eastAsia="Arial" w:hAnsi="Arial"/>
                <w:color w:val="E0A800"/>
                <w:sz w:val="18"/>
                <w:szCs w:val="18"/>
                <w:rtl/>
              </w:rPr>
              <w:t xml:space="preserve">●</w:t>
            </w:r>
          </w:p>
        </w:tc>
        <w:tc>
          <w:tcPr>
            <w:tcW w:type="dxa" w:w="674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DQ-S13-10</w:t>
            </w:r>
          </w:p>
        </w:tc>
      </w:tr>
    </w:tbl>
    <w:p>
      <w:pPr>
        <w:bidi/>
        <w:spacing w:after="120" w:before="0"/>
      </w:pPr>
    </w:p>
    <w:p>
      <w:pPr>
        <w:pStyle w:val="Heading2"/>
        <w:bidi/>
      </w:pPr>
      <w:bookmarkStart w:name="_sec15" w:id="15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9.2 النطاق</w:t>
      </w:r>
      <w:bookmarkEnd w:id="15"/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81"/>
        <w:gridCol w:w="4483"/>
      </w:tblGrid>
      <w:tr>
        <w:trPr>
          <w:cantSplit/>
          <w:tblHeader/>
        </w:trPr>
        <w:tc>
          <w:tcPr>
            <w:tcW w:type="dxa" w:w="538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داخل النطاق</w:t>
            </w:r>
          </w:p>
        </w:tc>
        <w:tc>
          <w:tcPr>
            <w:tcW w:type="dxa" w:w="448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خارج النطاق</w:t>
            </w:r>
          </w:p>
        </w:tc>
      </w:tr>
      <w:tr>
        <w:trPr>
          <w:cantSplit/>
        </w:trPr>
        <w:tc>
          <w:tcPr>
            <w:tcW w:type="dxa" w:w="538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بوابة المشترك وAPI على عنوان فرعي لبيئة الاختبار، بمشتركين اصطناعيين A وB</w:t>
            </w:r>
          </w:p>
        </w:tc>
        <w:tc>
          <w:tcPr>
            <w:tcW w:type="dxa" w:w="448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البنية التحتية لمزوّد الاستضافة (TB-13)</w:t>
            </w:r>
          </w:p>
        </w:tc>
      </w:tr>
      <w:tr>
        <w:trPr>
          <w:cantSplit/>
        </w:trPr>
        <w:tc>
          <w:tcPr>
            <w:tcW w:type="dxa" w:w="538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لوحة المشغّل على مضيفها المستقل (TB-2)</w:t>
            </w:r>
          </w:p>
        </w:tc>
        <w:tc>
          <w:tcPr>
            <w:tcW w:type="dxa" w:w="448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هجمات إغراق الحجم</w:t>
            </w:r>
          </w:p>
        </w:tc>
      </w:tr>
      <w:tr>
        <w:trPr>
          <w:cantSplit/>
        </w:trPr>
        <w:tc>
          <w:tcPr>
            <w:tcW w:type="dxa" w:w="538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الدخول وMFA والدعوة والإعادة وتصفير MFA (DOC-F03)</w:t>
            </w:r>
          </w:p>
        </w:tc>
        <w:tc>
          <w:tcPr>
            <w:tcW w:type="dxa" w:w="448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الهندسة الاجتماعية لموظفي العميل</w:t>
            </w:r>
          </w:p>
        </w:tc>
      </w:tr>
      <w:tr>
        <w:trPr>
          <w:cantSplit/>
        </w:trPr>
        <w:tc>
          <w:tcPr>
            <w:tcW w:type="dxa" w:w="538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عزل العناوين الفرعية والكوكي (FR-PLT-046)</w:t>
            </w:r>
          </w:p>
        </w:tc>
        <w:tc>
          <w:tcPr>
            <w:tcW w:type="dxa" w:w="448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أي بيانات حقيقية أو مجهّلة؛ البيانات اصطناعية فقط (DOC-B06)</w:t>
            </w:r>
          </w:p>
        </w:tc>
      </w:tr>
      <w:tr>
        <w:trPr>
          <w:cantSplit/>
        </w:trPr>
        <w:tc>
          <w:tcPr>
            <w:tcW w:type="dxa" w:w="538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IDOR بين المشتركين وبين الشركات داخل المشترك</w:t>
            </w:r>
          </w:p>
        </w:tc>
        <w:tc>
          <w:tcPr>
            <w:tcW w:type="dxa" w:w="448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38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رفع الملفات وتنزيلها والكشف والتصدير (FR-PLT-029، FR-PLT-030، FR-PTY-007)</w:t>
            </w:r>
          </w:p>
        </w:tc>
        <w:tc>
          <w:tcPr>
            <w:tcW w:type="dxa" w:w="448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38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منطق الأعمال: الحجز المتزامن، وفصل المهام، والتجاوز بسبب</w:t>
            </w:r>
          </w:p>
        </w:tc>
        <w:tc>
          <w:tcPr>
            <w:tcW w:type="dxa" w:w="448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38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السطح الخارجي للخادم: المنافذ وTLS وSSH (DOC-S10)</w:t>
            </w:r>
          </w:p>
        </w:tc>
        <w:tc>
          <w:tcPr>
            <w:tcW w:type="dxa" w:w="448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38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روابط البريد وسجلات SPF وDKIM وDMARC (THR-51)</w:t>
            </w:r>
          </w:p>
        </w:tc>
        <w:tc>
          <w:tcPr>
            <w:tcW w:type="dxa" w:w="448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</w:tr>
    </w:tbl>
    <w:p>
      <w:pPr>
        <w:bidi/>
        <w:spacing w:after="120" w:before="0"/>
      </w:pPr>
    </w:p>
    <w:p>
      <w:pPr>
        <w:pStyle w:val="Heading2"/>
        <w:bidi/>
      </w:pPr>
      <w:bookmarkStart w:name="_sec16" w:id="16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9.3 قواعد التنفيذ </w:t>
      </w:r>
      <w:r>
        <w:rPr>
          <w:rFonts w:ascii="Arial" w:cs="Arial" w:eastAsia="Arial" w:hAnsi="Arial"/>
          <w:color w:val="E0A800"/>
          <w:sz w:val="26"/>
          <w:szCs w:val="26"/>
          <w:rtl/>
        </w:rPr>
        <w:t xml:space="preserve">●</w:t>
      </w:r>
      <w:bookmarkEnd w:id="16"/>
    </w:p>
    <w:p>
      <w:pPr>
        <w:pStyle w:val="ListParagraph"/>
        <w:numPr>
          <w:ilvl w:val="0"/>
          <w:numId w:val="4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تفويض مكتوب يوقّعه OWN وOPS، بنافذة زمنية وعناوين المصدر.</w:t>
      </w:r>
    </w:p>
    <w:p>
      <w:pPr>
        <w:pStyle w:val="ListParagraph"/>
        <w:numPr>
          <w:ilvl w:val="0"/>
          <w:numId w:val="4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اختبار «رمادي»: حساب لكل دور في المشتركين، وحسابا مشغّل، ووثيقة OpenAPI، وهذه الوثيقة وDOC-S01. لا دخول sa ولا مفاتيح.</w:t>
      </w:r>
    </w:p>
    <w:p>
      <w:pPr>
        <w:pStyle w:val="ListParagraph"/>
        <w:numPr>
          <w:ilvl w:val="0"/>
          <w:numId w:val="4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البيئة نسخة معزولة بطوبولوجيا UAT، ومفاتيحها مستقلة، وتُعاد بناؤها بعد الاختبار (DOC-B11 §2).</w:t>
      </w:r>
    </w:p>
    <w:p>
      <w:pPr>
        <w:pStyle w:val="ListParagraph"/>
        <w:numPr>
          <w:ilvl w:val="0"/>
          <w:numId w:val="4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تصنيف النتائج يقابل شدة DOC-B01 §7: الحرج والعالي Sev1 أو Sev2 ويوقفان التجربة؛ المتوسط له تاريخ إصلاح قبل الإطلاق أو قبول موقّع وفق DQ-S01-1؛ المنخفض في السجل.</w:t>
      </w:r>
    </w:p>
    <w:p>
      <w:pPr>
        <w:pStyle w:val="ListParagraph"/>
        <w:numPr>
          <w:ilvl w:val="0"/>
          <w:numId w:val="4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التقرير مستند مقيّد، ويُحفظ مع خطاب إعادة الاختبار دليلًا لـ NFR-SEC-18.</w:t>
      </w:r>
    </w:p>
    <w:p>
      <w:pPr>
        <w:bidi/>
        <w:spacing w:after="60" w:before="0"/>
      </w:pPr>
    </w:p>
    <w:p>
      <w:pPr>
        <w:pStyle w:val="Heading1"/>
        <w:bidi/>
      </w:pPr>
      <w:bookmarkStart w:name="_sec17" w:id="17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10. المخاطر المتبقية: حالات تُكتب عند الإغلاق</w:t>
      </w:r>
      <w:bookmarkEnd w:id="17"/>
    </w:p>
    <w:p>
      <w:pPr>
        <w:pStyle w:val="Heading2"/>
        <w:bidi/>
      </w:pPr>
      <w:bookmarkStart w:name="_sec18" w:id="18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10.1 O-24 (erd_open_items)</w:t>
      </w:r>
      <w:bookmarkEnd w:id="18"/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البند مفتوح بتقدير متوسط (tools/dbgen/erd_open_items.py:151-156)، وDOC-S01 §5 يرفعه إلى عالٍ. الحالات أدناه تُضاف إلى db/tests/tenant_isolation_tests.sql بعد T38 حين يُنفَّذ ضابطها، ويرتفع العدّاد في tools/ci/db_ci.sh:88. الأرقام نهائية عند الإضافة.</w:t>
      </w:r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6"/>
        <w:gridCol w:w="1458"/>
        <w:gridCol w:w="2235"/>
        <w:gridCol w:w="4279"/>
        <w:gridCol w:w="946"/>
      </w:tblGrid>
      <w:tr>
        <w:trPr>
          <w:cantSplit/>
          <w:tblHeader/>
        </w:trPr>
        <w:tc>
          <w:tcPr>
            <w:tcW w:type="dxa" w:w="94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المعرّف</w:t>
            </w:r>
          </w:p>
        </w:tc>
        <w:tc>
          <w:tcPr>
            <w:tcW w:type="dxa" w:w="145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الخطر في O-24</w:t>
            </w:r>
          </w:p>
        </w:tc>
        <w:tc>
          <w:tcPr>
            <w:tcW w:type="dxa" w:w="223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الحالة</w:t>
            </w:r>
          </w:p>
        </w:tc>
        <w:tc>
          <w:tcPr>
            <w:tcW w:type="dxa" w:w="427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المتوقع</w:t>
            </w:r>
          </w:p>
        </w:tc>
        <w:tc>
          <w:tcPr>
            <w:tcW w:type="dxa" w:w="94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THR</w:t>
            </w:r>
          </w:p>
        </w:tc>
      </w:tr>
      <w:tr>
        <w:trPr>
          <w:cantSplit/>
        </w:trPr>
        <w:tc>
          <w:tcPr>
            <w:tcW w:type="dxa" w:w="94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O24-T1</w:t>
            </w:r>
          </w:p>
        </w:tc>
        <w:tc>
          <w:tcPr>
            <w:tcW w:type="dxa" w:w="145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تعديل PasswordHash وFailedAttempts وLockedUntil وStatus</w:t>
            </w:r>
          </w:p>
        </w:tc>
        <w:tc>
          <w:tcPr>
            <w:tcW w:type="dxa" w:w="223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UPDATE مباشر بصفة tp_app المربوط على مستخدم من مشتركه</w:t>
            </w:r>
          </w:p>
        </w:tc>
        <w:tc>
          <w:tcPr>
            <w:tcW w:type="dxa" w:w="427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230 لكل عمود؛ والإجراء المقترح sec.usp_ChangePassword يعمل (DOC-S04 §5)</w:t>
            </w:r>
          </w:p>
        </w:tc>
        <w:tc>
          <w:tcPr>
            <w:tcW w:type="dxa" w:w="94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THR-19</w:t>
            </w:r>
          </w:p>
        </w:tc>
      </w:tr>
      <w:tr>
        <w:trPr>
          <w:cantSplit/>
        </w:trPr>
        <w:tc>
          <w:tcPr>
            <w:tcW w:type="dxa" w:w="94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O24-T2</w:t>
            </w:r>
          </w:p>
        </w:tc>
        <w:tc>
          <w:tcPr>
            <w:tcW w:type="dxa" w:w="145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تعديل MfaEnabled وMfaSecretEnc</w:t>
            </w:r>
          </w:p>
        </w:tc>
        <w:tc>
          <w:tcPr>
            <w:tcW w:type="dxa" w:w="223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UPDATE مباشر</w:t>
            </w:r>
          </w:p>
        </w:tc>
        <w:tc>
          <w:tcPr>
            <w:tcW w:type="dxa" w:w="427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230</w:t>
            </w:r>
          </w:p>
        </w:tc>
        <w:tc>
          <w:tcPr>
            <w:tcW w:type="dxa" w:w="94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THR-19</w:t>
            </w:r>
          </w:p>
        </w:tc>
      </w:tr>
      <w:tr>
        <w:trPr>
          <w:cantSplit/>
        </w:trPr>
        <w:tc>
          <w:tcPr>
            <w:tcW w:type="dxa" w:w="94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O24-T3</w:t>
            </w:r>
          </w:p>
        </w:tc>
        <w:tc>
          <w:tcPr>
            <w:tcW w:type="dxa" w:w="145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قراءة تجزئة سجل الكلمات</w:t>
            </w:r>
          </w:p>
        </w:tc>
        <w:tc>
          <w:tcPr>
            <w:tcW w:type="dxa" w:w="223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SELECT PasswordHash من sec.UserPasswordHistory</w:t>
            </w:r>
          </w:p>
        </w:tc>
        <w:tc>
          <w:tcPr>
            <w:tcW w:type="dxa" w:w="427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230 (اليوم ممنوح: db/generated/tsql/007_table_grants.sql:46)</w:t>
            </w:r>
          </w:p>
        </w:tc>
        <w:tc>
          <w:tcPr>
            <w:tcW w:type="dxa" w:w="94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THR-20</w:t>
            </w:r>
          </w:p>
        </w:tc>
      </w:tr>
      <w:tr>
        <w:trPr>
          <w:cantSplit/>
        </w:trPr>
        <w:tc>
          <w:tcPr>
            <w:tcW w:type="dxa" w:w="94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O24-T4</w:t>
            </w:r>
          </w:p>
        </w:tc>
        <w:tc>
          <w:tcPr>
            <w:tcW w:type="dxa" w:w="145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حذف أثر الدخول</w:t>
            </w:r>
          </w:p>
        </w:tc>
        <w:tc>
          <w:tcPr>
            <w:tcW w:type="dxa" w:w="223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DELETE من sec.LoginAttempt؛ ثم دخول ناجح وفاشل</w:t>
            </w:r>
          </w:p>
        </w:tc>
        <w:tc>
          <w:tcPr>
            <w:tcW w:type="dxa" w:w="427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229 (اليوم ممنوح: db/generated/tsql/005_delete_grants.sql:11)؛ وصف لكل نتيجة في aud.AuditLog</w:t>
            </w:r>
          </w:p>
        </w:tc>
        <w:tc>
          <w:tcPr>
            <w:tcW w:type="dxa" w:w="94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THR-30</w:t>
            </w:r>
          </w:p>
        </w:tc>
      </w:tr>
      <w:tr>
        <w:trPr>
          <w:cantSplit/>
        </w:trPr>
        <w:tc>
          <w:tcPr>
            <w:tcW w:type="dxa" w:w="94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O24-T5</w:t>
            </w:r>
          </w:p>
        </w:tc>
        <w:tc>
          <w:tcPr>
            <w:tcW w:type="dxa" w:w="145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قراءة تجزئات رموز الاسترداد</w:t>
            </w:r>
          </w:p>
        </w:tc>
        <w:tc>
          <w:tcPr>
            <w:tcW w:type="dxa" w:w="223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SELECT CodeHash من sec.MfaRecoveryCode</w:t>
            </w:r>
          </w:p>
        </w:tc>
        <w:tc>
          <w:tcPr>
            <w:tcW w:type="dxa" w:w="427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230 (اليوم ممنوح: 007:42)؛ والاستهلاك بالإجراء مرة واحدة (T-S04-12)</w:t>
            </w:r>
          </w:p>
        </w:tc>
        <w:tc>
          <w:tcPr>
            <w:tcW w:type="dxa" w:w="94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R5 في DOC-S03 §12</w:t>
            </w:r>
          </w:p>
        </w:tc>
      </w:tr>
      <w:tr>
        <w:trPr>
          <w:cantSplit/>
        </w:trPr>
        <w:tc>
          <w:tcPr>
            <w:tcW w:type="dxa" w:w="94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O24-T6</w:t>
            </w:r>
          </w:p>
        </w:tc>
        <w:tc>
          <w:tcPr>
            <w:tcW w:type="dxa" w:w="145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إعادة فتح جلسة منهاة</w:t>
            </w:r>
          </w:p>
        </w:tc>
        <w:tc>
          <w:tcPr>
            <w:tcW w:type="dxa" w:w="223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UPDATE EndedAt = NULL على جلسة منهاة</w:t>
            </w:r>
          </w:p>
        </w:tc>
        <w:tc>
          <w:tcPr>
            <w:tcW w:type="dxa" w:w="427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230؛ والإنهاء بـ sec.usp_EndSession يسحب الربط كما في T37</w:t>
            </w:r>
          </w:p>
        </w:tc>
        <w:tc>
          <w:tcPr>
            <w:tcW w:type="dxa" w:w="94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THR-22</w:t>
            </w:r>
          </w:p>
        </w:tc>
      </w:tr>
      <w:tr>
        <w:trPr>
          <w:cantSplit/>
        </w:trPr>
        <w:tc>
          <w:tcPr>
            <w:tcW w:type="dxa" w:w="94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O24-T7</w:t>
            </w:r>
          </w:p>
        </w:tc>
        <w:tc>
          <w:tcPr>
            <w:tcW w:type="dxa" w:w="145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تمديد الخمول</w:t>
            </w:r>
          </w:p>
        </w:tc>
        <w:tc>
          <w:tcPr>
            <w:tcW w:type="dxa" w:w="223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UPDATE IdleExpiresAt بعد AbsoluteExpiresAt</w:t>
            </w:r>
          </w:p>
        </w:tc>
        <w:tc>
          <w:tcPr>
            <w:tcW w:type="dxa" w:w="427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230 إن قُرّر الحجب؛ وإلا يقصّه الإجراء عند المهلة المطلقة (DQ-F04-8)</w:t>
            </w:r>
          </w:p>
        </w:tc>
        <w:tc>
          <w:tcPr>
            <w:tcW w:type="dxa" w:w="94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THR-22</w:t>
            </w:r>
          </w:p>
        </w:tc>
      </w:tr>
      <w:tr>
        <w:trPr>
          <w:cantSplit/>
        </w:trPr>
        <w:tc>
          <w:tcPr>
            <w:tcW w:type="dxa" w:w="94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O24-T8</w:t>
            </w:r>
          </w:p>
        </w:tc>
        <w:tc>
          <w:tcPr>
            <w:tcW w:type="dxa" w:w="145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لا حد لإخفاقات MFA</w:t>
            </w:r>
          </w:p>
        </w:tc>
        <w:tc>
          <w:tcPr>
            <w:tcW w:type="dxa" w:w="223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خمسة استدعاءات فاشلة لـ sec.usp_ConfirmMfa</w:t>
            </w:r>
          </w:p>
        </w:tc>
        <w:tc>
          <w:tcPr>
            <w:tcW w:type="dxa" w:w="427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الجلسة منهاة والربط مرفوض 50003 (T-S04-8)</w:t>
            </w:r>
          </w:p>
        </w:tc>
        <w:tc>
          <w:tcPr>
            <w:tcW w:type="dxa" w:w="94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THR-05، THR-21</w:t>
            </w:r>
          </w:p>
        </w:tc>
      </w:tr>
      <w:tr>
        <w:trPr>
          <w:cantSplit/>
        </w:trPr>
        <w:tc>
          <w:tcPr>
            <w:tcW w:type="dxa" w:w="94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O24-T9</w:t>
            </w:r>
          </w:p>
        </w:tc>
        <w:tc>
          <w:tcPr>
            <w:tcW w:type="dxa" w:w="145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ربط مستخدم MfaEnabled = 0</w:t>
            </w:r>
          </w:p>
        </w:tc>
        <w:tc>
          <w:tcPr>
            <w:tcW w:type="dxa" w:w="223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جلسة لمستخدم ACTIVE بلا MFA خارج حالة التسجيل</w:t>
            </w:r>
          </w:p>
        </w:tc>
        <w:tc>
          <w:tcPr>
            <w:tcW w:type="dxa" w:w="427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الربط مرفوض 50003 (T-S04-10، DQ-F03-4)</w:t>
            </w:r>
          </w:p>
        </w:tc>
        <w:tc>
          <w:tcPr>
            <w:tcW w:type="dxa" w:w="94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THR-06</w:t>
            </w:r>
          </w:p>
        </w:tc>
      </w:tr>
    </w:tbl>
    <w:p>
      <w:pPr>
        <w:bidi/>
        <w:spacing w:after="120" w:before="0"/>
      </w:pPr>
    </w:p>
    <w:p>
      <w:pPr>
        <w:pStyle w:val="Heading2"/>
        <w:bidi/>
      </w:pPr>
      <w:bookmarkStart w:name="_sec19" w:id="19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10.2 مخاطر مفتوحة أخرى</w:t>
      </w:r>
      <w:bookmarkEnd w:id="19"/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44"/>
        <w:gridCol w:w="4135"/>
        <w:gridCol w:w="1913"/>
        <w:gridCol w:w="1272"/>
      </w:tblGrid>
      <w:tr>
        <w:trPr>
          <w:cantSplit/>
          <w:tblHeader/>
        </w:trPr>
        <w:tc>
          <w:tcPr>
            <w:tcW w:type="dxa" w:w="25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البند</w:t>
            </w:r>
          </w:p>
        </w:tc>
        <w:tc>
          <w:tcPr>
            <w:tcW w:type="dxa" w:w="413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الحالة المقترحة</w:t>
            </w:r>
          </w:p>
        </w:tc>
        <w:tc>
          <w:tcPr>
            <w:tcW w:type="dxa" w:w="191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المتوقع</w:t>
            </w:r>
          </w:p>
        </w:tc>
        <w:tc>
          <w:tcPr>
            <w:tcW w:type="dxa" w:w="127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متى</w:t>
            </w:r>
          </w:p>
        </w:tc>
      </w:tr>
      <w:tr>
        <w:trPr>
          <w:cantSplit/>
        </w:trPr>
        <w:tc>
          <w:tcPr>
            <w:tcW w:type="dxa" w:w="25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O-18 (erd_open_items)</w:t>
            </w:r>
          </w:p>
        </w:tc>
        <w:tc>
          <w:tcPr>
            <w:tcW w:type="dxa" w:w="413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دخول عضو غير مدير الحساب إلى مشترك SUSPENDED</w:t>
            </w:r>
          </w:p>
        </w:tc>
        <w:tc>
          <w:tcPr>
            <w:tcW w:type="dxa" w:w="191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يتبع القرار: (أ) 50003 لغير المدير، أو (ب) 50002 للجميع؛ ويُعدَّل T27</w:t>
            </w:r>
          </w:p>
        </w:tc>
        <w:tc>
          <w:tcPr>
            <w:tcW w:type="dxa" w:w="127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بعد القرار في DOC-F04</w:t>
            </w:r>
          </w:p>
        </w:tc>
      </w:tr>
      <w:tr>
        <w:trPr>
          <w:cantSplit/>
        </w:trPr>
        <w:tc>
          <w:tcPr>
            <w:tcW w:type="dxa" w:w="25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O-19 (erd_open_items)</w:t>
            </w:r>
          </w:p>
        </w:tc>
        <w:tc>
          <w:tcPr>
            <w:tcW w:type="dxa" w:w="413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إدراج صف تدقيق TenantId فارغ من اتصال مشترك</w:t>
            </w:r>
          </w:p>
        </w:tc>
        <w:tc>
          <w:tcPr>
            <w:tcW w:type="dxa" w:w="191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33504</w:t>
            </w:r>
          </w:p>
        </w:tc>
        <w:tc>
          <w:tcPr>
            <w:tcW w:type="dxa" w:w="127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بعد DQ-S01-5</w:t>
            </w:r>
          </w:p>
        </w:tc>
      </w:tr>
      <w:tr>
        <w:trPr>
          <w:cantSplit/>
        </w:trPr>
        <w:tc>
          <w:tcPr>
            <w:tcW w:type="dxa" w:w="25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O-20 (erd_open_items)</w:t>
            </w:r>
          </w:p>
        </w:tc>
        <w:tc>
          <w:tcPr>
            <w:tcW w:type="dxa" w:w="413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صف مشترك يشير إلى ref.UcpArticle لمشترك آخر</w:t>
            </w:r>
          </w:p>
        </w:tc>
        <w:tc>
          <w:tcPr>
            <w:tcW w:type="dxa" w:w="191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رفض قبل القيد، بلا 547 يكشف الوجود</w:t>
            </w:r>
          </w:p>
        </w:tc>
        <w:tc>
          <w:tcPr>
            <w:tcW w:type="dxa" w:w="127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بعد إضافة الفحص</w:t>
            </w:r>
          </w:p>
        </w:tc>
      </w:tr>
      <w:tr>
        <w:trPr>
          <w:cantSplit/>
        </w:trPr>
        <w:tc>
          <w:tcPr>
            <w:tcW w:type="dxa" w:w="25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O-21 (erd_open_items)</w:t>
            </w:r>
          </w:p>
        </w:tc>
        <w:tc>
          <w:tcPr>
            <w:tcW w:type="dxa" w:w="413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قبول متبقٍّ</w:t>
            </w:r>
          </w:p>
        </w:tc>
        <w:tc>
          <w:tcPr>
            <w:tcW w:type="dxa" w:w="191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X9 يثبت أن TenantId لا يأتي من الطلب، وV-PLT-07 لا يعمل إلا داخل المشترك</w:t>
            </w:r>
          </w:p>
        </w:tc>
        <w:tc>
          <w:tcPr>
            <w:tcW w:type="dxa" w:w="127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مع نقاط S0</w:t>
            </w:r>
          </w:p>
        </w:tc>
      </w:tr>
      <w:tr>
        <w:trPr>
          <w:cantSplit/>
        </w:trPr>
        <w:tc>
          <w:tcPr>
            <w:tcW w:type="dxa" w:w="25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O-22 (erd_open_items)</w:t>
            </w:r>
          </w:p>
        </w:tc>
        <w:tc>
          <w:tcPr>
            <w:tcW w:type="dxa" w:w="413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وحدة يملكها dbo تستدعي sec.usp_SetSessionContext؛ مؤشر مفتوح بعد السحب</w:t>
            </w:r>
          </w:p>
        </w:tc>
        <w:tc>
          <w:tcPr>
            <w:tcW w:type="dxa" w:w="191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فحص ثابت يرفض الوحدة (THR-35)؛ التطبيق يغلق القارئ ويعيد الاتصال؛ 50002 و50003 بالاستجابة نفسها (DQ-B04-8)</w:t>
            </w:r>
          </w:p>
        </w:tc>
        <w:tc>
          <w:tcPr>
            <w:tcW w:type="dxa" w:w="127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الفحص الآن؛ الباقي مع التطبيق</w:t>
            </w:r>
          </w:p>
        </w:tc>
      </w:tr>
      <w:tr>
        <w:trPr>
          <w:cantSplit/>
        </w:trPr>
        <w:tc>
          <w:tcPr>
            <w:tcW w:type="dxa" w:w="25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DR-15، DR-17، DR-11، DR-14</w:t>
            </w:r>
          </w:p>
        </w:tc>
        <w:tc>
          <w:tcPr>
            <w:tcW w:type="dxa" w:w="413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منحة دعم بنافذة خارج 1-72 ساعة؛ إعداد أضعف من حده؛ تعديل StorageKey أو Sha256؛ حذف حدث DEAD</w:t>
            </w:r>
          </w:p>
        </w:tc>
        <w:tc>
          <w:tcPr>
            <w:tcW w:type="dxa" w:w="191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رفض بقيد أو محفّز أو DENY</w:t>
            </w:r>
          </w:p>
        </w:tc>
        <w:tc>
          <w:tcPr>
            <w:tcW w:type="dxa" w:w="127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عند إصلاح كل نتيجة (THR-14، THR-28، THR-29، THR-33)</w:t>
            </w:r>
          </w:p>
        </w:tc>
      </w:tr>
      <w:tr>
        <w:trPr>
          <w:cantSplit/>
        </w:trPr>
        <w:tc>
          <w:tcPr>
            <w:tcW w:type="dxa" w:w="25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THR-31</w:t>
            </w:r>
          </w:p>
        </w:tc>
        <w:tc>
          <w:tcPr>
            <w:tcW w:type="dxa" w:w="413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tp_app يعدّل WrappedKey في sec.TenantKey</w:t>
            </w:r>
          </w:p>
        </w:tc>
        <w:tc>
          <w:tcPr>
            <w:tcW w:type="dxa" w:w="191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230 بعد نقل الكتابة إلى إجراء</w:t>
            </w:r>
          </w:p>
        </w:tc>
        <w:tc>
          <w:tcPr>
            <w:tcW w:type="dxa" w:w="127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مع DOC-S02</w:t>
            </w:r>
          </w:p>
        </w:tc>
      </w:tr>
    </w:tbl>
    <w:p>
      <w:pPr>
        <w:bidi/>
        <w:spacing w:after="120" w:before="0"/>
      </w:pPr>
    </w:p>
    <w:p>
      <w:pPr>
        <w:pStyle w:val="Heading1"/>
        <w:bidi/>
      </w:pPr>
      <w:bookmarkStart w:name="_sec20" w:id="20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11. البوابات لكل شريحة</w:t>
      </w:r>
      <w:bookmarkEnd w:id="20"/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0"/>
        <w:gridCol w:w="8834"/>
      </w:tblGrid>
      <w:tr>
        <w:trPr>
          <w:cantSplit/>
          <w:tblHeader/>
        </w:trPr>
        <w:tc>
          <w:tcPr>
            <w:tcW w:type="dxa" w:w="103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الشريحة</w:t>
            </w:r>
          </w:p>
        </w:tc>
        <w:tc>
          <w:tcPr>
            <w:tcW w:type="dxa" w:w="883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الشرط الأمني للخروج</w:t>
            </w:r>
          </w:p>
        </w:tc>
      </w:tr>
      <w:tr>
        <w:trPr>
          <w:cantSplit/>
        </w:trPr>
        <w:tc>
          <w:tcPr>
            <w:tcW w:type="dxa" w:w="103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S0</w:t>
            </w:r>
          </w:p>
        </w:tc>
        <w:tc>
          <w:tcPr>
            <w:tcW w:type="dxa" w:w="883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L1 وL2 خضراء؛ X1 إلى X11 لكل عملية S0 في OpenAPI المولَّد؛ SEC-SES وSEC-CSRF وSEC-HDR خضراء في بيئة الاختبار؛ O24-T1 إلى O24-T9 مضافة وتمر، لأن DQ-S01-2 يضع إغلاق O-24 قبل كود الدخول؛ لا نتيجة عالية في L7؛ مراجعة فصول V3 وV6 وV7 وV8 من القائمة</w:t>
            </w:r>
          </w:p>
        </w:tc>
      </w:tr>
      <w:tr>
        <w:trPr>
          <w:cantSplit/>
        </w:trPr>
        <w:tc>
          <w:tcPr>
            <w:tcW w:type="dxa" w:w="103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S1</w:t>
            </w:r>
          </w:p>
        </w:tc>
        <w:tc>
          <w:tcPr>
            <w:tcW w:type="dxa" w:w="883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حالات X لكل نقطة جديدة؛ مسح الاستجابات للقيم المقنّعة (الهويات والحسابات)؛ T24 يمر بجداول S1</w:t>
            </w:r>
          </w:p>
        </w:tc>
      </w:tr>
      <w:tr>
        <w:trPr>
          <w:cantSplit/>
        </w:trPr>
        <w:tc>
          <w:tcPr>
            <w:tcW w:type="dxa" w:w="103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S2</w:t>
            </w:r>
          </w:p>
        </w:tc>
        <w:tc>
          <w:tcPr>
            <w:tcW w:type="dxa" w:w="883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ما سبق، وحالات V2 للحجز المتزامن (NFR-PERF-03)؛ بيانات DOC-B06 جاهزة</w:t>
            </w:r>
          </w:p>
        </w:tc>
      </w:tr>
      <w:tr>
        <w:trPr>
          <w:cantSplit/>
        </w:trPr>
        <w:tc>
          <w:tcPr>
            <w:tcW w:type="dxa" w:w="103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S3 وS4</w:t>
            </w:r>
          </w:p>
        </w:tc>
        <w:tc>
          <w:tcPr>
            <w:tcW w:type="dxa" w:w="883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فصل المهام 403؛ مسح استجابات الطالب والمبيعات (docs/10-detailed-analysis/14-m7-m8-letters-of-credit.md:666)</w:t>
            </w:r>
          </w:p>
        </w:tc>
      </w:tr>
      <w:tr>
        <w:trPr>
          <w:cantSplit/>
        </w:trPr>
        <w:tc>
          <w:tcPr>
            <w:tcW w:type="dxa" w:w="103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قبل التجربة</w:t>
            </w:r>
          </w:p>
        </w:tc>
        <w:tc>
          <w:tcPr>
            <w:tcW w:type="dxa" w:w="883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قائمة ASVS المستوى 2 مكتملة بلا فشل غير مقبول؛ اختبار الاختراق بلا حرج أو عالٍ مفتوح بعد إعادة الاختبار (NFR-SEC-18)؛ فحص إعدادات الإنتاج</w:t>
            </w:r>
          </w:p>
        </w:tc>
      </w:tr>
    </w:tbl>
    <w:p>
      <w:pPr>
        <w:bidi/>
        <w:spacing w:after="120" w:before="0"/>
      </w:pPr>
    </w:p>
    <w:p>
      <w:pPr>
        <w:pStyle w:val="Heading1"/>
        <w:bidi/>
      </w:pPr>
      <w:bookmarkStart w:name="_sec21" w:id="21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12. القرارات المطلوبة</w:t>
      </w:r>
      <w:bookmarkEnd w:id="21"/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92"/>
        <w:gridCol w:w="1579"/>
        <w:gridCol w:w="4310"/>
        <w:gridCol w:w="960"/>
        <w:gridCol w:w="1723"/>
      </w:tblGrid>
      <w:tr>
        <w:trPr>
          <w:cantSplit/>
          <w:tblHeader/>
        </w:trPr>
        <w:tc>
          <w:tcPr>
            <w:tcW w:type="dxa" w:w="12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المعرّف</w:t>
            </w:r>
          </w:p>
        </w:tc>
        <w:tc>
          <w:tcPr>
            <w:tcW w:type="dxa" w:w="157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السؤال</w:t>
            </w:r>
          </w:p>
        </w:tc>
        <w:tc>
          <w:tcPr>
            <w:tcW w:type="dxa" w:w="431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الافتراض المقترح</w:t>
            </w:r>
          </w:p>
        </w:tc>
        <w:tc>
          <w:tcPr>
            <w:tcW w:type="dxa" w:w="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من يقرر</w:t>
            </w:r>
          </w:p>
        </w:tc>
        <w:tc>
          <w:tcPr>
            <w:tcW w:type="dxa" w:w="172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ما يعطّله</w:t>
            </w:r>
          </w:p>
        </w:tc>
      </w:tr>
      <w:tr>
        <w:trPr>
          <w:cantSplit/>
        </w:trPr>
        <w:tc>
          <w:tcPr>
            <w:tcW w:type="dxa" w:w="12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DQ-S13-1</w:t>
            </w:r>
          </w:p>
        </w:tc>
        <w:tc>
          <w:tcPr>
            <w:tcW w:type="dxa" w:w="157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إصدار ASVS المعتمد</w:t>
            </w:r>
          </w:p>
        </w:tc>
        <w:tc>
          <w:tcPr>
            <w:tcW w:type="dxa" w:w="431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الإصدار 5.0، وتُطابق أرقام الفصول على نصه</w:t>
            </w:r>
          </w:p>
        </w:tc>
        <w:tc>
          <w:tcPr>
            <w:tcW w:type="dxa" w:w="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SEC</w:t>
            </w:r>
          </w:p>
        </w:tc>
        <w:tc>
          <w:tcPr>
            <w:tcW w:type="dxa" w:w="172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§6، قائمة الفحص</w:t>
            </w:r>
          </w:p>
        </w:tc>
      </w:tr>
      <w:tr>
        <w:trPr>
          <w:cantSplit/>
        </w:trPr>
        <w:tc>
          <w:tcPr>
            <w:tcW w:type="dxa" w:w="12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DQ-S13-2</w:t>
            </w:r>
          </w:p>
        </w:tc>
        <w:tc>
          <w:tcPr>
            <w:tcW w:type="dxa" w:w="157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شكل قائمة فحص ASVS ومكانها</w:t>
            </w:r>
          </w:p>
        </w:tc>
        <w:tc>
          <w:tcPr>
            <w:tcW w:type="dxa" w:w="431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ملف في المستودع بسطر لكل متطلب من المستوى 2: ينطبق، الدليل، النتيجة، التاريخ؛ يُراجع عند خروج كل شريحة</w:t>
            </w:r>
          </w:p>
        </w:tc>
        <w:tc>
          <w:tcPr>
            <w:tcW w:type="dxa" w:w="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SEC مع QA</w:t>
            </w:r>
          </w:p>
        </w:tc>
        <w:tc>
          <w:tcPr>
            <w:tcW w:type="dxa" w:w="172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بوابات §11</w:t>
            </w:r>
          </w:p>
        </w:tc>
      </w:tr>
      <w:tr>
        <w:trPr>
          <w:cantSplit/>
        </w:trPr>
        <w:tc>
          <w:tcPr>
            <w:tcW w:type="dxa" w:w="12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DQ-S13-3</w:t>
            </w:r>
          </w:p>
        </w:tc>
        <w:tc>
          <w:tcPr>
            <w:tcW w:type="dxa" w:w="157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امتدادات OpenAPI لتوليد حالات X</w:t>
            </w:r>
          </w:p>
        </w:tc>
        <w:tc>
          <w:tcPr>
            <w:tcW w:type="dxa" w:w="431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x-permission (قائم في DOC-B04)، وx-company-scoped، وx-module</w:t>
            </w:r>
          </w:p>
        </w:tc>
        <w:tc>
          <w:tcPr>
            <w:tcW w:type="dxa" w:w="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APP</w:t>
            </w:r>
          </w:p>
        </w:tc>
        <w:tc>
          <w:tcPr>
            <w:tcW w:type="dxa" w:w="172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L4</w:t>
            </w:r>
          </w:p>
        </w:tc>
      </w:tr>
      <w:tr>
        <w:trPr>
          <w:cantSplit/>
        </w:trPr>
        <w:tc>
          <w:tcPr>
            <w:tcW w:type="dxa" w:w="12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DQ-S13-4</w:t>
            </w:r>
          </w:p>
        </w:tc>
        <w:tc>
          <w:tcPr>
            <w:tcW w:type="dxa" w:w="157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مفتاح اختبار غياب السياق X2</w:t>
            </w:r>
          </w:p>
        </w:tc>
        <w:tc>
          <w:tcPr>
            <w:tcW w:type="dxa" w:w="431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مصنع اتصالات للاختبار يتخطى usp_SetSessionContext، يُبنى في مشروع الاختبار وحده؛ فحص البناء يرفض وجوده في حزمة الإنتاج</w:t>
            </w:r>
          </w:p>
        </w:tc>
        <w:tc>
          <w:tcPr>
            <w:tcW w:type="dxa" w:w="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APP مع SEC</w:t>
            </w:r>
          </w:p>
        </w:tc>
        <w:tc>
          <w:tcPr>
            <w:tcW w:type="dxa" w:w="172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X2</w:t>
            </w:r>
          </w:p>
        </w:tc>
      </w:tr>
      <w:tr>
        <w:trPr>
          <w:cantSplit/>
        </w:trPr>
        <w:tc>
          <w:tcPr>
            <w:tcW w:type="dxa" w:w="12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DQ-S13-5</w:t>
            </w:r>
          </w:p>
        </w:tc>
        <w:tc>
          <w:tcPr>
            <w:tcW w:type="dxa" w:w="157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أداة الفحص الديناميكي ومزوّد اختبار الاختراق</w:t>
            </w:r>
          </w:p>
        </w:tc>
        <w:tc>
          <w:tcPr>
            <w:tcW w:type="dxa" w:w="431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Segoe UI Emoji" w:cs="Segoe UI Emoji" w:eastAsia="Segoe UI Emoji" w:hAnsi="Segoe UI Emoji"/>
                <w:sz w:val="18"/>
                <w:szCs w:val="18"/>
                <w:rtl/>
              </w:rPr>
              <w:t xml:space="preserve">✅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معتمد من المالك (2026-10-12): فاحص DAST مفتوح المصدر، مثل OWASP ZAP، في بيئة الاختبار؛ ومزوّد اختبار خارجي مستقل يختاره OWN</w:t>
            </w:r>
          </w:p>
        </w:tc>
        <w:tc>
          <w:tcPr>
            <w:tcW w:type="dxa" w:w="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OWN مع SEC</w:t>
            </w:r>
          </w:p>
        </w:tc>
        <w:tc>
          <w:tcPr>
            <w:tcW w:type="dxa" w:w="172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L7، §9</w:t>
            </w:r>
          </w:p>
        </w:tc>
      </w:tr>
      <w:tr>
        <w:trPr>
          <w:cantSplit/>
        </w:trPr>
        <w:tc>
          <w:tcPr>
            <w:tcW w:type="dxa" w:w="12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DQ-S13-6</w:t>
            </w:r>
          </w:p>
        </w:tc>
        <w:tc>
          <w:tcPr>
            <w:tcW w:type="dxa" w:w="157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موضع حالات السياسة الجديدة في القاعدة</w:t>
            </w:r>
          </w:p>
        </w:tc>
        <w:tc>
          <w:tcPr>
            <w:tcW w:type="dxa" w:w="431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ملف db/tests/auth_policy_tests.sql بخطوة CI مستقلة وعدّاد خاص</w:t>
            </w:r>
          </w:p>
        </w:tc>
        <w:tc>
          <w:tcPr>
            <w:tcW w:type="dxa" w:w="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DBA</w:t>
            </w:r>
          </w:p>
        </w:tc>
        <w:tc>
          <w:tcPr>
            <w:tcW w:type="dxa" w:w="172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§8</w:t>
            </w:r>
          </w:p>
        </w:tc>
      </w:tr>
      <w:tr>
        <w:trPr>
          <w:cantSplit/>
        </w:trPr>
        <w:tc>
          <w:tcPr>
            <w:tcW w:type="dxa" w:w="12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DQ-S13-7</w:t>
            </w:r>
          </w:p>
        </w:tc>
        <w:tc>
          <w:tcPr>
            <w:tcW w:type="dxa" w:w="157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حد فرق الزمن في SEC-AUTH-02</w:t>
            </w:r>
          </w:p>
        </w:tc>
        <w:tc>
          <w:tcPr>
            <w:tcW w:type="dxa" w:w="431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فرق الوسيطين ≤ 50 مللي ثانية على 200 محاولة لكل نوع</w:t>
            </w:r>
          </w:p>
        </w:tc>
        <w:tc>
          <w:tcPr>
            <w:tcW w:type="dxa" w:w="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SEC</w:t>
            </w:r>
          </w:p>
        </w:tc>
        <w:tc>
          <w:tcPr>
            <w:tcW w:type="dxa" w:w="172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SEC-AUTH-02، THR-02</w:t>
            </w:r>
          </w:p>
        </w:tc>
      </w:tr>
      <w:tr>
        <w:trPr>
          <w:cantSplit/>
        </w:trPr>
        <w:tc>
          <w:tcPr>
            <w:tcW w:type="dxa" w:w="12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DQ-S13-8</w:t>
            </w:r>
          </w:p>
        </w:tc>
        <w:tc>
          <w:tcPr>
            <w:tcW w:type="dxa" w:w="157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حقل TenantId أو حقل مجهول في الجسم</w:t>
            </w:r>
          </w:p>
        </w:tc>
        <w:tc>
          <w:tcPr>
            <w:tcW w:type="dxa" w:w="431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رفض 400 MALFORMED_REQUEST، لا إهمال صامت</w:t>
            </w:r>
          </w:p>
        </w:tc>
        <w:tc>
          <w:tcPr>
            <w:tcW w:type="dxa" w:w="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APP</w:t>
            </w:r>
          </w:p>
        </w:tc>
        <w:tc>
          <w:tcPr>
            <w:tcW w:type="dxa" w:w="172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X9</w:t>
            </w:r>
          </w:p>
        </w:tc>
      </w:tr>
      <w:tr>
        <w:trPr>
          <w:cantSplit/>
        </w:trPr>
        <w:tc>
          <w:tcPr>
            <w:tcW w:type="dxa" w:w="12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DQ-S13-9</w:t>
            </w:r>
          </w:p>
        </w:tc>
        <w:tc>
          <w:tcPr>
            <w:tcW w:type="dxa" w:w="157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لا THR في DOC-S01 لكتابة مشترك صفًا عامًا في جدول مختلط</w:t>
            </w:r>
          </w:p>
        </w:tc>
        <w:tc>
          <w:tcPr>
            <w:tcW w:type="dxa" w:w="431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إضافة تهديد T لحد TB-3 ضابطه T10 إلى T12 في تحديث DOC-S01</w:t>
            </w:r>
          </w:p>
        </w:tc>
        <w:tc>
          <w:tcPr>
            <w:tcW w:type="dxa" w:w="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SEC</w:t>
            </w:r>
          </w:p>
        </w:tc>
        <w:tc>
          <w:tcPr>
            <w:tcW w:type="dxa" w:w="172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§4</w:t>
            </w:r>
          </w:p>
        </w:tc>
      </w:tr>
      <w:tr>
        <w:trPr>
          <w:cantSplit/>
        </w:trPr>
        <w:tc>
          <w:tcPr>
            <w:tcW w:type="dxa" w:w="12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DQ-S13-10</w:t>
            </w:r>
          </w:p>
        </w:tc>
        <w:tc>
          <w:tcPr>
            <w:tcW w:type="dxa" w:w="157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بيئة اختبار الاختراق وتكراره</w:t>
            </w:r>
          </w:p>
        </w:tc>
        <w:tc>
          <w:tcPr>
            <w:tcW w:type="dxa" w:w="431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Segoe UI Emoji" w:cs="Segoe UI Emoji" w:eastAsia="Segoe UI Emoji" w:hAnsi="Segoe UI Emoji"/>
                <w:sz w:val="18"/>
                <w:szCs w:val="18"/>
                <w:rtl/>
              </w:rPr>
              <w:t xml:space="preserve">✅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معتمد من المالك (2026-10-12): نسخة معزولة ببيانات اصطناعية، قبل قرار التجربة بثلاثة أسابيع على الأقل لإتاحة الإصلاح وإعادة الاختبار، ثم سنويًا</w:t>
            </w:r>
          </w:p>
        </w:tc>
        <w:tc>
          <w:tcPr>
            <w:tcW w:type="dxa" w:w="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OWN مع SEC</w:t>
            </w:r>
          </w:p>
        </w:tc>
        <w:tc>
          <w:tcPr>
            <w:tcW w:type="dxa" w:w="172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§9، DOC-B12</w:t>
            </w:r>
          </w:p>
        </w:tc>
      </w:tr>
      <w:tr>
        <w:trPr>
          <w:cantSplit/>
        </w:trPr>
        <w:tc>
          <w:tcPr>
            <w:tcW w:type="dxa" w:w="12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DQ-S13-11</w:t>
            </w:r>
          </w:p>
        </w:tc>
        <w:tc>
          <w:tcPr>
            <w:tcW w:type="dxa" w:w="157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مصدر معرّف الارتباط (§13 البند 3)</w:t>
            </w:r>
          </w:p>
        </w:tc>
        <w:tc>
          <w:tcPr>
            <w:tcW w:type="dxa" w:w="431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يولّده الخادم دائمًا ولا يُعتمد ما يرسله العميل، كما في DOC-S03 §8</w:t>
            </w:r>
          </w:p>
        </w:tc>
        <w:tc>
          <w:tcPr>
            <w:tcW w:type="dxa" w:w="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SA</w:t>
            </w:r>
          </w:p>
        </w:tc>
        <w:tc>
          <w:tcPr>
            <w:tcW w:type="dxa" w:w="172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SEC-ERR-01، NFR-OPS-01</w:t>
            </w:r>
          </w:p>
        </w:tc>
      </w:tr>
    </w:tbl>
    <w:p>
      <w:pPr>
        <w:bidi/>
        <w:spacing w:after="120" w:before="0"/>
      </w:pPr>
    </w:p>
    <w:p>
      <w:pPr>
        <w:pStyle w:val="Heading1"/>
        <w:bidi/>
      </w:pPr>
      <w:bookmarkStart w:name="_sec22" w:id="22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13. تعارضات وفجوات في المصادر</w:t>
      </w:r>
      <w:bookmarkEnd w:id="22"/>
    </w:p>
    <w:p>
      <w:pPr>
        <w:pStyle w:val="ListParagraph"/>
        <w:numPr>
          <w:ilvl w:val="0"/>
          <w:numId w:val="5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docs/30-readiness-documents.md:312 يذكر 34 سطر PASS وأن db_ci.sh يتحقق من 34، والعدد الفعلي 41 (tools/ci/db_ci.sh:88)، وO-09 يذكر 41 أيضًا (tools/dbgen/erd_open_items.py:63).</w:t>
      </w:r>
    </w:p>
    <w:p>
      <w:pPr>
        <w:pStyle w:val="ListParagraph"/>
        <w:numPr>
          <w:ilvl w:val="0"/>
          <w:numId w:val="5"/>
        </w:numPr>
        <w:bidi/>
        <w:spacing w:after="70" w:before="0" w:line="300"/>
      </w:pPr>
      <w:r>
        <w:rPr>
          <w:rFonts w:ascii="Segoe UI Emoji" w:cs="Segoe UI Emoji" w:eastAsia="Segoe UI Emoji" w:hAnsi="Segoe UI Emoji"/>
          <w:sz w:val="21"/>
          <w:szCs w:val="21"/>
          <w:rtl/>
        </w:rPr>
        <w:t xml:space="preserve">✅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صُحّح (2026-10-12): السجل docs/30-readiness-documents.md يسمّي الآن ../.github/workflows/treasury-db-ci.yml (جذر المستودع) بدل الملف المحذوف .github/workflows/db-ci.yml.</w:t>
      </w:r>
    </w:p>
    <w:p>
      <w:pPr>
        <w:pStyle w:val="ListParagraph"/>
        <w:numPr>
          <w:ilvl w:val="0"/>
          <w:numId w:val="5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docs/30-readiness/DOC-B04-api-contract-and-error-model.md:62 يقبل X-Correlation-Id من العميل ويولّده الخادم إن غاب، وdocs/30-readiness/DOC-S03-security-architecture-auth-sessions.md:132 يقول إن التطبيق لا يقبله من المتصفح (DQ-S13-11).</w:t>
      </w:r>
    </w:p>
    <w:p>
      <w:pPr>
        <w:pStyle w:val="ListParagraph"/>
        <w:numPr>
          <w:ilvl w:val="0"/>
          <w:numId w:val="5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هيكل OpenAPI في DOC-B04 §12 لا يضم نقاط المستندات والتدقيق والإعدادات والترقيم والمهام ووصول الدعم، مع أن FR-PLT-007 وFR-PLT-022 إلى FR-PLT-030 وFR-PLT-043 وFR-PLT-044 في S0 (docs/10-detailed-analysis/10-m0-m1-platform-organization.md:109-146).</w:t>
      </w:r>
    </w:p>
    <w:p>
      <w:pPr>
        <w:pStyle w:val="ListParagraph"/>
        <w:numPr>
          <w:ilvl w:val="0"/>
          <w:numId w:val="5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توقيت اختبار الاختراق: docs/10-detailed-analysis/00-overview-and-cross-cutting.md:217 يقول «قبل الإطلاق»، وdocs/10-detailed-analysis/10-m0-m1-platform-organization.md:591 يقول «قبل التجربة (S5)». نعتمد الأبكر.</w:t>
      </w:r>
    </w:p>
    <w:p>
      <w:pPr>
        <w:pStyle w:val="ListParagraph"/>
        <w:numPr>
          <w:ilvl w:val="0"/>
          <w:numId w:val="5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DOC-S01 لا يسجل تهديدًا لكتابة المشترك صفًا عامًا في جدول مختلط، والحالات T10 إلى T12 تختبره (DQ-S13-9).</w:t>
      </w:r>
    </w:p>
    <w:p>
      <w:pPr>
        <w:pStyle w:val="ListParagraph"/>
        <w:numPr>
          <w:ilvl w:val="0"/>
          <w:numId w:val="5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لا تهديد في DOC-S01 لقراءة tp_app تجزئات رموز الاسترداد، مع أن O-24 يذكرها (tools/dbgen/erd_open_items.py:153) وDOC-S03 §12 يسجلها خطرًا R5.</w:t>
      </w:r>
    </w:p>
    <w:p>
      <w:pPr>
        <w:bidi/>
        <w:spacing w:after="60" w:before="0"/>
      </w:pPr>
    </w:p>
    <w:p>
      <w:pPr>
        <w:pStyle w:val="Heading1"/>
        <w:bidi/>
      </w:pPr>
      <w:bookmarkStart w:name="_sec23" w:id="23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14. التتبع</w:t>
      </w:r>
      <w:bookmarkEnd w:id="23"/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"/>
        <w:gridCol w:w="1960"/>
        <w:gridCol w:w="6922"/>
      </w:tblGrid>
      <w:tr>
        <w:trPr>
          <w:cantSplit/>
          <w:tblHeader/>
        </w:trPr>
        <w:tc>
          <w:tcPr>
            <w:tcW w:type="dxa" w:w="98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البند في هذه الوثيقة</w:t>
            </w:r>
          </w:p>
        </w:tc>
        <w:tc>
          <w:tcPr>
            <w:tcW w:type="dxa" w:w="1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المتطلب أو القاعدة أو القرار</w:t>
            </w:r>
          </w:p>
        </w:tc>
        <w:tc>
          <w:tcPr>
            <w:tcW w:type="dxa" w:w="692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المصدر</w:t>
            </w:r>
          </w:p>
        </w:tc>
      </w:tr>
      <w:tr>
        <w:trPr>
          <w:cantSplit/>
        </w:trPr>
        <w:tc>
          <w:tcPr>
            <w:tcW w:type="dxa" w:w="98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§2، §4</w:t>
            </w:r>
          </w:p>
        </w:tc>
        <w:tc>
          <w:tcPr>
            <w:tcW w:type="dxa" w:w="1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X-SEC-4، FR-PLT-036، BR-PLT-001، O-09 (erd_open_items)</w:t>
            </w:r>
          </w:p>
        </w:tc>
        <w:tc>
          <w:tcPr>
            <w:tcW w:type="dxa" w:w="692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docs/10-detailed-analysis/00-overview-and-cross-cutting.md:139؛ db/tests/tenant_isolation_tests.sql؛ tools/dbgen/erd_open_items.py:62-66</w:t>
            </w:r>
          </w:p>
        </w:tc>
      </w:tr>
      <w:tr>
        <w:trPr>
          <w:cantSplit/>
        </w:trPr>
        <w:tc>
          <w:tcPr>
            <w:tcW w:type="dxa" w:w="98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§3</w:t>
            </w:r>
          </w:p>
        </w:tc>
        <w:tc>
          <w:tcPr>
            <w:tcW w:type="dxa" w:w="1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مستويات الاختبار، خط التطبيق</w:t>
            </w:r>
          </w:p>
        </w:tc>
        <w:tc>
          <w:tcPr>
            <w:tcW w:type="dxa" w:w="692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DOC-B01 §3؛ DOC-B11 §5.2</w:t>
            </w:r>
          </w:p>
        </w:tc>
      </w:tr>
      <w:tr>
        <w:trPr>
          <w:cantSplit/>
        </w:trPr>
        <w:tc>
          <w:tcPr>
            <w:tcW w:type="dxa" w:w="98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§5</w:t>
            </w:r>
          </w:p>
        </w:tc>
        <w:tc>
          <w:tcPr>
            <w:tcW w:type="dxa" w:w="1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FR-PLT-020، FR-PLT-021، FR-PLT-041، FR-PLT-046، AC-PLT-1، AC-PLT-21</w:t>
            </w:r>
          </w:p>
        </w:tc>
        <w:tc>
          <w:tcPr>
            <w:tcW w:type="dxa" w:w="692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docs/10-detailed-analysis/10-m0-m1-platform-organization.md:122-123، :143، :148، :650</w:t>
            </w:r>
          </w:p>
        </w:tc>
      </w:tr>
      <w:tr>
        <w:trPr>
          <w:cantSplit/>
        </w:trPr>
        <w:tc>
          <w:tcPr>
            <w:tcW w:type="dxa" w:w="98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§5.4</w:t>
            </w:r>
          </w:p>
        </w:tc>
        <w:tc>
          <w:tcPr>
            <w:tcW w:type="dxa" w:w="1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قوائم الموارد، IDOR لكل نقطة</w:t>
            </w:r>
          </w:p>
        </w:tc>
        <w:tc>
          <w:tcPr>
            <w:tcW w:type="dxa" w:w="692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10-m0-m1…:568؛ 11-m2-m4…:567؛ 12-m5…:581؛ 13-m6…:675، :687؛ 14-m7-m8…:654، :666</w:t>
            </w:r>
          </w:p>
        </w:tc>
      </w:tr>
      <w:tr>
        <w:trPr>
          <w:cantSplit/>
        </w:trPr>
        <w:tc>
          <w:tcPr>
            <w:tcW w:type="dxa" w:w="98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§6</w:t>
            </w:r>
          </w:p>
        </w:tc>
        <w:tc>
          <w:tcPr>
            <w:tcW w:type="dxa" w:w="1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X-SEC-5، NFR-SEC-13</w:t>
            </w:r>
          </w:p>
        </w:tc>
        <w:tc>
          <w:tcPr>
            <w:tcW w:type="dxa" w:w="692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docs/10-detailed-analysis/00-overview-and-cross-cutting.md:140؛ DOC-B03 §5</w:t>
            </w:r>
          </w:p>
        </w:tc>
      </w:tr>
      <w:tr>
        <w:trPr>
          <w:cantSplit/>
        </w:trPr>
        <w:tc>
          <w:tcPr>
            <w:tcW w:type="dxa" w:w="98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§7</w:t>
            </w:r>
          </w:p>
        </w:tc>
        <w:tc>
          <w:tcPr>
            <w:tcW w:type="dxa" w:w="1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FR-PLT-014، FR-PLT-006، THR-03، THR-04، THR-08، THR-09</w:t>
            </w:r>
          </w:p>
        </w:tc>
        <w:tc>
          <w:tcPr>
            <w:tcW w:type="dxa" w:w="692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DOC-S03 §3 إلى §8؛ db/static/030_session_context.sql:53-54، :116-118</w:t>
            </w:r>
          </w:p>
        </w:tc>
      </w:tr>
      <w:tr>
        <w:trPr>
          <w:cantSplit/>
        </w:trPr>
        <w:tc>
          <w:tcPr>
            <w:tcW w:type="dxa" w:w="98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§8</w:t>
            </w:r>
          </w:p>
        </w:tc>
        <w:tc>
          <w:tcPr>
            <w:tcW w:type="dxa" w:w="1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FR-PLT-010 إلى FR-PLT-013، BR-PLT-004 إلى BR-PLT-006</w:t>
            </w:r>
          </w:p>
        </w:tc>
        <w:tc>
          <w:tcPr>
            <w:tcW w:type="dxa" w:w="692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DOC-S04 §14؛ db/static/030_session_context.sql:23-163</w:t>
            </w:r>
          </w:p>
        </w:tc>
      </w:tr>
      <w:tr>
        <w:trPr>
          <w:cantSplit/>
        </w:trPr>
        <w:tc>
          <w:tcPr>
            <w:tcW w:type="dxa" w:w="98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§9</w:t>
            </w:r>
          </w:p>
        </w:tc>
        <w:tc>
          <w:tcPr>
            <w:tcW w:type="dxa" w:w="1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NFR-SEC-18، اختبار الاختراق قبل التجربة</w:t>
            </w:r>
          </w:p>
        </w:tc>
        <w:tc>
          <w:tcPr>
            <w:tcW w:type="dxa" w:w="692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docs/10-detailed-analysis/10-m0-m1-platform-organization.md:591؛ docs/10-detailed-analysis/00-overview-and-cross-cutting.md:217</w:t>
            </w:r>
          </w:p>
        </w:tc>
      </w:tr>
      <w:tr>
        <w:trPr>
          <w:cantSplit/>
        </w:trPr>
        <w:tc>
          <w:tcPr>
            <w:tcW w:type="dxa" w:w="98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§10.1</w:t>
            </w:r>
          </w:p>
        </w:tc>
        <w:tc>
          <w:tcPr>
            <w:tcW w:type="dxa" w:w="1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O-24 (erd_open_items)، THR-19 إلى THR-22</w:t>
            </w:r>
          </w:p>
        </w:tc>
        <w:tc>
          <w:tcPr>
            <w:tcW w:type="dxa" w:w="692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tools/dbgen/erd_open_items.py:151-156؛ db/static/030_session_context.sql:237-239؛ db/generated/tsql/007_table_grants.sql:24، :42، :46</w:t>
            </w:r>
          </w:p>
        </w:tc>
      </w:tr>
      <w:tr>
        <w:trPr>
          <w:cantSplit/>
        </w:trPr>
        <w:tc>
          <w:tcPr>
            <w:tcW w:type="dxa" w:w="98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§10.2</w:t>
            </w:r>
          </w:p>
        </w:tc>
        <w:tc>
          <w:tcPr>
            <w:tcW w:type="dxa" w:w="1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O-18 إلى O-22 (erd_open_items)، DR-11، DR-14، DR-15، DR-17</w:t>
            </w:r>
          </w:p>
        </w:tc>
        <w:tc>
          <w:tcPr>
            <w:tcW w:type="dxa" w:w="692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tools/dbgen/erd_open_items.py:115-144؛ DOC-S01 §4</w:t>
            </w:r>
          </w:p>
        </w:tc>
      </w:tr>
      <w:tr>
        <w:trPr>
          <w:cantSplit/>
        </w:trPr>
        <w:tc>
          <w:tcPr>
            <w:tcW w:type="dxa" w:w="98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§11</w:t>
            </w:r>
          </w:p>
        </w:tc>
        <w:tc>
          <w:tcPr>
            <w:tcW w:type="dxa" w:w="1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خروج الشرائح</w:t>
            </w:r>
          </w:p>
        </w:tc>
        <w:tc>
          <w:tcPr>
            <w:tcW w:type="dxa" w:w="692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docs/10-detailed-analysis/00-overview-and-cross-cutting.md:194-201</w:t>
            </w:r>
          </w:p>
        </w:tc>
      </w:tr>
    </w:tbl>
    <w:p>
      <w:pPr>
        <w:bidi/>
        <w:spacing w:after="120" w:before="0"/>
      </w:pPr>
    </w:p>
    <w:sectPr>
      <w:headerReference w:type="default" r:id="rId7"/>
      <w:footerReference w:type="default" r:id="rId8"/>
      <w:pgSz w:w="11906" w:h="16838" w:orient="portrait"/>
      <w:pgMar w:top="1134" w:right="1021" w:bottom="1134" w:left="1021" w:header="500" w:footer="500" w:gutter="0"/>
      <w:pgNumType/>
      <w:bidi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center"/>
    </w:pPr>
    <w:r>
      <w:rPr>
        <w:rFonts w:ascii="Arial" w:cs="Arial" w:eastAsia="Arial" w:hAnsi="Arial"/>
        <w:color w:val="5B6670"/>
        <w:sz w:val="17"/>
        <w:szCs w:val="17"/>
        <w:rtl/>
      </w:rPr>
      <w:t xml:space="preserve">صفحة </w:t>
    </w:r>
    <w:r>
      <w:rPr>
        <w:rFonts w:ascii="Arial" w:cs="Arial" w:eastAsia="Arial" w:hAnsi="Arial"/>
        <w:color w:val="5B6670"/>
        <w:sz w:val="17"/>
        <w:szCs w:val="17"/>
        <w:rtl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B6670"/>
        <w:sz w:val="17"/>
        <w:szCs w:val="17"/>
        <w:rtl/>
      </w:rPr>
      <w:t xml:space="preserve"> من </w:t>
    </w:r>
    <w:r>
      <w:rPr>
        <w:rFonts w:ascii="Arial" w:cs="Arial" w:eastAsia="Arial" w:hAnsi="Arial"/>
        <w:color w:val="5B6670"/>
        <w:sz w:val="17"/>
        <w:szCs w:val="17"/>
        <w:rtl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C9D6" w:sz="4" w:space="4"/>
      </w:pBdr>
      <w:bidi/>
      <w:spacing w:after="0"/>
    </w:pPr>
    <w:r>
      <w:rPr>
        <w:rFonts w:ascii="Arial" w:cs="Arial" w:eastAsia="Arial" w:hAnsi="Arial"/>
        <w:color w:val="5B6670"/>
        <w:sz w:val="17"/>
        <w:szCs w:val="17"/>
        <w:rtl/>
      </w:rPr>
      <w:t xml:space="preserve">DOC-S13 · BankFas · مستندات الجاهزية P1 وP2 · 0.1 مسودة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74" w:hanging="284"/>
      </w:pPr>
    </w:lvl>
    <w:lvl w:ilvl="1" w15:tentative="1">
      <w:start w:val="1"/>
      <w:numFmt w:val="bullet"/>
      <w:lvlText w:val="–"/>
      <w:lvlJc w:val="left"/>
      <w:pPr>
        <w:ind w:left="1028" w:hanging="284"/>
      </w:pPr>
    </w:lvl>
    <w:lvl w:ilvl="2" w15:tentative="1">
      <w:start w:val="1"/>
      <w:numFmt w:val="bullet"/>
      <w:lvlText w:val="·"/>
      <w:lvlJc w:val="left"/>
      <w:pPr>
        <w:ind w:left="1482" w:hanging="284"/>
      </w:pPr>
    </w:lvl>
    <w:lvl w:ilvl="3" w15:tentative="1">
      <w:start w:val="1"/>
      <w:numFmt w:val="bullet"/>
      <w:lvlText w:val="·"/>
      <w:lvlJc w:val="left"/>
      <w:pPr>
        <w:ind w:left="1936" w:hanging="284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4" w:hanging="340"/>
      </w:pPr>
    </w:lvl>
    <w:lvl w:ilvl="1" w15:tentative="1">
      <w:start w:val="1"/>
      <w:numFmt w:val="decimal"/>
      <w:lvlText w:val="%2."/>
      <w:lvlJc w:val="left"/>
      <w:pPr>
        <w:ind w:left="1028" w:hanging="340"/>
      </w:pPr>
    </w:lvl>
    <w:lvl w:ilvl="2" w15:tentative="1">
      <w:start w:val="1"/>
      <w:numFmt w:val="decimal"/>
      <w:lvlText w:val="%3."/>
      <w:lvlJc w:val="left"/>
      <w:pPr>
        <w:ind w:left="1482" w:hanging="34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4" w:hanging="340"/>
      </w:pPr>
    </w:lvl>
    <w:lvl w:ilvl="1" w15:tentative="1">
      <w:start w:val="1"/>
      <w:numFmt w:val="decimal"/>
      <w:lvlText w:val="%2."/>
      <w:lvlJc w:val="left"/>
      <w:pPr>
        <w:ind w:left="1028" w:hanging="340"/>
      </w:pPr>
    </w:lvl>
    <w:lvl w:ilvl="2" w15:tentative="1">
      <w:start w:val="1"/>
      <w:numFmt w:val="decimal"/>
      <w:lvlText w:val="%3."/>
      <w:lvlJc w:val="left"/>
      <w:pPr>
        <w:ind w:left="1482" w:hanging="34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4" w:hanging="340"/>
      </w:pPr>
    </w:lvl>
    <w:lvl w:ilvl="1" w15:tentative="1">
      <w:start w:val="1"/>
      <w:numFmt w:val="decimal"/>
      <w:lvlText w:val="%2."/>
      <w:lvlJc w:val="left"/>
      <w:pPr>
        <w:ind w:left="1028" w:hanging="340"/>
      </w:pPr>
    </w:lvl>
    <w:lvl w:ilvl="2" w15:tentative="1">
      <w:start w:val="1"/>
      <w:numFmt w:val="decimal"/>
      <w:lvlText w:val="%3."/>
      <w:lvlJc w:val="left"/>
      <w:pPr>
        <w:ind w:left="1482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  <w:rtl/>
        <w:lang w:val="ar-SA" w:bidi="ar-SA"/>
      </w:rPr>
    </w:rPrDefault>
    <w:pPrDefault>
      <w:pPr>
        <w:bidi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bidi/>
      <w:spacing w:after="160" w:before="0"/>
    </w:pPr>
    <w:rPr>
      <w:b/>
      <w:bCs/>
      <w:color w:val="1F3A5F"/>
      <w:sz w:val="48"/>
      <w:szCs w:val="48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1F3A5F" w:sz="8" w:space="3"/>
      </w:pBdr>
      <w:bidi/>
      <w:spacing w:after="140" w:before="380"/>
      <w:outlineLvl w:val="0"/>
    </w:pPr>
    <w:rPr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bidi/>
      <w:spacing w:after="100" w:before="260"/>
      <w:outlineLvl w:val="1"/>
    </w:pPr>
    <w:rPr>
      <w:b/>
      <w:bCs/>
      <w:color w:val="2B5C8A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bidi/>
      <w:spacing w:after="80" w:before="200"/>
      <w:outlineLvl w:val="2"/>
    </w:pPr>
    <w:rPr>
      <w:b/>
      <w:bCs/>
      <w:color w:val="2B5C8A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7919e7ccc8ddc1563cdb36f5598e321020322758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DOC-S13 — خطة اختبار الأمن والعزل</dc:title>
  <dc:creator>Claude</dc:creator>
  <dc:description>BankFas database design document</dc:description>
  <cp:lastModifiedBy>Un-named</cp:lastModifiedBy>
  <cp:revision>1</cp:revision>
  <dcterms:created xsi:type="dcterms:W3CDTF">2026-10-21T16:27:13.727Z</dcterms:created>
  <dcterms:modified xsi:type="dcterms:W3CDTF">2026-10-21T16:27:13.727Z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