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دراسة المراجعة المعمارية النقدية (النسخة 4.0)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20"/>
        <w:gridCol w:w="7544"/>
      </w:tblGrid>
      <w:tr>
        <w:trPr>
          <w:cantSplit/>
          <w:tblHeader/>
        </w:trPr>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5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232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المراجعة</w:t>
            </w:r>
          </w:p>
        </w:tc>
        <w:tc>
          <w:tcPr>
            <w:tcW w:type="dxa" w:w="7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معمارية نقدية مستقلة»، النسخة 4.0، 2026-10-20، الحكم «مقبول مشروط» بدرجة 74.5 من 100 (مقابل 72.6 في 3.0 و70.9 في 2.0)</w:t>
            </w:r>
          </w:p>
        </w:tc>
      </w:tr>
      <w:tr>
        <w:trPr>
          <w:cantSplit/>
        </w:trPr>
        <w:tc>
          <w:tcPr>
            <w:tcW w:type="dxa" w:w="232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من درس</w:t>
            </w:r>
          </w:p>
        </w:tc>
        <w:tc>
          <w:tcPr>
            <w:tcW w:type="dxa" w:w="7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Claude بطلب المالك، مع فريق من ثلاثة وكلاء ذكاء اصطناعي فحص كلٌّ منهم جزءًا من الادعاءات في المستودع؛ لا خبراء بشريون</w:t>
            </w:r>
          </w:p>
        </w:tc>
      </w:tr>
      <w:tr>
        <w:trPr>
          <w:cantSplit/>
        </w:trPr>
        <w:tc>
          <w:tcPr>
            <w:tcW w:type="dxa" w:w="232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الإيداع المدروس</w:t>
            </w:r>
          </w:p>
        </w:tc>
        <w:tc>
          <w:tcPr>
            <w:tcW w:type="dxa" w:w="7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‎589ccf4‎</w:t>
            </w:r>
            <w:r>
              <w:rPr>
                <w:rFonts w:ascii="Arial" w:cs="Arial" w:eastAsia="Arial" w:hAnsi="Arial"/>
                <w:b w:val="false"/>
                <w:bCs w:val="false"/>
                <w:sz w:val="18"/>
                <w:szCs w:val="18"/>
                <w:rtl/>
              </w:rPr>
              <w:t xml:space="preserve"> على الفرع </w:t>
            </w:r>
            <w:r>
              <w:rPr>
                <w:rFonts w:ascii="Courier New" w:cs="Courier New" w:eastAsia="Courier New" w:hAnsi="Courier New"/>
                <w:b w:val="false"/>
                <w:bCs w:val="false"/>
                <w:color w:val="1F2937"/>
                <w:sz w:val="16"/>
                <w:szCs w:val="16"/>
                <w:shd w:fill="F1F3F5" w:color="auto" w:val="clear"/>
                <w:rtl/>
              </w:rPr>
              <w:t xml:space="preserve">‎claude/quirky-gauss-z7hyro‎</w:t>
            </w:r>
          </w:p>
        </w:tc>
      </w:tr>
      <w:tr>
        <w:trPr>
          <w:cantSplit/>
        </w:trPr>
        <w:tc>
          <w:tcPr>
            <w:tcW w:type="dxa" w:w="232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الطريقة</w:t>
            </w:r>
          </w:p>
        </w:tc>
        <w:tc>
          <w:tcPr>
            <w:tcW w:type="dxa" w:w="7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ادعاء في المراجعة قوبل بالملف والسطر؛ وكل حكم هنا يحمل دليله</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الخلاصة</w:t>
        </w:r>
      </w:hyperlink>
    </w:p>
    <w:p>
      <w:pPr>
        <w:bidi/>
        <w:spacing w:after="50" w:before="0"/>
        <w:ind w:left="0"/>
      </w:pPr>
      <w:hyperlink w:history="1" w:anchor="_sec2">
        <w:r>
          <w:rPr>
            <w:rFonts w:ascii="Arial" w:cs="Arial" w:eastAsia="Arial" w:hAnsi="Arial"/>
            <w:b/>
            <w:bCs/>
            <w:color w:val="1F3A5F"/>
            <w:sz w:val="20"/>
            <w:szCs w:val="20"/>
            <w:rtl/>
          </w:rPr>
          <w:t xml:space="preserve">2. ملاحظات صحيحة نقبلها كما هي</w:t>
        </w:r>
      </w:hyperlink>
    </w:p>
    <w:p>
      <w:pPr>
        <w:bidi/>
        <w:spacing w:after="50" w:before="0"/>
        <w:ind w:left="0"/>
      </w:pPr>
      <w:hyperlink w:history="1" w:anchor="_sec3">
        <w:r>
          <w:rPr>
            <w:rFonts w:ascii="Arial" w:cs="Arial" w:eastAsia="Arial" w:hAnsi="Arial"/>
            <w:b/>
            <w:bCs/>
            <w:color w:val="1F3A5F"/>
            <w:sz w:val="20"/>
            <w:szCs w:val="20"/>
            <w:rtl/>
          </w:rPr>
          <w:t xml:space="preserve">3. ملاحظتان صحيحتان في جوهرهما، بصياغة تحتاج ضبطًا</w:t>
        </w:r>
      </w:hyperlink>
    </w:p>
    <w:p>
      <w:pPr>
        <w:bidi/>
        <w:spacing w:after="50" w:before="0"/>
        <w:ind w:left="0"/>
      </w:pPr>
      <w:hyperlink w:history="1" w:anchor="_sec6">
        <w:r>
          <w:rPr>
            <w:rFonts w:ascii="Arial" w:cs="Arial" w:eastAsia="Arial" w:hAnsi="Arial"/>
            <w:b/>
            <w:bCs/>
            <w:color w:val="1F3A5F"/>
            <w:sz w:val="20"/>
            <w:szCs w:val="20"/>
            <w:rtl/>
          </w:rPr>
          <w:t xml:space="preserve">4. مواضع تمنح المراجعة النظام فيها أكثر مما يستحق</w:t>
        </w:r>
      </w:hyperlink>
    </w:p>
    <w:p>
      <w:pPr>
        <w:bidi/>
        <w:spacing w:after="50" w:before="0"/>
        <w:ind w:left="0"/>
      </w:pPr>
      <w:hyperlink w:history="1" w:anchor="_sec7">
        <w:r>
          <w:rPr>
            <w:rFonts w:ascii="Arial" w:cs="Arial" w:eastAsia="Arial" w:hAnsi="Arial"/>
            <w:b/>
            <w:bCs/>
            <w:color w:val="1F3A5F"/>
            <w:sz w:val="20"/>
            <w:szCs w:val="20"/>
            <w:rtl/>
          </w:rPr>
          <w:t xml:space="preserve">5. أخطاء صغيرة في الوقائع</w:t>
        </w:r>
      </w:hyperlink>
    </w:p>
    <w:p>
      <w:pPr>
        <w:bidi/>
        <w:spacing w:after="50" w:before="0"/>
        <w:ind w:left="0"/>
      </w:pPr>
      <w:hyperlink w:history="1" w:anchor="_sec8">
        <w:r>
          <w:rPr>
            <w:rFonts w:ascii="Arial" w:cs="Arial" w:eastAsia="Arial" w:hAnsi="Arial"/>
            <w:b/>
            <w:bCs/>
            <w:color w:val="1F3A5F"/>
            <w:sz w:val="20"/>
            <w:szCs w:val="20"/>
            <w:rtl/>
          </w:rPr>
          <w:t xml:space="preserve">6. الفجوات الثماني: موقفنا من حكم المراجعة</w:t>
        </w:r>
      </w:hyperlink>
    </w:p>
    <w:p>
      <w:pPr>
        <w:bidi/>
        <w:spacing w:after="50" w:before="0"/>
        <w:ind w:left="0"/>
      </w:pPr>
      <w:hyperlink w:history="1" w:anchor="_sec9">
        <w:r>
          <w:rPr>
            <w:rFonts w:ascii="Arial" w:cs="Arial" w:eastAsia="Arial" w:hAnsi="Arial"/>
            <w:b/>
            <w:bCs/>
            <w:color w:val="1F3A5F"/>
            <w:sz w:val="20"/>
            <w:szCs w:val="20"/>
            <w:rtl/>
          </w:rPr>
          <w:t xml:space="preserve">7. خطة المعالجة في المراجعة: موقفنا بندًا بندًا</w:t>
        </w:r>
      </w:hyperlink>
    </w:p>
    <w:p>
      <w:pPr>
        <w:bidi/>
        <w:spacing w:after="50" w:before="0"/>
        <w:ind w:left="0"/>
      </w:pPr>
      <w:hyperlink w:history="1" w:anchor="_sec10">
        <w:r>
          <w:rPr>
            <w:rFonts w:ascii="Arial" w:cs="Arial" w:eastAsia="Arial" w:hAnsi="Arial"/>
            <w:b/>
            <w:bCs/>
            <w:color w:val="1F3A5F"/>
            <w:sz w:val="20"/>
            <w:szCs w:val="20"/>
            <w:rtl/>
          </w:rPr>
          <w:t xml:space="preserve">8. القرارات D1 إلى D6: توصيتنا</w:t>
        </w:r>
      </w:hyperlink>
    </w:p>
    <w:p>
      <w:pPr>
        <w:bidi/>
        <w:spacing w:after="50" w:before="0"/>
        <w:ind w:left="0"/>
      </w:pPr>
      <w:hyperlink w:history="1" w:anchor="_sec11">
        <w:r>
          <w:rPr>
            <w:rFonts w:ascii="Arial" w:cs="Arial" w:eastAsia="Arial" w:hAnsi="Arial"/>
            <w:b/>
            <w:bCs/>
            <w:color w:val="1F3A5F"/>
            <w:sz w:val="20"/>
            <w:szCs w:val="20"/>
            <w:rtl/>
          </w:rPr>
          <w:t xml:space="preserve">9. ما نقترح بناءه (ينتظر موافقة المالك)</w:t>
        </w:r>
      </w:hyperlink>
    </w:p>
    <w:p>
      <w:pPr>
        <w:bidi/>
        <w:spacing w:after="50" w:before="0"/>
        <w:ind w:left="0"/>
      </w:pPr>
      <w:hyperlink w:history="1" w:anchor="_sec12">
        <w:r>
          <w:rPr>
            <w:rFonts w:ascii="Arial" w:cs="Arial" w:eastAsia="Arial" w:hAnsi="Arial"/>
            <w:b/>
            <w:bCs/>
            <w:color w:val="1F3A5F"/>
            <w:sz w:val="20"/>
            <w:szCs w:val="20"/>
            <w:rtl/>
          </w:rPr>
          <w:t xml:space="preserve">10. الدرجة</w:t>
        </w:r>
      </w:hyperlink>
    </w:p>
    <w:p>
      <w:pPr>
        <w:bidi/>
        <w:spacing w:after="50" w:before="0"/>
        <w:ind w:left="0"/>
      </w:pPr>
      <w:hyperlink w:history="1" w:anchor="_sec13">
        <w:r>
          <w:rPr>
            <w:rFonts w:ascii="Arial" w:cs="Arial" w:eastAsia="Arial" w:hAnsi="Arial"/>
            <w:b/>
            <w:bCs/>
            <w:color w:val="1F3A5F"/>
            <w:sz w:val="20"/>
            <w:szCs w:val="20"/>
            <w:rtl/>
          </w:rPr>
          <w:t xml:space="preserve">11. ما بُني بعد الدراسة (قرار المالك 35، ADR 0030)</w:t>
        </w:r>
      </w:hyperlink>
    </w:p>
    <w:p>
      <w:r>
        <w:br w:type="page"/>
      </w:r>
    </w:p>
    <w:p>
      <w:pPr>
        <w:pStyle w:val="Heading1"/>
        <w:bidi/>
      </w:pPr>
      <w:bookmarkStart w:name="_sec1" w:id="1"/>
      <w:r>
        <w:rPr>
          <w:rFonts w:ascii="Arial" w:cs="Arial" w:eastAsia="Arial" w:hAnsi="Arial"/>
          <w:b/>
          <w:bCs/>
          <w:color w:val="1F3A5F"/>
          <w:sz w:val="32"/>
          <w:szCs w:val="32"/>
          <w:rtl/>
        </w:rPr>
        <w:t xml:space="preserve">1. الخلاصة</w:t>
      </w:r>
      <w:bookmarkEnd w:id="1"/>
    </w:p>
    <w:p>
      <w:pPr>
        <w:bidi/>
        <w:spacing w:after="110" w:before="0" w:line="312"/>
      </w:pPr>
      <w:r>
        <w:rPr>
          <w:rFonts w:ascii="Arial" w:cs="Arial" w:eastAsia="Arial" w:hAnsi="Arial"/>
          <w:b w:val="false"/>
          <w:bCs w:val="false"/>
          <w:sz w:val="21"/>
          <w:szCs w:val="21"/>
          <w:rtl/>
        </w:rPr>
        <w:t xml:space="preserve">المراجعة دقيقة في أغلبها، وحسابها صحيح: الأوزان مجموعها 100%، والمجموع المرجّح 74.47. وقد تحققت من كل دليل في وثيقة الرد 37 ووجدته صحيحًا (§3 منها). نتفق معها في جوهر حكمها: طبقة البيانات مبنية ومختبرة، والمنتج غير جاهز لأن طبقة التطبيق والقياس والتشغيل لم تُبنَ.</w:t>
      </w:r>
    </w:p>
    <w:p>
      <w:pPr>
        <w:bidi/>
        <w:spacing w:after="110" w:before="0" w:line="312"/>
      </w:pPr>
      <w:r>
        <w:rPr>
          <w:rFonts w:ascii="Arial" w:cs="Arial" w:eastAsia="Arial" w:hAnsi="Arial"/>
          <w:b w:val="false"/>
          <w:bCs w:val="false"/>
          <w:sz w:val="21"/>
          <w:szCs w:val="21"/>
          <w:rtl/>
        </w:rPr>
        <w:t xml:space="preserve">وجدنا في دراستها:</w:t>
      </w:r>
    </w:p>
    <w:p>
      <w:pPr>
        <w:pStyle w:val="ListParagraph"/>
        <w:numPr>
          <w:ilvl w:val="0"/>
          <w:numId w:val="2"/>
        </w:numPr>
        <w:bidi/>
        <w:spacing w:after="70" w:before="0" w:line="300"/>
      </w:pPr>
      <w:r>
        <w:rPr>
          <w:rFonts w:ascii="Arial" w:cs="Arial" w:eastAsia="Arial" w:hAnsi="Arial"/>
          <w:b/>
          <w:bCs/>
          <w:sz w:val="21"/>
          <w:szCs w:val="21"/>
          <w:rtl/>
        </w:rPr>
        <w:t xml:space="preserve">سبع ملاحظات صحيحة</w:t>
      </w:r>
      <w:r>
        <w:rPr>
          <w:rFonts w:ascii="Arial" w:cs="Arial" w:eastAsia="Arial" w:hAnsi="Arial"/>
          <w:b w:val="false"/>
          <w:bCs w:val="false"/>
          <w:sz w:val="21"/>
          <w:szCs w:val="21"/>
          <w:rtl/>
        </w:rPr>
        <w:t xml:space="preserve"> نقبلها كما هي (§2).</w:t>
      </w:r>
    </w:p>
    <w:p>
      <w:pPr>
        <w:pStyle w:val="ListParagraph"/>
        <w:numPr>
          <w:ilvl w:val="0"/>
          <w:numId w:val="2"/>
        </w:numPr>
        <w:bidi/>
        <w:spacing w:after="70" w:before="0" w:line="300"/>
      </w:pPr>
      <w:r>
        <w:rPr>
          <w:rFonts w:ascii="Arial" w:cs="Arial" w:eastAsia="Arial" w:hAnsi="Arial"/>
          <w:b/>
          <w:bCs/>
          <w:sz w:val="21"/>
          <w:szCs w:val="21"/>
          <w:rtl/>
        </w:rPr>
        <w:t xml:space="preserve">ملاحظتين صحيحتين في جوهرهما بصياغة تحتاج ضبطًا</w:t>
      </w:r>
      <w:r>
        <w:rPr>
          <w:rFonts w:ascii="Arial" w:cs="Arial" w:eastAsia="Arial" w:hAnsi="Arial"/>
          <w:b w:val="false"/>
          <w:bCs w:val="false"/>
          <w:sz w:val="21"/>
          <w:szCs w:val="21"/>
          <w:rtl/>
        </w:rPr>
        <w:t xml:space="preserve">، كشف الفريق تحت إحداهما فجوة حقيقية لم تسمّها المراجعة بدقة: الأرصدة الشهرية والمبالغ المحوَّلة المؤكدة تبقى قابلة للتعديل (§3).</w:t>
      </w:r>
    </w:p>
    <w:p>
      <w:pPr>
        <w:pStyle w:val="ListParagraph"/>
        <w:numPr>
          <w:ilvl w:val="0"/>
          <w:numId w:val="2"/>
        </w:numPr>
        <w:bidi/>
        <w:spacing w:after="70" w:before="0" w:line="300"/>
      </w:pPr>
      <w:r>
        <w:rPr>
          <w:rFonts w:ascii="Arial" w:cs="Arial" w:eastAsia="Arial" w:hAnsi="Arial"/>
          <w:b/>
          <w:bCs/>
          <w:sz w:val="21"/>
          <w:szCs w:val="21"/>
          <w:rtl/>
        </w:rPr>
        <w:t xml:space="preserve">ثلاثة مواضع تمنح المراجعة النظام فيها أكثر مما يستحق</w:t>
      </w:r>
      <w:r>
        <w:rPr>
          <w:rFonts w:ascii="Arial" w:cs="Arial" w:eastAsia="Arial" w:hAnsi="Arial"/>
          <w:b w:val="false"/>
          <w:bCs w:val="false"/>
          <w:sz w:val="21"/>
          <w:szCs w:val="21"/>
          <w:rtl/>
        </w:rPr>
        <w:t xml:space="preserve">، ونصححها نحن أمانةً (§4).</w:t>
      </w:r>
    </w:p>
    <w:p>
      <w:pPr>
        <w:pStyle w:val="ListParagraph"/>
        <w:numPr>
          <w:ilvl w:val="0"/>
          <w:numId w:val="2"/>
        </w:numPr>
        <w:bidi/>
        <w:spacing w:after="70" w:before="0" w:line="300"/>
      </w:pPr>
      <w:r>
        <w:rPr>
          <w:rFonts w:ascii="Arial" w:cs="Arial" w:eastAsia="Arial" w:hAnsi="Arial"/>
          <w:b/>
          <w:bCs/>
          <w:sz w:val="21"/>
          <w:szCs w:val="21"/>
          <w:rtl/>
        </w:rPr>
        <w:t xml:space="preserve">ستة أخطاء صغيرة في الوقائع</w:t>
      </w:r>
      <w:r>
        <w:rPr>
          <w:rFonts w:ascii="Arial" w:cs="Arial" w:eastAsia="Arial" w:hAnsi="Arial"/>
          <w:b w:val="false"/>
          <w:bCs w:val="false"/>
          <w:sz w:val="21"/>
          <w:szCs w:val="21"/>
          <w:rtl/>
        </w:rPr>
        <w:t xml:space="preserve"> (§5).</w:t>
      </w:r>
    </w:p>
    <w:p>
      <w:pPr>
        <w:bidi/>
        <w:spacing w:after="60" w:before="0"/>
      </w:pPr>
    </w:p>
    <w:p>
      <w:pPr>
        <w:bidi/>
        <w:spacing w:after="110" w:before="0" w:line="312"/>
      </w:pPr>
      <w:r>
        <w:rPr>
          <w:rFonts w:ascii="Arial" w:cs="Arial" w:eastAsia="Arial" w:hAnsi="Arial"/>
          <w:b w:val="false"/>
          <w:bCs w:val="false"/>
          <w:sz w:val="21"/>
          <w:szCs w:val="21"/>
          <w:rtl/>
        </w:rPr>
        <w:t xml:space="preserve">ونقترح ستة بنود للبناء تنتظر موافقة المالك (§9)، وتوصية لكل قرار من القرارات الست D1 إلى D6 (§8).</w:t>
      </w:r>
    </w:p>
    <w:p>
      <w:pPr>
        <w:pStyle w:val="Heading1"/>
        <w:bidi/>
      </w:pPr>
      <w:bookmarkStart w:name="_sec2" w:id="2"/>
      <w:r>
        <w:rPr>
          <w:rFonts w:ascii="Arial" w:cs="Arial" w:eastAsia="Arial" w:hAnsi="Arial"/>
          <w:b/>
          <w:bCs/>
          <w:color w:val="1F3A5F"/>
          <w:sz w:val="32"/>
          <w:szCs w:val="32"/>
          <w:rtl/>
        </w:rPr>
        <w:t xml:space="preserve">2. ملاحظات صحيحة نقبلها كما هي</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4"/>
        <w:gridCol w:w="1464"/>
        <w:gridCol w:w="7456"/>
      </w:tblGrid>
      <w:tr>
        <w:trPr>
          <w:cantSplit/>
          <w:tblHeader/>
        </w:trPr>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4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74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وجدناه</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كود تطبيق ولا واجهات (أخطر النتائج 1، R1، P0-1)</w:t>
            </w:r>
          </w:p>
        </w:tc>
        <w:tc>
          <w:tcPr>
            <w:tcW w:type="dxa" w:w="7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الحزمة قاعدة بيانات ووثائق ومخططات؛ والتصميم في DOC-F01 وDOC-B07</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1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اختبار حمل على أحجام NFR-SCL-01 وNFR-SCL-02 (النتيجة 2، R2، P0-2)</w:t>
            </w:r>
          </w:p>
        </w:tc>
        <w:tc>
          <w:tcPr>
            <w:tcW w:type="dxa" w:w="7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300 مشترك و50,000 سجل لكل جدول معرَّفان (</w:t>
            </w:r>
            <w:r>
              <w:rPr>
                <w:rFonts w:ascii="Courier New" w:cs="Courier New" w:eastAsia="Courier New" w:hAnsi="Courier New"/>
                <w:b w:val="false"/>
                <w:bCs w:val="false"/>
                <w:color w:val="1F2937"/>
                <w:sz w:val="16"/>
                <w:szCs w:val="16"/>
                <w:shd w:fill="F1F3F5" w:color="auto" w:val="clear"/>
                <w:rtl/>
              </w:rPr>
              <w:t xml:space="preserve">‎docs/30-readiness/DOC-B03-nfr-specification.md:107-108‎</w:t>
            </w:r>
            <w:r>
              <w:rPr>
                <w:rFonts w:ascii="Arial" w:cs="Arial" w:eastAsia="Arial" w:hAnsi="Arial"/>
                <w:b w:val="false"/>
                <w:bCs w:val="false"/>
                <w:sz w:val="18"/>
                <w:szCs w:val="18"/>
                <w:rtl/>
              </w:rPr>
              <w:t xml:space="preserve">) ولم يُقَس شيء</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1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تمرين استعادة مقاس (النتيجة 3، P0-3)</w:t>
            </w:r>
          </w:p>
        </w:tc>
        <w:tc>
          <w:tcPr>
            <w:tcW w:type="dxa" w:w="7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التمرين ربع سنوي في DOC-S09 (</w:t>
            </w:r>
            <w:r>
              <w:rPr>
                <w:rFonts w:ascii="Courier New" w:cs="Courier New" w:eastAsia="Courier New" w:hAnsi="Courier New"/>
                <w:b w:val="false"/>
                <w:bCs w:val="false"/>
                <w:color w:val="1F2937"/>
                <w:sz w:val="16"/>
                <w:szCs w:val="16"/>
                <w:shd w:fill="F1F3F5" w:color="auto" w:val="clear"/>
                <w:rtl/>
              </w:rPr>
              <w:t xml:space="preserve">‎:116‎</w:t>
            </w:r>
            <w:r>
              <w:rPr>
                <w:rFonts w:ascii="Arial" w:cs="Arial" w:eastAsia="Arial" w:hAnsi="Arial"/>
                <w:b w:val="false"/>
                <w:bCs w:val="false"/>
                <w:sz w:val="18"/>
                <w:szCs w:val="18"/>
                <w:rtl/>
              </w:rPr>
              <w:t xml:space="preserve">)، وقالب سجله في §7.2 فارغ، ولا تمرين مسجّل</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1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مراقبة AL-01 إلى AL-18 معرَّفة لا مشغَّلة (R9، P2-1)</w:t>
            </w:r>
          </w:p>
        </w:tc>
        <w:tc>
          <w:tcPr>
            <w:tcW w:type="dxa" w:w="7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AL-11 يغطي «مهمة لم تبدأ خلال ضعف دوريتها» (</w:t>
            </w:r>
            <w:r>
              <w:rPr>
                <w:rFonts w:ascii="Courier New" w:cs="Courier New" w:eastAsia="Courier New" w:hAnsi="Courier New"/>
                <w:b w:val="false"/>
                <w:bCs w:val="false"/>
                <w:color w:val="1F2937"/>
                <w:sz w:val="16"/>
                <w:szCs w:val="16"/>
                <w:shd w:fill="F1F3F5" w:color="auto" w:val="clear"/>
                <w:rtl/>
              </w:rPr>
              <w:t xml:space="preserve">‎DOC-S12:223‎</w:t>
            </w:r>
            <w:r>
              <w:rPr>
                <w:rFonts w:ascii="Arial" w:cs="Arial" w:eastAsia="Arial" w:hAnsi="Arial"/>
                <w:b w:val="false"/>
                <w:bCs w:val="false"/>
                <w:sz w:val="18"/>
                <w:szCs w:val="18"/>
                <w:rtl/>
              </w:rPr>
              <w:t xml:space="preserve">)، والتشغيل لم يُبنَ (</w:t>
            </w:r>
            <w:r>
              <w:rPr>
                <w:rFonts w:ascii="Courier New" w:cs="Courier New" w:eastAsia="Courier New" w:hAnsi="Courier New"/>
                <w:b w:val="false"/>
                <w:bCs w:val="false"/>
                <w:color w:val="1F2937"/>
                <w:sz w:val="16"/>
                <w:szCs w:val="16"/>
                <w:shd w:fill="F1F3F5" w:color="auto" w:val="clear"/>
                <w:rtl/>
              </w:rPr>
              <w:t xml:space="preserve">‎DOC-S12:125‎</w:t>
            </w:r>
            <w:r>
              <w:rPr>
                <w:rFonts w:ascii="Arial" w:cs="Arial" w:eastAsia="Arial" w:hAnsi="Arial"/>
                <w:b w:val="false"/>
                <w:bCs w:val="false"/>
                <w:sz w:val="18"/>
                <w:szCs w:val="18"/>
                <w:rtl/>
              </w:rPr>
              <w:t xml:space="preserve">) وينتظر DQ-S12-1 غير المعتمد</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1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المحرك ليس مستقلًا (الدين المخفي)</w:t>
            </w:r>
          </w:p>
        </w:tc>
        <w:tc>
          <w:tcPr>
            <w:tcW w:type="dxa" w:w="7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المحرك يطابق مرجع Python رقمًا برقم في 142 حالة، والمرجع من الفريق نفسه. والمراجعة الائتمانية في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§22 أجراها وكلاء ذكاء اصطناعي في دور محلل ائتمان، لا محللون بشريون (</w:t>
            </w:r>
            <w:r>
              <w:rPr>
                <w:rFonts w:ascii="Courier New" w:cs="Courier New" w:eastAsia="Courier New" w:hAnsi="Courier New"/>
                <w:b w:val="false"/>
                <w:bCs w:val="false"/>
                <w:color w:val="1F2937"/>
                <w:sz w:val="16"/>
                <w:szCs w:val="16"/>
                <w:shd w:fill="F1F3F5" w:color="auto" w:val="clear"/>
                <w:rtl/>
              </w:rPr>
              <w:t xml:space="preserve">‎tools/dbgen/credit_stress.py:4‎</w:t>
            </w:r>
            <w:r>
              <w:rPr>
                <w:rFonts w:ascii="Arial" w:cs="Arial" w:eastAsia="Arial" w:hAnsi="Arial"/>
                <w:b w:val="false"/>
                <w:bCs w:val="false"/>
                <w:sz w:val="18"/>
                <w:szCs w:val="18"/>
                <w:rtl/>
              </w:rPr>
              <w:t xml:space="preserve">). لم يتحقق إنسان مستقل ولا أداة طرف ثالث</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c>
          <w:tcPr>
            <w:tcW w:type="dxa" w:w="1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تصميم لتوزيع الحمل أفقيًا</w:t>
            </w:r>
          </w:p>
        </w:tc>
        <w:tc>
          <w:tcPr>
            <w:tcW w:type="dxa" w:w="7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الإنتاج خادم قاعدة واحد وخادم تطبيق واحد (DQ-B11-2)، ولا نسخ قراءة ولا موازن حمل؛ والخادم الاحتياطي مؤجَّل (DQ-S09-7)</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1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NTF.BASE مسودة غير معتمدة (P1-5، D5)</w:t>
            </w:r>
          </w:p>
        </w:tc>
        <w:tc>
          <w:tcPr>
            <w:tcW w:type="dxa" w:w="7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صحيح، والحالة مكتوبة في </w:t>
            </w:r>
            <w:r>
              <w:rPr>
                <w:rFonts w:ascii="Courier New" w:cs="Courier New" w:eastAsia="Courier New" w:hAnsi="Courier New"/>
                <w:b w:val="false"/>
                <w:bCs w:val="false"/>
                <w:color w:val="1F2937"/>
                <w:sz w:val="16"/>
                <w:szCs w:val="16"/>
                <w:shd w:fill="F1F3F5" w:color="auto" w:val="clear"/>
                <w:rtl/>
              </w:rPr>
              <w:t xml:space="preserve">‎manifest.json‎</w:t>
            </w:r>
            <w:r>
              <w:rPr>
                <w:rFonts w:ascii="Arial" w:cs="Arial" w:eastAsia="Arial" w:hAnsi="Arial"/>
                <w:b w:val="false"/>
                <w:bCs w:val="false"/>
                <w:sz w:val="18"/>
                <w:szCs w:val="18"/>
                <w:rtl/>
              </w:rPr>
              <w:t xml:space="preserve"> نفسه</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ملاحظتان صحيحتان في جوهرهما، بصياغة تحتاج ضبطًا</w:t>
      </w:r>
      <w:bookmarkEnd w:id="3"/>
    </w:p>
    <w:p>
      <w:pPr>
        <w:pStyle w:val="Heading2"/>
        <w:bidi/>
      </w:pPr>
      <w:bookmarkStart w:name="_sec4" w:id="4"/>
      <w:r>
        <w:rPr>
          <w:rFonts w:ascii="Arial" w:cs="Arial" w:eastAsia="Arial" w:hAnsi="Arial"/>
          <w:b/>
          <w:bCs/>
          <w:color w:val="2B5C8A"/>
          <w:sz w:val="26"/>
          <w:szCs w:val="26"/>
          <w:rtl/>
        </w:rPr>
        <w:t xml:space="preserve">3.1 «لا ضوابط لإقفال الفترة، ولم تُذكر في أي وثيقة» (G7، R6، P0-4)</w:t>
      </w:r>
      <w:bookmarkEnd w:id="4"/>
    </w:p>
    <w:p>
      <w:pPr>
        <w:bidi/>
        <w:spacing w:after="110" w:before="0" w:line="312"/>
      </w:pPr>
      <w:r>
        <w:rPr>
          <w:rFonts w:ascii="Arial" w:cs="Arial" w:eastAsia="Arial" w:hAnsi="Arial"/>
          <w:b/>
          <w:bCs/>
          <w:sz w:val="21"/>
          <w:szCs w:val="21"/>
          <w:rtl/>
        </w:rPr>
        <w:t xml:space="preserve">صحيح حرفيًا:</w:t>
      </w:r>
      <w:r>
        <w:rPr>
          <w:rFonts w:ascii="Arial" w:cs="Arial" w:eastAsia="Arial" w:hAnsi="Arial"/>
          <w:b w:val="false"/>
          <w:bCs w:val="false"/>
          <w:sz w:val="21"/>
          <w:szCs w:val="21"/>
          <w:rtl/>
        </w:rPr>
        <w:t xml:space="preserve"> لا كلمة «إقفال فترة» في الوثائق ولا في النموذج. الإقفال الوحيد هو إقفال الطلب في دورة العمل (BR-WFL-027).</w:t>
      </w:r>
    </w:p>
    <w:p>
      <w:pPr>
        <w:bidi/>
        <w:spacing w:after="110" w:before="0" w:line="312"/>
      </w:pPr>
      <w:r>
        <w:rPr>
          <w:rFonts w:ascii="Arial" w:cs="Arial" w:eastAsia="Arial" w:hAnsi="Arial"/>
          <w:b/>
          <w:bCs/>
          <w:sz w:val="21"/>
          <w:szCs w:val="21"/>
          <w:rtl/>
        </w:rPr>
        <w:t xml:space="preserve">لكن الضبط موجود لكل كائن معتمد، والتصحيح نسخة جديدة لا تعديل: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48"/>
        <w:gridCol w:w="1828"/>
        <w:gridCol w:w="6988"/>
      </w:tblGrid>
      <w:tr>
        <w:trPr>
          <w:cantSplit/>
          <w:tblHeader/>
        </w:trPr>
        <w:tc>
          <w:tcPr>
            <w:tcW w:type="dxa" w:w="10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الكائن</w:t>
            </w:r>
          </w:p>
        </w:tc>
        <w:tc>
          <w:tcPr>
            <w:tcW w:type="dxa" w:w="1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c>
          <w:tcPr>
            <w:tcW w:type="dxa" w:w="6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1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المالية</w:t>
            </w:r>
          </w:p>
        </w:tc>
        <w:tc>
          <w:tcPr>
            <w:tcW w:type="dxa" w:w="1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المسودة يتجمد كل عمود إلا الحالة والاعتماد، ولا تتغير الأسطر ولا وحدات التوحيد؛ والتصحيح نسخة جديدة بسبب (RESTATED أو CORRECTION أو RESTRUCTURED) تحل محل السابقة</w:t>
            </w:r>
          </w:p>
        </w:tc>
        <w:tc>
          <w:tcPr>
            <w:tcW w:type="dxa" w:w="6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‎db/static/045_financial_statements.sql:28-92‎</w:t>
            </w:r>
            <w:r>
              <w:rPr>
                <w:rFonts w:ascii="Arial" w:cs="Arial" w:eastAsia="Arial" w:hAnsi="Arial"/>
                <w:b w:val="false"/>
                <w:bCs w:val="false"/>
                <w:sz w:val="18"/>
                <w:szCs w:val="18"/>
                <w:rtl/>
              </w:rPr>
              <w:t xml:space="preserve"> (50060)؛ </w:t>
            </w:r>
            <w:r>
              <w:rPr>
                <w:rFonts w:ascii="Courier New" w:cs="Courier New" w:eastAsia="Courier New" w:hAnsi="Courier New"/>
                <w:b w:val="false"/>
                <w:bCs w:val="false"/>
                <w:color w:val="1F2937"/>
                <w:sz w:val="16"/>
                <w:szCs w:val="16"/>
                <w:shd w:fill="F1F3F5" w:color="auto" w:val="clear"/>
                <w:rtl/>
              </w:rPr>
              <w:t xml:space="preserve">‎db/model/14-collateral-obligations-financials.model:455-478‎</w:t>
            </w:r>
            <w:r>
              <w:rPr>
                <w:rFonts w:ascii="Arial" w:cs="Arial" w:eastAsia="Arial" w:hAnsi="Arial"/>
                <w:b w:val="false"/>
                <w:bCs w:val="false"/>
                <w:sz w:val="18"/>
                <w:szCs w:val="18"/>
                <w:rtl/>
              </w:rPr>
              <w:t xml:space="preserve">؛ FR-FIN-005</w:t>
            </w:r>
          </w:p>
        </w:tc>
      </w:tr>
      <w:tr>
        <w:trPr>
          <w:cantSplit/>
        </w:trPr>
        <w:tc>
          <w:tcPr>
            <w:tcW w:type="dxa" w:w="1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التعهد</w:t>
            </w:r>
          </w:p>
        </w:tc>
        <w:tc>
          <w:tcPr>
            <w:tcW w:type="dxa" w:w="1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المقيَّم لا يتغير إلا بمراجعته، وإعادة التقييم رقم جديد، ولقطة مدخلاته إلزامية، والقوائم التي قرأها محفوظة بنسخها</w:t>
            </w:r>
          </w:p>
        </w:tc>
        <w:tc>
          <w:tcPr>
            <w:tcW w:type="dxa" w:w="6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‎db/static/044_entry_guards.sql:384-406‎</w:t>
            </w:r>
            <w:r>
              <w:rPr>
                <w:rFonts w:ascii="Arial" w:cs="Arial" w:eastAsia="Arial" w:hAnsi="Arial"/>
                <w:b w:val="false"/>
                <w:bCs w:val="false"/>
                <w:sz w:val="18"/>
                <w:szCs w:val="18"/>
                <w:rtl/>
              </w:rPr>
              <w:t xml:space="preserve"> (50053)؛ </w:t>
            </w:r>
            <w:r>
              <w:rPr>
                <w:rFonts w:ascii="Courier New" w:cs="Courier New" w:eastAsia="Courier New" w:hAnsi="Courier New"/>
                <w:b w:val="false"/>
                <w:bCs w:val="false"/>
                <w:color w:val="1F2937"/>
                <w:sz w:val="16"/>
                <w:szCs w:val="16"/>
                <w:shd w:fill="F1F3F5" w:color="auto" w:val="clear"/>
                <w:rtl/>
              </w:rPr>
              <w:t xml:space="preserve">‎045:127-135‎</w:t>
            </w:r>
          </w:p>
        </w:tc>
      </w:tr>
      <w:tr>
        <w:trPr>
          <w:cantSplit/>
        </w:trPr>
        <w:tc>
          <w:tcPr>
            <w:tcW w:type="dxa" w:w="1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التسهيل المعتمدة</w:t>
            </w:r>
          </w:p>
        </w:tc>
        <w:tc>
          <w:tcPr>
            <w:tcW w:type="dxa" w:w="1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مجمّدة كلها</w:t>
            </w:r>
          </w:p>
        </w:tc>
        <w:tc>
          <w:tcPr>
            <w:tcW w:type="dxa" w:w="6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‎044:83-92‎</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‎:276-334‎</w:t>
            </w:r>
            <w:r>
              <w:rPr>
                <w:rFonts w:ascii="Arial" w:cs="Arial" w:eastAsia="Arial" w:hAnsi="Arial"/>
                <w:b w:val="false"/>
                <w:bCs w:val="false"/>
                <w:sz w:val="18"/>
                <w:szCs w:val="18"/>
                <w:rtl/>
              </w:rPr>
              <w:t xml:space="preserve"> (50049)</w:t>
            </w:r>
          </w:p>
        </w:tc>
      </w:tr>
      <w:tr>
        <w:trPr>
          <w:cantSplit/>
        </w:trPr>
        <w:tc>
          <w:tcPr>
            <w:tcW w:type="dxa" w:w="1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الائتماني</w:t>
            </w:r>
          </w:p>
        </w:tc>
        <w:tc>
          <w:tcPr>
            <w:tcW w:type="dxa" w:w="1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يتغير إلا مسودة، وبصمة مدخلاته تُفحص عند التقديم</w:t>
            </w:r>
          </w:p>
        </w:tc>
        <w:tc>
          <w:tcPr>
            <w:tcW w:type="dxa" w:w="6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‎046:121-254‎</w:t>
            </w:r>
            <w:r>
              <w:rPr>
                <w:rFonts w:ascii="Arial" w:cs="Arial" w:eastAsia="Arial" w:hAnsi="Arial"/>
                <w:b w:val="false"/>
                <w:bCs w:val="false"/>
                <w:sz w:val="18"/>
                <w:szCs w:val="18"/>
                <w:rtl/>
              </w:rPr>
              <w:t xml:space="preserve"> (50063، 50065)</w:t>
            </w:r>
          </w:p>
        </w:tc>
      </w:tr>
    </w:tbl>
    <w:p>
      <w:pPr>
        <w:bidi/>
        <w:spacing w:after="120" w:before="0"/>
      </w:pPr>
    </w:p>
    <w:p>
      <w:pPr>
        <w:bidi/>
        <w:spacing w:after="110" w:before="0" w:line="312"/>
      </w:pPr>
      <w:r>
        <w:rPr>
          <w:rFonts w:ascii="Arial" w:cs="Arial" w:eastAsia="Arial" w:hAnsi="Arial"/>
          <w:b/>
          <w:bCs/>
          <w:sz w:val="21"/>
          <w:szCs w:val="21"/>
          <w:rtl/>
        </w:rPr>
        <w:t xml:space="preserve">والفجوة الحقيقية التي كشفها الفريق تحت هذه الملاحظة:</w:t>
      </w:r>
      <w:r>
        <w:rPr>
          <w:rFonts w:ascii="Arial" w:cs="Arial" w:eastAsia="Arial" w:hAnsi="Arial"/>
          <w:b w:val="false"/>
          <w:bCs w:val="false"/>
          <w:sz w:val="21"/>
          <w:szCs w:val="21"/>
          <w:rtl/>
        </w:rPr>
        <w:t xml:space="preserve"> الأرصدة الشهرية (</w:t>
      </w:r>
      <w:r>
        <w:rPr>
          <w:rFonts w:ascii="Courier New" w:cs="Courier New" w:eastAsia="Courier New" w:hAnsi="Courier New"/>
          <w:b w:val="false"/>
          <w:bCs w:val="false"/>
          <w:color w:val="1F2937"/>
          <w:sz w:val="18"/>
          <w:szCs w:val="18"/>
          <w:shd w:fill="F1F3F5" w:color="auto" w:val="clear"/>
          <w:rtl/>
        </w:rPr>
        <w:t xml:space="preserve">‎fin.AccountMonthlyStat‎</w:t>
      </w:r>
      <w:r>
        <w:rPr>
          <w:rFonts w:ascii="Arial" w:cs="Arial" w:eastAsia="Arial" w:hAnsi="Arial"/>
          <w:b w:val="false"/>
          <w:bCs w:val="false"/>
          <w:sz w:val="21"/>
          <w:szCs w:val="21"/>
          <w:rtl/>
        </w:rPr>
        <w:t xml:space="preserve">) والمبالغ المحوَّلة للبنك (</w:t>
      </w:r>
      <w:r>
        <w:rPr>
          <w:rFonts w:ascii="Courier New" w:cs="Courier New" w:eastAsia="Courier New" w:hAnsi="Courier New"/>
          <w:b w:val="false"/>
          <w:bCs w:val="false"/>
          <w:color w:val="1F2937"/>
          <w:sz w:val="18"/>
          <w:szCs w:val="18"/>
          <w:shd w:fill="F1F3F5" w:color="auto" w:val="clear"/>
          <w:rtl/>
        </w:rPr>
        <w:t xml:space="preserve">‎fin.BankFlowEntry‎</w:t>
      </w:r>
      <w:r>
        <w:rPr>
          <w:rFonts w:ascii="Arial" w:cs="Arial" w:eastAsia="Arial" w:hAnsi="Arial"/>
          <w:b w:val="false"/>
          <w:bCs w:val="false"/>
          <w:sz w:val="21"/>
          <w:szCs w:val="21"/>
          <w:rtl/>
        </w:rPr>
        <w:t xml:space="preserve">) لهما حالة DRAFT ثم CONFIRMED (</w:t>
      </w:r>
      <w:r>
        <w:rPr>
          <w:rFonts w:ascii="Courier New" w:cs="Courier New" w:eastAsia="Courier New" w:hAnsi="Courier New"/>
          <w:b w:val="false"/>
          <w:bCs w:val="false"/>
          <w:color w:val="1F2937"/>
          <w:sz w:val="18"/>
          <w:szCs w:val="18"/>
          <w:shd w:fill="F1F3F5" w:color="auto" w:val="clear"/>
          <w:rtl/>
        </w:rPr>
        <w:t xml:space="preserve">‎model:558‎</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‎:576‎</w:t>
      </w:r>
      <w:r>
        <w:rPr>
          <w:rFonts w:ascii="Arial" w:cs="Arial" w:eastAsia="Arial" w:hAnsi="Arial"/>
          <w:b w:val="false"/>
          <w:bCs w:val="false"/>
          <w:sz w:val="21"/>
          <w:szCs w:val="21"/>
          <w:rtl/>
        </w:rPr>
        <w:t xml:space="preserve">). لكن لا قادح يجمّد المؤكَّد. القادح الوحيد على المبالغ المحوَّلة يمنع العد المزدوج فقط (</w:t>
      </w:r>
      <w:r>
        <w:rPr>
          <w:rFonts w:ascii="Courier New" w:cs="Courier New" w:eastAsia="Courier New" w:hAnsi="Courier New"/>
          <w:b w:val="false"/>
          <w:bCs w:val="false"/>
          <w:color w:val="1F2937"/>
          <w:sz w:val="18"/>
          <w:szCs w:val="18"/>
          <w:shd w:fill="F1F3F5" w:color="auto" w:val="clear"/>
          <w:rtl/>
        </w:rPr>
        <w:t xml:space="preserve">‎045:101-115‎</w:t>
      </w:r>
      <w:r>
        <w:rPr>
          <w:rFonts w:ascii="Arial" w:cs="Arial" w:eastAsia="Arial" w:hAnsi="Arial"/>
          <w:b w:val="false"/>
          <w:bCs w:val="false"/>
          <w:sz w:val="21"/>
          <w:szCs w:val="21"/>
          <w:rtl/>
        </w:rPr>
        <w:t xml:space="preserve">). فيمكن تعديل رقم مؤكَّد، فيتغير بصمت أداء التحويلات عند إعادة تقييم لاحقة. هذه فجوة نقبلها ونقترح إغلاقها (§9، البند 1).</w:t>
      </w:r>
    </w:p>
    <w:p>
      <w:pPr>
        <w:bidi/>
        <w:spacing w:after="110" w:before="0" w:line="312"/>
      </w:pPr>
      <w:r>
        <w:rPr>
          <w:rFonts w:ascii="Arial" w:cs="Arial" w:eastAsia="Arial" w:hAnsi="Arial"/>
          <w:b/>
          <w:bCs/>
          <w:sz w:val="21"/>
          <w:szCs w:val="21"/>
          <w:rtl/>
        </w:rPr>
        <w:t xml:space="preserve">أما إقفال الفترة بمعناه المحاسبي</w:t>
      </w:r>
      <w:r>
        <w:rPr>
          <w:rFonts w:ascii="Arial" w:cs="Arial" w:eastAsia="Arial" w:hAnsi="Arial"/>
          <w:b w:val="false"/>
          <w:bCs w:val="false"/>
          <w:sz w:val="21"/>
          <w:szCs w:val="21"/>
          <w:rtl/>
        </w:rPr>
        <w:t xml:space="preserve"> (منع أي نسخة جديدة لفترة أُقفلت إلا بإعادة فتح معتمدة)، فيمكن إضافته اختيارًا للشركة (§9، البند 2). والنسخ القائمة تحفظ الأثر أصلًا، فلا نراه عاجلًا (P0) بل مهمًا (P1).</w:t>
      </w:r>
    </w:p>
    <w:p>
      <w:pPr>
        <w:pStyle w:val="Heading2"/>
        <w:bidi/>
      </w:pPr>
      <w:bookmarkStart w:name="_sec5" w:id="5"/>
      <w:r>
        <w:rPr>
          <w:rFonts w:ascii="Arial" w:cs="Arial" w:eastAsia="Arial" w:hAnsi="Arial"/>
          <w:b/>
          <w:bCs/>
          <w:color w:val="2B5C8A"/>
          <w:sz w:val="26"/>
          <w:szCs w:val="26"/>
          <w:rtl/>
        </w:rPr>
        <w:t xml:space="preserve">3.2 «لا تصدير ميزان مراجعة وإيضاحات للمدقق الخارجي» (G7، P1-3)</w:t>
      </w:r>
      <w:bookmarkEnd w:id="5"/>
    </w:p>
    <w:p>
      <w:pPr>
        <w:bidi/>
        <w:spacing w:after="110" w:before="0" w:line="312"/>
      </w:pPr>
      <w:r>
        <w:rPr>
          <w:rFonts w:ascii="Arial" w:cs="Arial" w:eastAsia="Arial" w:hAnsi="Arial"/>
          <w:b/>
          <w:bCs/>
          <w:sz w:val="21"/>
          <w:szCs w:val="21"/>
          <w:rtl/>
        </w:rPr>
        <w:t xml:space="preserve">ميزان المراجعة لا ينطبق:</w:t>
      </w:r>
      <w:r>
        <w:rPr>
          <w:rFonts w:ascii="Arial" w:cs="Arial" w:eastAsia="Arial" w:hAnsi="Arial"/>
          <w:b w:val="false"/>
          <w:bCs w:val="false"/>
          <w:sz w:val="21"/>
          <w:szCs w:val="21"/>
          <w:rtl/>
        </w:rPr>
        <w:t xml:space="preserve"> النظام لا يمسك دفتر أستاذ ولا ميزان مراجعة. الشركة تُدخل قوائمها أسطرًا من كتالوج أسطر معياري (</w:t>
      </w:r>
      <w:r>
        <w:rPr>
          <w:rFonts w:ascii="Courier New" w:cs="Courier New" w:eastAsia="Courier New" w:hAnsi="Courier New"/>
          <w:b w:val="false"/>
          <w:bCs w:val="false"/>
          <w:color w:val="1F2937"/>
          <w:sz w:val="18"/>
          <w:szCs w:val="18"/>
          <w:shd w:fill="F1F3F5" w:color="auto" w:val="clear"/>
          <w:rtl/>
        </w:rPr>
        <w:t xml:space="preserve">‎fin.LineCatalogItem‎</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‎fin.StatementLine‎</w:t>
      </w:r>
      <w:r>
        <w:rPr>
          <w:rFonts w:ascii="Arial" w:cs="Arial" w:eastAsia="Arial" w:hAnsi="Arial"/>
          <w:b w:val="false"/>
          <w:bCs w:val="false"/>
          <w:sz w:val="21"/>
          <w:szCs w:val="21"/>
          <w:rtl/>
        </w:rPr>
        <w:t xml:space="preserve">)، وميزانها في نظامها المحاسبي.</w:t>
      </w:r>
    </w:p>
    <w:p>
      <w:pPr>
        <w:bidi/>
        <w:spacing w:after="110" w:before="0" w:line="312"/>
      </w:pPr>
      <w:r>
        <w:rPr>
          <w:rFonts w:ascii="Arial" w:cs="Arial" w:eastAsia="Arial" w:hAnsi="Arial"/>
          <w:b/>
          <w:bCs/>
          <w:sz w:val="21"/>
          <w:szCs w:val="21"/>
          <w:rtl/>
        </w:rPr>
        <w:t xml:space="preserve">والموجود لصالح المدقق:</w:t>
      </w:r>
    </w:p>
    <w:p>
      <w:pPr>
        <w:pStyle w:val="ListParagraph"/>
        <w:numPr>
          <w:ilvl w:val="0"/>
          <w:numId w:val="2"/>
        </w:numPr>
        <w:bidi/>
        <w:spacing w:after="70" w:before="0" w:line="300"/>
      </w:pPr>
      <w:r>
        <w:rPr>
          <w:rFonts w:ascii="Arial" w:cs="Arial" w:eastAsia="Arial" w:hAnsi="Arial"/>
          <w:b w:val="false"/>
          <w:bCs w:val="false"/>
          <w:sz w:val="21"/>
          <w:szCs w:val="21"/>
          <w:rtl/>
        </w:rPr>
        <w:t xml:space="preserve">تصدير سجل التدقيق بصلاحية </w:t>
      </w:r>
      <w:r>
        <w:rPr>
          <w:rFonts w:ascii="Courier New" w:cs="Courier New" w:eastAsia="Courier New" w:hAnsi="Courier New"/>
          <w:b w:val="false"/>
          <w:bCs w:val="false"/>
          <w:color w:val="1F2937"/>
          <w:sz w:val="18"/>
          <w:szCs w:val="18"/>
          <w:shd w:fill="F1F3F5" w:color="auto" w:val="clear"/>
          <w:rtl/>
        </w:rPr>
        <w:t xml:space="preserve">‎audit.export‎</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تصدير بيانات المشترك بحزمة مختومة ببصمة SHA-256 (042).</w:t>
      </w:r>
    </w:p>
    <w:p>
      <w:pPr>
        <w:pStyle w:val="ListParagraph"/>
        <w:numPr>
          <w:ilvl w:val="0"/>
          <w:numId w:val="2"/>
        </w:numPr>
        <w:bidi/>
        <w:spacing w:after="70" w:before="0" w:line="300"/>
      </w:pPr>
      <w:r>
        <w:rPr>
          <w:rFonts w:ascii="Arial" w:cs="Arial" w:eastAsia="Arial" w:hAnsi="Arial"/>
          <w:b w:val="false"/>
          <w:bCs w:val="false"/>
          <w:sz w:val="21"/>
          <w:szCs w:val="21"/>
          <w:rtl/>
        </w:rPr>
        <w:t xml:space="preserve">عروض التقييم كلها: التقرير ونسخة القائمة ومراجعها ورأيه، والعوامل، والنتائج، وتسوية القائمة التحليلية، والحلول، والسيناريوهات، والتعهدات (</w:t>
      </w:r>
      <w:r>
        <w:rPr>
          <w:rFonts w:ascii="Courier New" w:cs="Courier New" w:eastAsia="Courier New" w:hAnsi="Courier New"/>
          <w:b w:val="false"/>
          <w:bCs w:val="false"/>
          <w:color w:val="1F2937"/>
          <w:sz w:val="18"/>
          <w:szCs w:val="18"/>
          <w:shd w:fill="F1F3F5" w:color="auto" w:val="clear"/>
          <w:rtl/>
        </w:rPr>
        <w:t xml:space="preserve">‎047:2018-2214‎</w:t>
      </w:r>
      <w:r>
        <w:rPr>
          <w:rFonts w:ascii="Arial" w:cs="Arial" w:eastAsia="Arial" w:hAnsi="Arial"/>
          <w:b w:val="false"/>
          <w:bCs w:val="false"/>
          <w:sz w:val="21"/>
          <w:szCs w:val="21"/>
          <w:rtl/>
        </w:rPr>
        <w:t xml:space="preserve">)، وبصمة المدخلات ولقطتها (</w:t>
      </w:r>
      <w:r>
        <w:rPr>
          <w:rFonts w:ascii="Courier New" w:cs="Courier New" w:eastAsia="Courier New" w:hAnsi="Courier New"/>
          <w:b w:val="false"/>
          <w:bCs w:val="false"/>
          <w:color w:val="1F2937"/>
          <w:sz w:val="18"/>
          <w:szCs w:val="18"/>
          <w:shd w:fill="F1F3F5" w:color="auto" w:val="clear"/>
          <w:rtl/>
        </w:rPr>
        <w:t xml:space="preserve">‎model:1005‎</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‎:1029‎</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bCs/>
          <w:sz w:val="21"/>
          <w:szCs w:val="21"/>
          <w:rtl/>
        </w:rPr>
        <w:t xml:space="preserve">والناقص فعلًا:</w:t>
      </w:r>
      <w:r>
        <w:rPr>
          <w:rFonts w:ascii="Arial" w:cs="Arial" w:eastAsia="Arial" w:hAnsi="Arial"/>
          <w:b w:val="false"/>
          <w:bCs w:val="false"/>
          <w:sz w:val="21"/>
          <w:szCs w:val="21"/>
          <w:rtl/>
        </w:rPr>
        <w:t xml:space="preserve"> حزمة أدلة واحدة مختومة لتقييم بعينه أو اختبار تعهد، يأخذها المدقق أو جهة التمويل دفعة واحدة. فيها سلسلة نسخ القائمة وأسطرها، واللقطة والبصمة، والتسوية، وصفوف سجل التدقيق. نقبل هذا ونقترحه (§9، البند 3).</w:t>
      </w:r>
    </w:p>
    <w:p>
      <w:pPr>
        <w:pStyle w:val="Heading1"/>
        <w:bidi/>
      </w:pPr>
      <w:bookmarkStart w:name="_sec6" w:id="6"/>
      <w:r>
        <w:rPr>
          <w:rFonts w:ascii="Arial" w:cs="Arial" w:eastAsia="Arial" w:hAnsi="Arial"/>
          <w:b/>
          <w:bCs/>
          <w:color w:val="1F3A5F"/>
          <w:sz w:val="32"/>
          <w:szCs w:val="32"/>
          <w:rtl/>
        </w:rPr>
        <w:t xml:space="preserve">4. مواضع تمنح المراجعة النظام فيها أكثر مما يستحق</w:t>
      </w:r>
      <w:bookmarkEnd w:id="6"/>
    </w:p>
    <w:p>
      <w:pPr>
        <w:bidi/>
        <w:spacing w:after="110" w:before="0" w:line="312"/>
      </w:pPr>
      <w:r>
        <w:rPr>
          <w:rFonts w:ascii="Arial" w:cs="Arial" w:eastAsia="Arial" w:hAnsi="Arial"/>
          <w:b w:val="false"/>
          <w:bCs w:val="false"/>
          <w:sz w:val="21"/>
          <w:szCs w:val="21"/>
          <w:rtl/>
        </w:rPr>
        <w:t xml:space="preserve">نصححها أمانةً، وإن كانت لصالحنا: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3"/>
        <w:gridCol w:w="1931"/>
        <w:gridCol w:w="6980"/>
      </w:tblGrid>
      <w:tr>
        <w:trPr>
          <w:cantSplit/>
          <w:tblHeader/>
        </w:trPr>
        <w:tc>
          <w:tcPr>
            <w:tcW w:type="dxa" w:w="9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9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قالته المراجعة</w:t>
            </w:r>
          </w:p>
        </w:tc>
        <w:tc>
          <w:tcPr>
            <w:tcW w:type="dxa" w:w="69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الواقع</w:t>
            </w:r>
          </w:p>
        </w:tc>
      </w:tr>
      <w:tr>
        <w:trPr>
          <w:cantSplit/>
        </w:trPr>
        <w:tc>
          <w:tcPr>
            <w:tcW w:type="dxa" w:w="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w:t>
            </w:r>
          </w:p>
        </w:tc>
        <w:tc>
          <w:tcPr>
            <w:tcW w:type="dxa" w:w="1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مغلَّف AES-256-GCM بمفاتيح مُدارة خارج القاعدة مع فهرسة عمياء» قوةً قائمة (البُعد 4، 90 درجة)</w:t>
            </w:r>
          </w:p>
        </w:tc>
        <w:tc>
          <w:tcPr>
            <w:tcW w:type="dxa" w:w="6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تصميم لم يُنفَّذ.</w:t>
            </w:r>
            <w:r>
              <w:rPr>
                <w:rFonts w:ascii="Arial" w:cs="Arial" w:eastAsia="Arial" w:hAnsi="Arial"/>
                <w:b w:val="false"/>
                <w:bCs w:val="false"/>
                <w:sz w:val="18"/>
                <w:szCs w:val="18"/>
                <w:rtl/>
              </w:rPr>
              <w:t xml:space="preserve"> مخطط المفاتيح موجود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‎db/model/10-platform.model:315-319‎</w:t>
            </w:r>
            <w:r>
              <w:rPr>
                <w:rFonts w:ascii="Arial" w:cs="Arial" w:eastAsia="Arial" w:hAnsi="Arial"/>
                <w:b w:val="false"/>
                <w:bCs w:val="false"/>
                <w:sz w:val="18"/>
                <w:szCs w:val="18"/>
                <w:rtl/>
              </w:rPr>
              <w:t xml:space="preserve">)، لكن التشفير في طبقة التطبيق، والوثيقة تقول صراحة إنه لا تطبيق له بعد (</w:t>
            </w:r>
            <w:r>
              <w:rPr>
                <w:rFonts w:ascii="Courier New" w:cs="Courier New" w:eastAsia="Courier New" w:hAnsi="Courier New"/>
                <w:b w:val="false"/>
                <w:bCs w:val="false"/>
                <w:color w:val="1F2937"/>
                <w:sz w:val="16"/>
                <w:szCs w:val="16"/>
                <w:shd w:fill="F1F3F5" w:color="auto" w:val="clear"/>
                <w:rtl/>
              </w:rPr>
              <w:t xml:space="preserve">‎DOC-S02-key-management-encryption.md:36‎</w:t>
            </w:r>
            <w:r>
              <w:rPr>
                <w:rFonts w:ascii="Arial" w:cs="Arial" w:eastAsia="Arial" w:hAnsi="Arial"/>
                <w:b w:val="false"/>
                <w:bCs w:val="false"/>
                <w:sz w:val="18"/>
                <w:szCs w:val="18"/>
                <w:rtl/>
              </w:rPr>
              <w:t xml:space="preserve">). المبني فعلًا: العزل بثلاث طبقات، والصلاحيات، وسجل التدقيق المتسلسل، وتدقيق الخادم</w:t>
            </w:r>
          </w:p>
        </w:tc>
      </w:tr>
      <w:tr>
        <w:trPr>
          <w:cantSplit/>
        </w:trPr>
        <w:tc>
          <w:tcPr>
            <w:tcW w:type="dxa" w:w="9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1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«إجراءات استرجاع المفاتيح» تُطلب كأنها غائبة (R8)، ثم يُعدّ الأمن جاهزًا</w:t>
            </w:r>
          </w:p>
        </w:tc>
        <w:tc>
          <w:tcPr>
            <w:tcW w:type="dxa" w:w="6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الإجراءات </w:t>
            </w:r>
            <w:r>
              <w:rPr>
                <w:rFonts w:ascii="Arial" w:cs="Arial" w:eastAsia="Arial" w:hAnsi="Arial"/>
                <w:b/>
                <w:bCs/>
                <w:sz w:val="18"/>
                <w:szCs w:val="18"/>
                <w:rtl/>
              </w:rPr>
              <w:t xml:space="preserve">موثّقة</w:t>
            </w:r>
            <w:r>
              <w:rPr>
                <w:rFonts w:ascii="Arial" w:cs="Arial" w:eastAsia="Arial" w:hAnsi="Arial"/>
                <w:b w:val="false"/>
                <w:bCs w:val="false"/>
                <w:sz w:val="18"/>
                <w:szCs w:val="18"/>
                <w:rtl/>
              </w:rPr>
              <w:t xml:space="preserve"> بحافظَين (</w:t>
            </w:r>
            <w:r>
              <w:rPr>
                <w:rFonts w:ascii="Courier New" w:cs="Courier New" w:eastAsia="Courier New" w:hAnsi="Courier New"/>
                <w:b w:val="false"/>
                <w:bCs w:val="false"/>
                <w:color w:val="1F2937"/>
                <w:sz w:val="16"/>
                <w:szCs w:val="16"/>
                <w:shd w:fill="F1F3F5" w:color="auto" w:val="clear"/>
                <w:rtl/>
              </w:rPr>
              <w:t xml:space="preserve">‎DOC-S02 §11‎</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‎:208-231‎</w:t>
            </w:r>
            <w:r>
              <w:rPr>
                <w:rFonts w:ascii="Arial" w:cs="Arial" w:eastAsia="Arial" w:hAnsi="Arial"/>
                <w:b w:val="false"/>
                <w:bCs w:val="false"/>
                <w:sz w:val="18"/>
                <w:szCs w:val="18"/>
                <w:rtl/>
              </w:rPr>
              <w:t xml:space="preserve">)، لكن </w:t>
            </w:r>
            <w:r>
              <w:rPr>
                <w:rFonts w:ascii="Arial" w:cs="Arial" w:eastAsia="Arial" w:hAnsi="Arial"/>
                <w:b/>
                <w:bCs/>
                <w:sz w:val="18"/>
                <w:szCs w:val="18"/>
                <w:rtl/>
              </w:rPr>
              <w:t xml:space="preserve">لم يُجرَ تمرين</w:t>
            </w:r>
            <w:r>
              <w:rPr>
                <w:rFonts w:ascii="Arial" w:cs="Arial" w:eastAsia="Arial" w:hAnsi="Arial"/>
                <w:b w:val="false"/>
                <w:bCs w:val="false"/>
                <w:sz w:val="18"/>
                <w:szCs w:val="18"/>
                <w:rtl/>
              </w:rPr>
              <w:t xml:space="preserve"> واحد. فالمعالجة الصحيحة تمرين مسجَّل، لا وثيقة جديدة</w:t>
            </w:r>
          </w:p>
        </w:tc>
      </w:tr>
      <w:tr>
        <w:trPr>
          <w:cantSplit/>
        </w:trPr>
        <w:tc>
          <w:tcPr>
            <w:tcW w:type="dxa" w:w="9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w:t>
            </w:r>
          </w:p>
        </w:tc>
        <w:tc>
          <w:tcPr>
            <w:tcW w:type="dxa" w:w="1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البُعد 7 «+1 (مسار تصديق مستقل)» في محرك دورات العمل</w:t>
            </w:r>
          </w:p>
        </w:tc>
        <w:tc>
          <w:tcPr>
            <w:tcW w:type="dxa" w:w="6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التصديق إجراء مستقل في مخطط </w:t>
            </w:r>
            <w:r>
              <w:rPr>
                <w:rFonts w:ascii="Courier New" w:cs="Courier New" w:eastAsia="Courier New" w:hAnsi="Courier New"/>
                <w:b w:val="false"/>
                <w:bCs w:val="false"/>
                <w:color w:val="1F2937"/>
                <w:sz w:val="16"/>
                <w:szCs w:val="16"/>
                <w:shd w:fill="F1F3F5" w:color="auto" w:val="clear"/>
                <w:rtl/>
              </w:rPr>
              <w:t xml:space="preserve">‎fin‎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‎db/static/052_review_controls.sql:28-59‎</w:t>
            </w:r>
            <w:r>
              <w:rPr>
                <w:rFonts w:ascii="Arial" w:cs="Arial" w:eastAsia="Arial" w:hAnsi="Arial"/>
                <w:b w:val="false"/>
                <w:bCs w:val="false"/>
                <w:sz w:val="18"/>
                <w:szCs w:val="18"/>
                <w:rtl/>
              </w:rPr>
              <w:t xml:space="preserve">)، لا يمر بمحرك دورات العمل </w:t>
            </w:r>
            <w:r>
              <w:rPr>
                <w:rFonts w:ascii="Courier New" w:cs="Courier New" w:eastAsia="Courier New" w:hAnsi="Courier New"/>
                <w:b w:val="false"/>
                <w:bCs w:val="false"/>
                <w:color w:val="1F2937"/>
                <w:sz w:val="16"/>
                <w:szCs w:val="16"/>
                <w:shd w:fill="F1F3F5" w:color="auto" w:val="clear"/>
                <w:rtl/>
              </w:rPr>
              <w:t xml:space="preserve">‎wfl‎</w:t>
            </w:r>
            <w:r>
              <w:rPr>
                <w:rFonts w:ascii="Arial" w:cs="Arial" w:eastAsia="Arial" w:hAnsi="Arial"/>
                <w:b w:val="false"/>
                <w:bCs w:val="false"/>
                <w:sz w:val="18"/>
                <w:szCs w:val="18"/>
                <w:rtl/>
              </w:rPr>
              <w:t xml:space="preserve">. الزيادة في غير موضعها</w:t>
            </w:r>
          </w:p>
        </w:tc>
      </w:tr>
    </w:tbl>
    <w:p>
      <w:pPr>
        <w:bidi/>
        <w:spacing w:after="120" w:before="0"/>
      </w:pPr>
    </w:p>
    <w:p>
      <w:pPr>
        <w:bidi/>
        <w:spacing w:after="110" w:before="0" w:line="312"/>
      </w:pPr>
      <w:r>
        <w:rPr>
          <w:rFonts w:ascii="Arial" w:cs="Arial" w:eastAsia="Arial" w:hAnsi="Arial"/>
          <w:b w:val="false"/>
          <w:bCs w:val="false"/>
          <w:sz w:val="21"/>
          <w:szCs w:val="21"/>
          <w:rtl/>
        </w:rPr>
        <w:t xml:space="preserve">ولهذا لا نطلب رفع الدرجة. ونرى أن بُعد الأمن يُقرأ «تصميم ممتاز، تنفيذ جزئي».</w:t>
      </w:r>
    </w:p>
    <w:p>
      <w:pPr>
        <w:pStyle w:val="Heading1"/>
        <w:bidi/>
      </w:pPr>
      <w:bookmarkStart w:name="_sec7" w:id="7"/>
      <w:r>
        <w:rPr>
          <w:rFonts w:ascii="Arial" w:cs="Arial" w:eastAsia="Arial" w:hAnsi="Arial"/>
          <w:b/>
          <w:bCs/>
          <w:color w:val="1F3A5F"/>
          <w:sz w:val="32"/>
          <w:szCs w:val="32"/>
          <w:rtl/>
        </w:rPr>
        <w:t xml:space="preserve">5. أخطاء صغيرة في الوقائع</w:t>
      </w:r>
      <w:bookmarkEnd w:id="7"/>
    </w:p>
    <w:p>
      <w:pPr>
        <w:pStyle w:val="ListParagraph"/>
        <w:numPr>
          <w:ilvl w:val="0"/>
          <w:numId w:val="3"/>
        </w:numPr>
        <w:bidi/>
        <w:spacing w:after="70" w:before="0" w:line="300"/>
      </w:pPr>
      <w:r>
        <w:rPr>
          <w:rFonts w:ascii="Arial" w:cs="Arial" w:eastAsia="Arial" w:hAnsi="Arial"/>
          <w:b/>
          <w:bCs/>
          <w:sz w:val="21"/>
          <w:szCs w:val="21"/>
          <w:rtl/>
        </w:rPr>
        <w:t xml:space="preserve">رأس المراجعة يذكر الإيداع </w:t>
      </w:r>
      <w:r>
        <w:rPr>
          <w:rFonts w:ascii="Courier New" w:cs="Courier New" w:eastAsia="Courier New" w:hAnsi="Courier New"/>
          <w:b/>
          <w:bCs/>
          <w:color w:val="1F2937"/>
          <w:sz w:val="18"/>
          <w:szCs w:val="18"/>
          <w:shd w:fill="F1F3F5" w:color="auto" w:val="clear"/>
          <w:rtl/>
        </w:rPr>
        <w:t xml:space="preserve">‎d1ff1b6‎</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والحزمة المرسلة على </w:t>
      </w:r>
      <w:r>
        <w:rPr>
          <w:rFonts w:ascii="Courier New" w:cs="Courier New" w:eastAsia="Courier New" w:hAnsi="Courier New"/>
          <w:b w:val="false"/>
          <w:bCs w:val="false"/>
          <w:color w:val="1F2937"/>
          <w:sz w:val="18"/>
          <w:szCs w:val="18"/>
          <w:shd w:fill="F1F3F5" w:color="auto" w:val="clear"/>
          <w:rtl/>
        </w:rPr>
        <w:t xml:space="preserve">‎589ccf4‎</w:t>
      </w:r>
      <w:r>
        <w:rPr>
          <w:rFonts w:ascii="Arial" w:cs="Arial" w:eastAsia="Arial" w:hAnsi="Arial"/>
          <w:b w:val="false"/>
          <w:bCs w:val="false"/>
          <w:sz w:val="21"/>
          <w:szCs w:val="21"/>
          <w:rtl/>
        </w:rPr>
        <w:t xml:space="preserve">، وهو اللاحق الذي فيه ADR 0029. والمراجعة تقيّم ADR 0029، فقد قرأت الحزمة الصحيحة وأخطأت الرقم.</w:t>
      </w:r>
    </w:p>
    <w:p>
      <w:pPr>
        <w:pStyle w:val="ListParagraph"/>
        <w:numPr>
          <w:ilvl w:val="0"/>
          <w:numId w:val="3"/>
        </w:numPr>
        <w:bidi/>
        <w:spacing w:after="70" w:before="0" w:line="300"/>
      </w:pPr>
      <w:r>
        <w:rPr>
          <w:rFonts w:ascii="Arial" w:cs="Arial" w:eastAsia="Arial" w:hAnsi="Arial"/>
          <w:b/>
          <w:bCs/>
          <w:sz w:val="21"/>
          <w:szCs w:val="21"/>
          <w:rtl/>
        </w:rPr>
        <w:t xml:space="preserve">«CA25 (6 حالات)»:</w:t>
      </w:r>
      <w:r>
        <w:rPr>
          <w:rFonts w:ascii="Arial" w:cs="Arial" w:eastAsia="Arial" w:hAnsi="Arial"/>
          <w:b w:val="false"/>
          <w:bCs w:val="false"/>
          <w:sz w:val="21"/>
          <w:szCs w:val="21"/>
          <w:rtl/>
        </w:rPr>
        <w:t xml:space="preserve"> الصواب سبع حالات (</w:t>
      </w:r>
      <w:r>
        <w:rPr>
          <w:rFonts w:ascii="Courier New" w:cs="Courier New" w:eastAsia="Courier New" w:hAnsi="Courier New"/>
          <w:b w:val="false"/>
          <w:bCs w:val="false"/>
          <w:color w:val="1F2937"/>
          <w:sz w:val="18"/>
          <w:szCs w:val="18"/>
          <w:shd w:fill="F1F3F5" w:color="auto" w:val="clear"/>
          <w:rtl/>
        </w:rPr>
        <w:t xml:space="preserve">‎db/tests/credit_assessment_tests.sql:1656‎</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«منصة لإدارة الخزينة والحجوزات والعمليات اللوجستية»:</w:t>
      </w:r>
      <w:r>
        <w:rPr>
          <w:rFonts w:ascii="Arial" w:cs="Arial" w:eastAsia="Arial" w:hAnsi="Arial"/>
          <w:b w:val="false"/>
          <w:bCs w:val="false"/>
          <w:sz w:val="21"/>
          <w:szCs w:val="21"/>
          <w:rtl/>
        </w:rPr>
        <w:t xml:space="preserve"> لا عمليات لوجستية في النظام. نطاقه التسهيلات والحدود وحجزها، والتسعير، والضمانات، والتزامات التعهدات، والاعتمادات المستندية، والقوائم والتقييم.</w:t>
      </w:r>
    </w:p>
    <w:p>
      <w:pPr>
        <w:pStyle w:val="ListParagraph"/>
        <w:numPr>
          <w:ilvl w:val="0"/>
          <w:numId w:val="3"/>
        </w:numPr>
        <w:bidi/>
        <w:spacing w:after="70" w:before="0" w:line="300"/>
      </w:pPr>
      <w:r>
        <w:rPr>
          <w:rFonts w:ascii="Arial" w:cs="Arial" w:eastAsia="Arial" w:hAnsi="Arial"/>
          <w:b/>
          <w:bCs/>
          <w:sz w:val="21"/>
          <w:szCs w:val="21"/>
          <w:rtl/>
        </w:rPr>
        <w:t xml:space="preserve">«725 ملفًا» في الأرقام، و«728» في الرأس:</w:t>
      </w:r>
      <w:r>
        <w:rPr>
          <w:rFonts w:ascii="Arial" w:cs="Arial" w:eastAsia="Arial" w:hAnsi="Arial"/>
          <w:b w:val="false"/>
          <w:bCs w:val="false"/>
          <w:sz w:val="21"/>
          <w:szCs w:val="21"/>
          <w:rtl/>
        </w:rPr>
        <w:t xml:space="preserve"> الحزمة 728 ملفًا.</w:t>
      </w:r>
    </w:p>
    <w:p>
      <w:pPr>
        <w:pStyle w:val="ListParagraph"/>
        <w:numPr>
          <w:ilvl w:val="0"/>
          <w:numId w:val="3"/>
        </w:numPr>
        <w:bidi/>
        <w:spacing w:after="70" w:before="0" w:line="300"/>
      </w:pPr>
      <w:r>
        <w:rPr>
          <w:rFonts w:ascii="Arial" w:cs="Arial" w:eastAsia="Arial" w:hAnsi="Arial"/>
          <w:b/>
          <w:bCs/>
          <w:sz w:val="21"/>
          <w:szCs w:val="21"/>
          <w:rtl/>
        </w:rPr>
        <w:t xml:space="preserve">R3 «شبه مؤكد»:</w:t>
      </w:r>
      <w:r>
        <w:rPr>
          <w:rFonts w:ascii="Arial" w:cs="Arial" w:eastAsia="Arial" w:hAnsi="Arial"/>
          <w:b w:val="false"/>
          <w:bCs w:val="false"/>
          <w:sz w:val="21"/>
          <w:szCs w:val="21"/>
          <w:rtl/>
        </w:rPr>
        <w:t xml:space="preserve"> تجاوز ميزانية التوقف يقع عند كارثة واحدة تحتاج استعادة كاملة. احتماله في شهر بعينه ليس «شبه مؤكد»، وقد قبل المالك الخطر كتابة (DQ-B03-3).</w:t>
      </w:r>
    </w:p>
    <w:p>
      <w:pPr>
        <w:pStyle w:val="ListParagraph"/>
        <w:numPr>
          <w:ilvl w:val="0"/>
          <w:numId w:val="3"/>
        </w:numPr>
        <w:bidi/>
        <w:spacing w:after="70" w:before="0" w:line="300"/>
      </w:pPr>
      <w:r>
        <w:rPr>
          <w:rFonts w:ascii="Arial" w:cs="Arial" w:eastAsia="Arial" w:hAnsi="Arial"/>
          <w:b/>
          <w:bCs/>
          <w:sz w:val="21"/>
          <w:szCs w:val="21"/>
          <w:rtl/>
        </w:rPr>
        <w:t xml:space="preserve">«المعايرة الدورية ما زالت غير مُنفَّذة»:</w:t>
      </w:r>
      <w:r>
        <w:rPr>
          <w:rFonts w:ascii="Arial" w:cs="Arial" w:eastAsia="Arial" w:hAnsi="Arial"/>
          <w:b w:val="false"/>
          <w:bCs w:val="false"/>
          <w:sz w:val="21"/>
          <w:szCs w:val="21"/>
          <w:rtl/>
        </w:rPr>
        <w:t xml:space="preserve"> صحيح، لكن العرض </w:t>
      </w:r>
      <w:r>
        <w:rPr>
          <w:rFonts w:ascii="Courier New" w:cs="Courier New" w:eastAsia="Courier New" w:hAnsi="Courier New"/>
          <w:b w:val="false"/>
          <w:bCs w:val="false"/>
          <w:color w:val="1F2937"/>
          <w:sz w:val="18"/>
          <w:szCs w:val="18"/>
          <w:shd w:fill="F1F3F5" w:color="auto" w:val="clear"/>
          <w:rtl/>
        </w:rPr>
        <w:t xml:space="preserve">‎fin.v_LenderRatingCalibration‎</w:t>
      </w:r>
      <w:r>
        <w:rPr>
          <w:rFonts w:ascii="Arial" w:cs="Arial" w:eastAsia="Arial" w:hAnsi="Arial"/>
          <w:b w:val="false"/>
          <w:bCs w:val="false"/>
          <w:sz w:val="21"/>
          <w:szCs w:val="21"/>
          <w:rtl/>
        </w:rPr>
        <w:t xml:space="preserve"> يُحسب في كل قراءة. الناقص قاعدة تنبّه إلى قِدم التصنيف أو التفاؤل، لا مهمة دورية (§9، البند 4).</w:t>
      </w:r>
    </w:p>
    <w:p>
      <w:pPr>
        <w:bidi/>
        <w:spacing w:after="60" w:before="0"/>
      </w:pPr>
    </w:p>
    <w:p>
      <w:pPr>
        <w:pStyle w:val="Heading1"/>
        <w:bidi/>
      </w:pPr>
      <w:bookmarkStart w:name="_sec8" w:id="8"/>
      <w:r>
        <w:rPr>
          <w:rFonts w:ascii="Arial" w:cs="Arial" w:eastAsia="Arial" w:hAnsi="Arial"/>
          <w:b/>
          <w:bCs/>
          <w:color w:val="1F3A5F"/>
          <w:sz w:val="32"/>
          <w:szCs w:val="32"/>
          <w:rtl/>
        </w:rPr>
        <w:t xml:space="preserve">6. الفجوات الثماني: موقفنا من حكم المراجعة</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9"/>
        <w:gridCol w:w="2399"/>
        <w:gridCol w:w="5066"/>
      </w:tblGrid>
      <w:tr>
        <w:trPr>
          <w:cantSplit/>
          <w:tblHeader/>
        </w:trPr>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الفجوة</w:t>
            </w:r>
          </w:p>
        </w:tc>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حكم المراجعة</w:t>
            </w:r>
          </w:p>
        </w:tc>
        <w:tc>
          <w:tcPr>
            <w:tcW w:type="dxa" w:w="5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موقفنا</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 المخططات</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أُغلقت</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G3 فصل المهام</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أُغلقت، «المراجعة السابقة كانت مخطئة»</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G6 الفعلي والتقديري</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أُغلقت</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G1 تعارض المصالح</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 حكمها إلى «خطر تفاؤل التقدير»</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 والتفاؤل هو ما يعالجه البند 4</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 وظيفة المخاطر</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قائمة</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نراها </w:t>
            </w:r>
            <w:r>
              <w:rPr>
                <w:rFonts w:ascii="Arial" w:cs="Arial" w:eastAsia="Arial" w:hAnsi="Arial"/>
                <w:b/>
                <w:bCs/>
                <w:sz w:val="18"/>
                <w:szCs w:val="18"/>
                <w:rtl/>
              </w:rPr>
              <w:t xml:space="preserve">قرارًا تنظيميًا</w:t>
            </w:r>
            <w:r>
              <w:rPr>
                <w:rFonts w:ascii="Arial" w:cs="Arial" w:eastAsia="Arial" w:hAnsi="Arial"/>
                <w:b w:val="false"/>
                <w:bCs w:val="false"/>
                <w:sz w:val="18"/>
                <w:szCs w:val="18"/>
                <w:rtl/>
              </w:rPr>
              <w:t xml:space="preserve"> لكل شركة لا فجوة نظام. اليوم تستطيع الشركة إنشاء دور «مخاطر» ومنحه صلاحية التصديق دون أي تعديل: الإجراء يفحص الصلاحية لا اسم الدور (</w:t>
            </w:r>
            <w:r>
              <w:rPr>
                <w:rFonts w:ascii="Courier New" w:cs="Courier New" w:eastAsia="Courier New" w:hAnsi="Courier New"/>
                <w:b w:val="false"/>
                <w:bCs w:val="false"/>
                <w:color w:val="1F2937"/>
                <w:sz w:val="16"/>
                <w:szCs w:val="16"/>
                <w:shd w:fill="F1F3F5" w:color="auto" w:val="clear"/>
                <w:rtl/>
              </w:rPr>
              <w:t xml:space="preserve">‎052:40-44‎</w:t>
            </w:r>
            <w:r>
              <w:rPr>
                <w:rFonts w:ascii="Arial" w:cs="Arial" w:eastAsia="Arial" w:hAnsi="Arial"/>
                <w:b w:val="false"/>
                <w:bCs w:val="false"/>
                <w:sz w:val="18"/>
                <w:szCs w:val="18"/>
                <w:rtl/>
              </w:rPr>
              <w:t xml:space="preserve">). الناقص فعلًا أن المصدِّقين لا يصلهم إنذار (البند 5). وإدخال دور نظام جديد يعيد فتح قائمة الأدوار التي اعتمدها المالك (DQ-B05-12)، فهو قراره (D1)</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 تحيّز التقييم الذاتي</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بصيغة معدّلة: «كشف لا وقاية»</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 والبند 4 يضيف وقاية: التفاؤل وقِدم التصنيف يدخلان الجاهزية، ويُعرضان عند التصديق</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G5 IFRS 9</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بصيغة معدّلة: المخصص المبسّط مطلوب</w:t>
            </w:r>
          </w:p>
        </w:tc>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المخصص رقم الشركة المحاسبي يراجعه مراجعها، والنظام يقيس كفايته (</w:t>
            </w:r>
            <w:r>
              <w:rPr>
                <w:rFonts w:ascii="Courier New" w:cs="Courier New" w:eastAsia="Courier New" w:hAnsi="Courier New"/>
                <w:b w:val="false"/>
                <w:bCs w:val="false"/>
                <w:color w:val="1F2937"/>
                <w:sz w:val="16"/>
                <w:szCs w:val="16"/>
                <w:shd w:fill="F1F3F5" w:color="auto" w:val="clear"/>
                <w:rtl/>
              </w:rPr>
              <w:t xml:space="preserve">‎ECL_COVERAGE_365‎</w:t>
            </w:r>
            <w:r>
              <w:rPr>
                <w:rFonts w:ascii="Arial" w:cs="Arial" w:eastAsia="Arial" w:hAnsi="Arial"/>
                <w:b w:val="false"/>
                <w:bCs w:val="false"/>
                <w:sz w:val="18"/>
                <w:szCs w:val="18"/>
                <w:rtl/>
              </w:rPr>
              <w:t xml:space="preserve">). مقارنة بمصفوفة أعمار اختيارية ممكنة بكلفة صغيرة، لكن نسب الخسارة الافتراضية قرار المالك والخزينة (D4، البند 6)</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G7 قابلية التدقيق</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بصيغة معدّلة</w:t>
            </w:r>
          </w:p>
        </w:tc>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 في حزمة الأدلة وتجميد الأرصدة المؤكدة (البندان 1 و3)، ولا نتفق في ميزان المراجعة (§3.2)</w:t>
            </w:r>
          </w:p>
        </w:tc>
      </w:tr>
    </w:tbl>
    <w:p>
      <w:pPr>
        <w:bidi/>
        <w:spacing w:after="120" w:before="0"/>
      </w:pPr>
    </w:p>
    <w:p>
      <w:pPr>
        <w:pStyle w:val="Heading1"/>
        <w:bidi/>
      </w:pPr>
      <w:bookmarkStart w:name="_sec9" w:id="9"/>
      <w:r>
        <w:rPr>
          <w:rFonts w:ascii="Arial" w:cs="Arial" w:eastAsia="Arial" w:hAnsi="Arial"/>
          <w:b/>
          <w:bCs/>
          <w:color w:val="1F3A5F"/>
          <w:sz w:val="32"/>
          <w:szCs w:val="32"/>
          <w:rtl/>
        </w:rPr>
        <w:t xml:space="preserve">7. خطة المعالجة في المراجعة: موقفنا بندًا بندًا</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54"/>
        <w:gridCol w:w="6110"/>
      </w:tblGrid>
      <w:tr>
        <w:trPr>
          <w:cantSplit/>
          <w:tblHeader/>
        </w:trPr>
        <w:tc>
          <w:tcPr>
            <w:tcW w:type="dxa" w:w="37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موقفنا</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P0-1 بناء طبقة الخدمة</w:t>
            </w:r>
          </w:p>
        </w:tc>
        <w:tc>
          <w:tcPr>
            <w:tcW w:type="dxa" w:w="6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 أنه الأكبر. ونتفق مع تسلسل المراجعة: الحوكمة والأدوار قبل بناء الصلاحيات في الخادم</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P0-2 اختبار الحمل</w:t>
            </w:r>
          </w:p>
        </w:tc>
        <w:tc>
          <w:tcPr>
            <w:tcW w:type="dxa" w:w="6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 ويمكن تقديم جزء منه الآن على القاعدة وحدها: مولّد بيانات اصطناعية بأحجام NFR-SCL وقياس الاستعلامات الرئيسية والإجراءات (اقتراح، يحتاج موافقة)</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P0-3 تمرين الاستعادة</w:t>
            </w:r>
          </w:p>
        </w:tc>
        <w:tc>
          <w:tcPr>
            <w:tcW w:type="dxa" w:w="6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 يحتاج بيئة الإنتاج وحافظَي المفاتيح، فهو تشغيلي لا برمجي</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P0-4 إقفال الفترة</w:t>
            </w:r>
          </w:p>
        </w:tc>
        <w:tc>
          <w:tcPr>
            <w:tcW w:type="dxa" w:w="6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نقبل تجميد المؤكَّد الآن (البند 1)، والإقفال الاختياري للفترة (البند 2)</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P1-1 دور مخاطر وتصعيد</w:t>
            </w:r>
          </w:p>
        </w:tc>
        <w:tc>
          <w:tcPr>
            <w:tcW w:type="dxa" w:w="6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(D1)؛ والتنبيه للمصدِّقين يُبنى الآن (البند 5)</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P1-2 معايرة دورية إلزامية</w:t>
            </w:r>
          </w:p>
        </w:tc>
        <w:tc>
          <w:tcPr>
            <w:tcW w:type="dxa" w:w="6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نقبلها بصيغة قاعدة جاهزية (البند 4)</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P1-3 تصدير للمدقق</w:t>
            </w:r>
          </w:p>
        </w:tc>
        <w:tc>
          <w:tcPr>
            <w:tcW w:type="dxa" w:w="6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نقبل حزمة الأدلة (البند 3)، لا ميزان المراجعة</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P1-4 الواجهات</w:t>
            </w:r>
          </w:p>
        </w:tc>
        <w:tc>
          <w:tcPr>
            <w:tcW w:type="dxa" w:w="6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P1-5 اعتماد NTF.BASE</w:t>
            </w:r>
          </w:p>
        </w:tc>
        <w:tc>
          <w:tcPr>
            <w:tcW w:type="dxa" w:w="6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يحتاج قرار المالك والخزينة (D5)</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P2-1 تشغيل المراقبة</w:t>
            </w:r>
          </w:p>
        </w:tc>
        <w:tc>
          <w:tcPr>
            <w:tcW w:type="dxa" w:w="6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 ينتظر DQ-S12-1 (اختيار منظومة المراقبة)</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P2-2 التكامل المصرفي</w:t>
            </w:r>
          </w:p>
        </w:tc>
        <w:tc>
          <w:tcPr>
            <w:tcW w:type="dxa" w:w="6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نتفق أنه لاحق</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P2-3 ضبط الفهارس</w:t>
            </w:r>
          </w:p>
        </w:tc>
        <w:tc>
          <w:tcPr>
            <w:tcW w:type="dxa" w:w="6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قياس الحمل</w:t>
            </w:r>
          </w:p>
        </w:tc>
      </w:tr>
      <w:tr>
        <w:trPr>
          <w:cantSplit/>
        </w:trPr>
        <w:tc>
          <w:tcPr>
            <w:tcW w:type="dxa" w:w="37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P2-4 الأدلة والتدريب</w:t>
            </w:r>
          </w:p>
        </w:tc>
        <w:tc>
          <w:tcPr>
            <w:tcW w:type="dxa" w:w="6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الواجهات</w:t>
            </w:r>
          </w:p>
        </w:tc>
      </w:tr>
    </w:tbl>
    <w:p>
      <w:pPr>
        <w:bidi/>
        <w:spacing w:after="120" w:before="0"/>
      </w:pPr>
    </w:p>
    <w:p>
      <w:pPr>
        <w:pStyle w:val="Heading1"/>
        <w:bidi/>
      </w:pPr>
      <w:bookmarkStart w:name="_sec10" w:id="10"/>
      <w:r>
        <w:rPr>
          <w:rFonts w:ascii="Arial" w:cs="Arial" w:eastAsia="Arial" w:hAnsi="Arial"/>
          <w:b/>
          <w:bCs/>
          <w:color w:val="1F3A5F"/>
          <w:sz w:val="32"/>
          <w:szCs w:val="32"/>
          <w:rtl/>
        </w:rPr>
        <w:t xml:space="preserve">8. القرارات D1 إلى D6: توصيتنا</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260"/>
        <w:gridCol w:w="5604"/>
      </w:tblGrid>
      <w:tr>
        <w:trPr>
          <w:cantSplit/>
          <w:tblHeader/>
        </w:trPr>
        <w:tc>
          <w:tcPr>
            <w:tcW w:type="dxa" w:w="42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56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توصيتنا</w:t>
            </w:r>
          </w:p>
        </w:tc>
      </w:tr>
      <w:tr>
        <w:trPr>
          <w:cantSplit/>
        </w:trPr>
        <w:tc>
          <w:tcPr>
            <w:tcW w:type="dxa" w:w="4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 وظيفة مخاطر مستقلة</w:t>
            </w:r>
          </w:p>
        </w:tc>
        <w:tc>
          <w:tcPr>
            <w:tcW w:type="dxa" w:w="5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تُفرض في النظام. يبقى للشركة أن تنشئ الدور وتمنحه صلاحية التصديق. وإن أراد المالك دور نظام جاهزًا (مثل RK) فقرار يعدّل قائمة الأدوار المعتمدة</w:t>
            </w:r>
          </w:p>
        </w:tc>
      </w:tr>
      <w:tr>
        <w:trPr>
          <w:cantSplit/>
        </w:trPr>
        <w:tc>
          <w:tcPr>
            <w:tcW w:type="dxa" w:w="4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D2 معايرة دورية</w:t>
            </w:r>
          </w:p>
        </w:tc>
        <w:tc>
          <w:tcPr>
            <w:tcW w:type="dxa" w:w="5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بقاعدة جاهزية: إن قدم آخر تصنيف لجهة تمويل عن 12 شهرًا (إعداد للشركة) أو كان الميل متفائلًا، فالجاهزية صفراء ويصل الإنذار</w:t>
            </w:r>
          </w:p>
        </w:tc>
      </w:tr>
      <w:tr>
        <w:trPr>
          <w:cantSplit/>
        </w:trPr>
        <w:tc>
          <w:tcPr>
            <w:tcW w:type="dxa" w:w="4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D3 الاستمرارية</w:t>
            </w:r>
          </w:p>
        </w:tc>
        <w:tc>
          <w:tcPr>
            <w:tcW w:type="dxa" w:w="5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 قائم (DQ-B03-3: قبول موقَّع). الناقص التمرين المقاس، وموعده مع أول بيئة إنتاج</w:t>
            </w:r>
          </w:p>
        </w:tc>
      </w:tr>
      <w:tr>
        <w:trPr>
          <w:cantSplit/>
        </w:trPr>
        <w:tc>
          <w:tcPr>
            <w:tcW w:type="dxa" w:w="4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D4 مخصص IFRS 9 المبسّط</w:t>
            </w:r>
          </w:p>
        </w:tc>
        <w:tc>
          <w:tcPr>
            <w:tcW w:type="dxa" w:w="5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المخصص مُدخَلًا من الحسابات. وتُضاف مقارنة اختيارية بمصفوفة أعمار إن وافق المالك على نسب افتراضية تعتمدها الخزينة</w:t>
            </w:r>
          </w:p>
        </w:tc>
      </w:tr>
      <w:tr>
        <w:trPr>
          <w:cantSplit/>
        </w:trPr>
        <w:tc>
          <w:tcPr>
            <w:tcW w:type="dxa" w:w="4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D5 حزمة NTF.BASE</w:t>
            </w:r>
          </w:p>
        </w:tc>
        <w:tc>
          <w:tcPr>
            <w:tcW w:type="dxa" w:w="5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اعتمادها بعد مراجعة الخزينة لنصوصها الثمانية</w:t>
            </w:r>
          </w:p>
        </w:tc>
      </w:tr>
      <w:tr>
        <w:trPr>
          <w:cantSplit/>
        </w:trPr>
        <w:tc>
          <w:tcPr>
            <w:tcW w:type="dxa" w:w="4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D6 التكامل المصرفي قبل الإطلاق</w:t>
            </w:r>
          </w:p>
        </w:tc>
        <w:tc>
          <w:tcPr>
            <w:tcW w:type="dxa" w:w="5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يُخفَّف خطر الإدخال اليدوي بالتأكيد بغير المُدخِل (قائم) وتجميد المؤكَّد (البند 1)</w:t>
            </w:r>
          </w:p>
        </w:tc>
      </w:tr>
    </w:tbl>
    <w:p>
      <w:pPr>
        <w:bidi/>
        <w:spacing w:after="120" w:before="0"/>
      </w:pPr>
    </w:p>
    <w:p>
      <w:pPr>
        <w:pStyle w:val="Heading1"/>
        <w:bidi/>
      </w:pPr>
      <w:bookmarkStart w:name="_sec11" w:id="11"/>
      <w:r>
        <w:rPr>
          <w:rFonts w:ascii="Arial" w:cs="Arial" w:eastAsia="Arial" w:hAnsi="Arial"/>
          <w:b/>
          <w:bCs/>
          <w:color w:val="1F3A5F"/>
          <w:sz w:val="32"/>
          <w:szCs w:val="32"/>
          <w:rtl/>
        </w:rPr>
        <w:t xml:space="preserve">9. ما نقترح بناءه (ينتظر موافقة المالك)</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0"/>
        <w:gridCol w:w="2225"/>
        <w:gridCol w:w="5344"/>
        <w:gridCol w:w="1335"/>
      </w:tblGrid>
      <w:tr>
        <w:trPr>
          <w:cantSplit/>
          <w:tblHeader/>
        </w:trPr>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2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3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يُبنى</w:t>
            </w:r>
          </w:p>
        </w:tc>
        <w:tc>
          <w:tcPr>
            <w:tcW w:type="dxa" w:w="13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الكلفة</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تجميد الأرصدة الشهرية والمبالغ المحوَّلة المؤكدة</w:t>
            </w:r>
          </w:p>
        </w:tc>
        <w:tc>
          <w:tcPr>
            <w:tcW w:type="dxa" w:w="5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قادحان يرفضان تعديل المؤكَّد أو حذفه؛ والتصحيح بإعادة فتح مسبَّبة يعتمدها غير المُدخِل، مع أثر في سجل التدقيق؛ واختبار</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صغيرة</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إقفال الفترة اختياريًا</w:t>
            </w:r>
          </w:p>
        </w:tc>
        <w:tc>
          <w:tcPr>
            <w:tcW w:type="dxa" w:w="5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إقفال لكل شركة ونهاية فترة؛ القوائم والأرصدة والمبالغ لا تُضاف لها نسخة ولا تُعدَّل بعد الإقفال إلا بإعادة فتح يعتمدها غير المقفل؛ واختبار</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أدلة التقييم للمدقق وجهة التمويل</w:t>
            </w:r>
          </w:p>
        </w:tc>
        <w:tc>
          <w:tcPr>
            <w:tcW w:type="dxa" w:w="5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يجمع التقرير وعروضه، وسلسلة نسخ القائمة، واللقطة والبصمة، وصفوف التدقيق، في حزمة مختومة على آلية التصدير القائمة (042)؛ لا تُعطى إلا لتقييم مصدَّق</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المعايرة في الجاهزية</w:t>
            </w:r>
          </w:p>
        </w:tc>
        <w:tc>
          <w:tcPr>
            <w:tcW w:type="dxa" w:w="5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سببان أصفران جديدان: CALIBRATION_STALE (لا تصنيف أو آخره أقدم من 12 شهرًا) وCALIBRATION_OPTIMISTIC؛ ويحفظ التصديق الميلَ وعدد التصنيفات وتاريخ آخرها ويعرضها التقرير</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صغيرة</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إنذار المصدِّقين</w:t>
            </w:r>
          </w:p>
        </w:tc>
        <w:tc>
          <w:tcPr>
            <w:tcW w:type="dxa" w:w="5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في NTF.BASE توصل الإنذار الأحمر إلى حاملي صلاحية التصديق، بنوع المستلم PERMISSION القائم في النموذج</w:t>
            </w:r>
          </w:p>
        </w:tc>
        <w:tc>
          <w:tcPr>
            <w:tcW w:type="dxa" w:w="1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صغيرة جدًا</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المخصص بمصفوفة الأعمار</w:t>
            </w:r>
          </w:p>
        </w:tc>
        <w:tc>
          <w:tcPr>
            <w:tcW w:type="dxa" w:w="5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نسب خسارة لكل شريحة عمر للمشترك، والمخصص المتوقع، والفرق عن المخصص المسجَّل نتيجةً في التقرير</w:t>
            </w:r>
          </w:p>
        </w:tc>
        <w:tc>
          <w:tcPr>
            <w:tcW w:type="dxa" w:w="1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صغيرة، بعد قرار D4</w:t>
            </w:r>
          </w:p>
        </w:tc>
      </w:tr>
    </w:tbl>
    <w:p>
      <w:pPr>
        <w:bidi/>
        <w:spacing w:after="120" w:before="0"/>
      </w:pPr>
    </w:p>
    <w:p>
      <w:pPr>
        <w:pStyle w:val="Heading1"/>
        <w:bidi/>
      </w:pPr>
      <w:bookmarkStart w:name="_sec12" w:id="12"/>
      <w:r>
        <w:rPr>
          <w:rFonts w:ascii="Arial" w:cs="Arial" w:eastAsia="Arial" w:hAnsi="Arial"/>
          <w:b/>
          <w:bCs/>
          <w:color w:val="1F3A5F"/>
          <w:sz w:val="32"/>
          <w:szCs w:val="32"/>
          <w:rtl/>
        </w:rPr>
        <w:t xml:space="preserve">10. الدرجة</w:t>
      </w:r>
      <w:bookmarkEnd w:id="12"/>
    </w:p>
    <w:p>
      <w:pPr>
        <w:bidi/>
        <w:spacing w:after="110" w:before="0" w:line="312"/>
      </w:pPr>
      <w:r>
        <w:rPr>
          <w:rFonts w:ascii="Arial" w:cs="Arial" w:eastAsia="Arial" w:hAnsi="Arial"/>
          <w:b w:val="false"/>
          <w:bCs w:val="false"/>
          <w:sz w:val="21"/>
          <w:szCs w:val="21"/>
          <w:rtl/>
        </w:rPr>
        <w:t xml:space="preserve">لا نعيد ترجيح أوزان المراجع. ونقرّ بأن بُعد الأمن قائم على تصميم لم يُنفَّذ في جزئه التشفيري (§4.1). وأن بُعد دورات العمل لا يستحق زيادة التصديق (§4.3). وأن البنود 1 و3 و4 تعالج ملاحظات صحيحة في بُعدَي التدقيق والحوكمة. والطريق إلى العتبة المؤسسية (75) لا يمر بقاعدة البيانات، التي بلغت 94، بل بالبنود P0-1 إلى P0-3.</w:t>
      </w:r>
    </w:p>
    <w:p>
      <w:pPr>
        <w:pStyle w:val="Heading1"/>
        <w:bidi/>
      </w:pPr>
      <w:bookmarkStart w:name="_sec13" w:id="13"/>
      <w:r>
        <w:rPr>
          <w:rFonts w:ascii="Arial" w:cs="Arial" w:eastAsia="Arial" w:hAnsi="Arial"/>
          <w:b/>
          <w:bCs/>
          <w:color w:val="1F3A5F"/>
          <w:sz w:val="32"/>
          <w:szCs w:val="32"/>
          <w:rtl/>
        </w:rPr>
        <w:t xml:space="preserve">11. ما بُني بعد الدراسة (قرار المالك 35، ADR 0030)</w:t>
      </w:r>
      <w:bookmarkEnd w:id="13"/>
    </w:p>
    <w:p>
      <w:pPr>
        <w:bidi/>
        <w:spacing w:after="110" w:before="0" w:line="312"/>
      </w:pPr>
      <w:r>
        <w:rPr>
          <w:rFonts w:ascii="Arial" w:cs="Arial" w:eastAsia="Arial" w:hAnsi="Arial"/>
          <w:b w:val="false"/>
          <w:bCs w:val="false"/>
          <w:sz w:val="21"/>
          <w:szCs w:val="21"/>
          <w:rtl/>
        </w:rPr>
        <w:t xml:space="preserve">اعتمد المالك البنود 1 و3 و4 و5، والقرارات D1 وD4 وD5: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70"/>
        <w:gridCol w:w="6302"/>
        <w:gridCol w:w="2192"/>
      </w:tblGrid>
      <w:tr>
        <w:trPr>
          <w:cantSplit/>
          <w:tblHeader/>
        </w:trPr>
        <w:tc>
          <w:tcPr>
            <w:tcW w:type="dxa" w:w="1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تجميد الأرصدة الشهرية والمبالغ المحوَّلة المؤكدة، وإعادة فتحها بسبب بيد غير المُدخِل مع عدّاد وحدث تدقيق؛ والأرصدة صار لها مُدخِل ومؤكِّد</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CA27</w:t>
            </w:r>
          </w:p>
        </w:tc>
      </w:tr>
      <w:tr>
        <w:trPr>
          <w:cantSplit/>
        </w:trPr>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أدلة التقييم المصدَّق ببصمة SHA-256 وغرض مكتوب وسجل وحدث تدقيق</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CA28</w:t>
            </w:r>
          </w:p>
        </w:tc>
      </w:tr>
      <w:tr>
        <w:trPr>
          <w:cantSplit/>
        </w:trPr>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المعايرة في الجاهزية (CALIBRATION_OPTIMISTIC وCALIBRATION_STALE)، وطلب تصنيف حين لا تصنيف حديث، وحفظ الميل عند التصديق</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CA29</w:t>
            </w:r>
          </w:p>
        </w:tc>
      </w:tr>
      <w:tr>
        <w:trPr>
          <w:cantSplit/>
        </w:trPr>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الإنذار الأحمر يصل حاملي صلاحية التصديق</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CA24</w:t>
            </w:r>
          </w:p>
        </w:tc>
      </w:tr>
      <w:tr>
        <w:trPr>
          <w:cantSplit/>
        </w:trPr>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w:t>
            </w:r>
          </w:p>
        </w:tc>
        <w:tc>
          <w:tcPr>
            <w:tcW w:type="dxa" w:w="6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النظام RK مسؤول المخاطر في مصفوفة أدوار المواصفة 12 وفي CORE.ROLES</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CR1، CR3، CR4</w:t>
            </w:r>
          </w:p>
        </w:tc>
      </w:tr>
      <w:tr>
        <w:trPr>
          <w:cantSplit/>
        </w:trPr>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D4</w:t>
            </w:r>
          </w:p>
        </w:tc>
        <w:tc>
          <w:tcPr>
            <w:tcW w:type="dxa" w:w="6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 خسارة لكل شريحة عمر، وفحص المخصص المتوقع مقابل المسجَّل، وحزمة FIN.PROVISION بنسب افتراضية تعتمدها الخزينة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CA30</w:t>
            </w:r>
          </w:p>
        </w:tc>
      </w:tr>
      <w:tr>
        <w:trPr>
          <w:cantSplit/>
        </w:trPr>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D5</w:t>
            </w:r>
          </w:p>
        </w:tc>
        <w:tc>
          <w:tcPr>
            <w:tcW w:type="dxa" w:w="6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نصوص NTF.BASE معتمدة افتراضًا، والخزينة جهة تعديلها</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والبند 6 صار القرار D4.</w:t>
      </w:r>
    </w:p>
    <w:p>
      <w:pPr>
        <w:bidi/>
        <w:spacing w:after="110" w:before="0" w:line="312"/>
      </w:pPr>
      <w:r>
        <w:rPr>
          <w:rFonts w:ascii="Arial" w:cs="Arial" w:eastAsia="Arial" w:hAnsi="Arial"/>
          <w:b w:val="false"/>
          <w:bCs w:val="false"/>
          <w:sz w:val="21"/>
          <w:szCs w:val="21"/>
          <w:rtl/>
        </w:rPr>
        <w:t xml:space="preserve">ثم بُني البند 2 (إقفال الفترات اختياريًا) بطلب المالك: </w:t>
      </w:r>
      <w:r>
        <w:rPr>
          <w:rFonts w:ascii="Courier New" w:cs="Courier New" w:eastAsia="Courier New" w:hAnsi="Courier New"/>
          <w:b w:val="false"/>
          <w:bCs w:val="false"/>
          <w:color w:val="1F2937"/>
          <w:sz w:val="18"/>
          <w:szCs w:val="18"/>
          <w:shd w:fill="F1F3F5" w:color="auto" w:val="clear"/>
          <w:rtl/>
        </w:rPr>
        <w:t xml:space="preserve">‎fin.ReportingPeriodLock‎</w:t>
      </w:r>
      <w:r>
        <w:rPr>
          <w:rFonts w:ascii="Arial" w:cs="Arial" w:eastAsia="Arial" w:hAnsi="Arial"/>
          <w:b w:val="false"/>
          <w:bCs w:val="false"/>
          <w:sz w:val="21"/>
          <w:szCs w:val="21"/>
          <w:rtl/>
        </w:rPr>
        <w:t xml:space="preserve"> وإجراءا الإقفال وإعادة الفتح والقوادح والصلاحية </w:t>
      </w:r>
      <w:r>
        <w:rPr>
          <w:rFonts w:ascii="Courier New" w:cs="Courier New" w:eastAsia="Courier New" w:hAnsi="Courier New"/>
          <w:b w:val="false"/>
          <w:bCs w:val="false"/>
          <w:color w:val="1F2937"/>
          <w:sz w:val="18"/>
          <w:szCs w:val="18"/>
          <w:shd w:fill="F1F3F5" w:color="auto" w:val="clear"/>
          <w:rtl/>
        </w:rPr>
        <w:t xml:space="preserve">‎fin.period.lock‎</w:t>
      </w:r>
      <w:r>
        <w:rPr>
          <w:rFonts w:ascii="Arial" w:cs="Arial" w:eastAsia="Arial" w:hAnsi="Arial"/>
          <w:b w:val="false"/>
          <w:bCs w:val="false"/>
          <w:sz w:val="21"/>
          <w:szCs w:val="21"/>
          <w:rtl/>
        </w:rPr>
        <w:t xml:space="preserve"> (ADR 0031، الاختبار CA31).</w:t>
      </w:r>
    </w:p>
    <w:p>
      <w:pPr>
        <w:bidi/>
        <w:spacing w:after="110" w:before="0" w:line="312"/>
      </w:pPr>
      <w:r>
        <w:rPr>
          <w:rFonts w:ascii="Arial" w:cs="Arial" w:eastAsia="Arial" w:hAnsi="Arial"/>
          <w:b w:val="false"/>
          <w:bCs w:val="false"/>
          <w:sz w:val="21"/>
          <w:szCs w:val="21"/>
          <w:rtl/>
        </w:rPr>
        <w:t xml:space="preserve">ثم وسّعت المراجعة الداخلية في 2026-10-21 ضوابط هذا القسم (ADR 0037، الاختبارات FC1 إلى FC14):</w:t>
      </w:r>
    </w:p>
    <w:p>
      <w:pPr>
        <w:pStyle w:val="ListParagraph"/>
        <w:numPr>
          <w:ilvl w:val="0"/>
          <w:numId w:val="2"/>
        </w:numPr>
        <w:bidi/>
        <w:spacing w:after="70" w:before="0" w:line="300"/>
      </w:pPr>
      <w:r>
        <w:rPr>
          <w:rFonts w:ascii="Arial" w:cs="Arial" w:eastAsia="Arial" w:hAnsi="Arial"/>
          <w:b/>
          <w:bCs/>
          <w:sz w:val="21"/>
          <w:szCs w:val="21"/>
          <w:rtl/>
        </w:rPr>
        <w:t xml:space="preserve">المُعِدّ والمعتمِد هو المستخدم المربوط بالجلسة:</w:t>
      </w:r>
      <w:r>
        <w:rPr>
          <w:rFonts w:ascii="Arial" w:cs="Arial" w:eastAsia="Arial" w:hAnsi="Arial"/>
          <w:b w:val="false"/>
          <w:bCs w:val="false"/>
          <w:sz w:val="21"/>
          <w:szCs w:val="21"/>
          <w:rtl/>
        </w:rPr>
        <w:t xml:space="preserve"> في القوائم والتقييمات ومدخلاتها ونسخ العرض وتقديرات الإيراد والأرقام الشهرية ونسب الخسارة، ويحمل كل منهما صلاحية فعله. ولا يُدرج سجل معتمدًا مباشرة. وبعد إعادة فتح رقم شهري يُختم تعديله باسم من عدّله، ولا يؤكده من أعاد فتحه.</w:t>
      </w:r>
    </w:p>
    <w:p>
      <w:pPr>
        <w:pStyle w:val="ListParagraph"/>
        <w:numPr>
          <w:ilvl w:val="0"/>
          <w:numId w:val="2"/>
        </w:numPr>
        <w:bidi/>
        <w:spacing w:after="70" w:before="0" w:line="300"/>
      </w:pPr>
      <w:r>
        <w:rPr>
          <w:rFonts w:ascii="Arial" w:cs="Arial" w:eastAsia="Arial" w:hAnsi="Arial"/>
          <w:b/>
          <w:bCs/>
          <w:sz w:val="21"/>
          <w:szCs w:val="21"/>
          <w:rtl/>
        </w:rPr>
        <w:t xml:space="preserve">الإقفال يشمل ما يغيّر الفترة بطريق غير مباشر:</w:t>
      </w:r>
      <w:r>
        <w:rPr>
          <w:rFonts w:ascii="Arial" w:cs="Arial" w:eastAsia="Arial" w:hAnsi="Arial"/>
          <w:b w:val="false"/>
          <w:bCs w:val="false"/>
          <w:sz w:val="21"/>
          <w:szCs w:val="21"/>
          <w:rtl/>
        </w:rPr>
        <w:t xml:space="preserve"> التقييم الرسمي لقائمة الفترة، وتقديرات الإيراد، وتصنيفات جهات التمويل، وخطوط المنتجات، ونسب الخسارة. ويقفل إقفالُ القابضة قوائمَ وحداتها المشمولة في قائمتها الموحدة المعتمدة. ويبقى التقييم التجريبي والتصديق ممكنين.</w:t>
      </w:r>
    </w:p>
    <w:p>
      <w:pPr>
        <w:pStyle w:val="ListParagraph"/>
        <w:numPr>
          <w:ilvl w:val="0"/>
          <w:numId w:val="2"/>
        </w:numPr>
        <w:bidi/>
        <w:spacing w:after="70" w:before="0" w:line="300"/>
      </w:pPr>
      <w:r>
        <w:rPr>
          <w:rFonts w:ascii="Arial" w:cs="Arial" w:eastAsia="Arial" w:hAnsi="Arial"/>
          <w:b/>
          <w:bCs/>
          <w:sz w:val="21"/>
          <w:szCs w:val="21"/>
          <w:rtl/>
        </w:rPr>
        <w:t xml:space="preserve">ما بقي مفتوحًا:</w:t>
      </w:r>
      <w:r>
        <w:rPr>
          <w:rFonts w:ascii="Arial" w:cs="Arial" w:eastAsia="Arial" w:hAnsi="Arial"/>
          <w:b w:val="false"/>
          <w:bCs w:val="false"/>
          <w:sz w:val="21"/>
          <w:szCs w:val="21"/>
          <w:rtl/>
        </w:rPr>
        <w:t xml:space="preserve"> الإقفال بيد شخص واحد، لأنه يجمّد ولا يفتح. أما إعادة الفتح، وهي التي تفتح، فبيد غيره.</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دراسة المراجعة المعمارية 4.0 · BankFas · 2026-10-21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المراجعة المعمارية النقدية (النسخة 4.0)</dc:title>
  <dc:creator>Claude</dc:creator>
  <dc:description>BankFas database design document</dc:description>
  <cp:lastModifiedBy>Un-named</cp:lastModifiedBy>
  <cp:revision>1</cp:revision>
  <dcterms:created xsi:type="dcterms:W3CDTF">2026-10-21T16:16:08.341Z</dcterms:created>
  <dcterms:modified xsi:type="dcterms:W3CDTF">2026-10-21T16:16:08.342Z</dcterms:modified>
</cp:coreProperties>
</file>

<file path=docProps/custom.xml><?xml version="1.0" encoding="utf-8"?>
<Properties xmlns="http://schemas.openxmlformats.org/officeDocument/2006/custom-properties" xmlns:vt="http://schemas.openxmlformats.org/officeDocument/2006/docPropsVTypes"/>
</file>