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S1-ب</w:t>
      </w:r>
    </w:p>
    <w:p>
      <w:pPr>
        <w:bidi/>
        <w:spacing w:after="110" w:before="0" w:line="312"/>
      </w:pPr>
      <w:r>
        <w:rPr>
          <w:rFonts w:ascii="Arial" w:cs="Arial" w:eastAsia="Arial" w:hAnsi="Arial"/>
          <w:b w:val="false"/>
          <w:bCs w:val="false"/>
          <w:sz w:val="21"/>
          <w:szCs w:val="21"/>
          <w:rtl/>
        </w:rPr>
        <w:t xml:space="preserve">التاريخ: 2026-10-22. الطلب 39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0042.</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والنصوص الافتراضية للحزم والرسائل مقترحة منه، وتحتاج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«أعتمد الافتراضات وابدأ ببناء S1-ب»، ثم «تابع البناء بعد انتهاء الدراسة».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سبق البناءَ موجزٌ درس عقد قاعدة البيانات لـ S1-ب. وجد 19 ثغرة (S1B-GAP-1 إلى 19) و19 سؤالًا مفتوحًا (OQ-1 إلى 19)، ولكل سؤال افتراض مقترح. بُني على هذه الافتراضات، وهي مدرجة في §4 مع حالة اعتمادها.</w:t>
      </w:r>
    </w:p>
    <w:p>
      <w:pPr>
        <w:bidi/>
        <w:spacing w:after="60" w:before="0"/>
      </w:pPr>
    </w:p>
    <w:p>
      <w:pPr>
        <w:bidi/>
        <w:spacing w:after="110" w:before="0" w:line="312"/>
      </w:pPr>
      <w:r>
        <w:rPr>
          <w:rFonts w:ascii="Arial" w:cs="Arial" w:eastAsia="Arial" w:hAnsi="Arial"/>
          <w:b w:val="false"/>
          <w:bCs w:val="false"/>
          <w:sz w:val="21"/>
          <w:szCs w:val="21"/>
          <w:rtl/>
        </w:rPr>
        <w:t xml:space="preserve">S1-ب هي هيكل الشركة وصلاحيات التوقيع:</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الملكية المباشرة وغير المباشرة.</w:t>
      </w:r>
    </w:p>
    <w:p>
      <w:pPr>
        <w:pStyle w:val="ListParagraph"/>
        <w:numPr>
          <w:ilvl w:val="0"/>
          <w:numId w:val="2"/>
        </w:numPr>
        <w:bidi/>
        <w:spacing w:after="70" w:before="0" w:line="300"/>
      </w:pPr>
      <w:r>
        <w:rPr>
          <w:rFonts w:ascii="Arial" w:cs="Arial" w:eastAsia="Arial" w:hAnsi="Arial"/>
          <w:b w:val="false"/>
          <w:bCs w:val="false"/>
          <w:sz w:val="21"/>
          <w:szCs w:val="21"/>
          <w:rtl/>
        </w:rPr>
        <w:t xml:space="preserve">هيئات الحوكمة وأعضاؤها ومنح الصلاحيات.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المفوَّضون بالتوقيع لدى البنوك وصلاحياتهم.</w:t>
      </w:r>
    </w:p>
    <w:p>
      <w:pPr>
        <w:pStyle w:val="ListParagraph"/>
        <w:numPr>
          <w:ilvl w:val="0"/>
          <w:numId w:val="2"/>
        </w:numPr>
        <w:bidi/>
        <w:spacing w:after="70" w:before="0" w:line="300"/>
      </w:pPr>
      <w:r>
        <w:rPr>
          <w:rFonts w:ascii="Arial" w:cs="Arial" w:eastAsia="Arial" w:hAnsi="Arial"/>
          <w:b w:val="false"/>
          <w:bCs w:val="false"/>
          <w:sz w:val="21"/>
          <w:szCs w:val="21"/>
          <w:rtl/>
        </w:rPr>
        <w:t xml:space="preserve">مقارنة صلاحيات البنوك بمنح الحوكمة وتسجيل التعارضات.</w:t>
      </w:r>
    </w:p>
    <w:p>
      <w:pPr>
        <w:bidi/>
        <w:spacing w:after="60" w:before="0"/>
      </w:pPr>
    </w:p>
    <w:p>
      <w:pPr>
        <w:bidi/>
        <w:spacing w:after="110" w:before="0" w:line="312"/>
      </w:pPr>
      <w:r>
        <w:rPr>
          <w:rFonts w:ascii="Arial" w:cs="Arial" w:eastAsia="Arial" w:hAnsi="Arial"/>
          <w:b w:val="false"/>
          <w:bCs w:val="false"/>
          <w:sz w:val="21"/>
          <w:szCs w:val="21"/>
          <w:rtl/>
        </w:rPr>
        <w:t xml:space="preserve">مسار الخروج من S1-ب (OQ-12): </w:t>
      </w:r>
      <w:r>
        <w:rPr>
          <w:rFonts w:ascii="Arial" w:cs="Arial" w:eastAsia="Arial" w:hAnsi="Arial"/>
          <w:b/>
          <w:bCs/>
          <w:sz w:val="21"/>
          <w:szCs w:val="21"/>
          <w:rtl/>
        </w:rPr>
        <w:t xml:space="preserve">AC-ACC-3</w:t>
      </w:r>
      <w:r>
        <w:rPr>
          <w:rFonts w:ascii="Arial" w:cs="Arial" w:eastAsia="Arial" w:hAnsi="Arial"/>
          <w:b w:val="false"/>
          <w:bCs w:val="false"/>
          <w:sz w:val="21"/>
          <w:szCs w:val="21"/>
          <w:rtl/>
        </w:rPr>
        <w:t xml:space="preserve"> (تعارض الحوكمة من فتحه إلى حلّه) و</w:t>
      </w:r>
      <w:r>
        <w:rPr>
          <w:rFonts w:ascii="Arial" w:cs="Arial" w:eastAsia="Arial" w:hAnsi="Arial"/>
          <w:b/>
          <w:bCs/>
          <w:sz w:val="21"/>
          <w:szCs w:val="21"/>
          <w:rtl/>
        </w:rPr>
        <w:t xml:space="preserve">AC-ACC-7</w:t>
      </w:r>
      <w:r>
        <w:rPr>
          <w:rFonts w:ascii="Arial" w:cs="Arial" w:eastAsia="Arial" w:hAnsi="Arial"/>
          <w:b w:val="false"/>
          <w:bCs w:val="false"/>
          <w:sz w:val="21"/>
          <w:szCs w:val="21"/>
          <w:rtl/>
        </w:rPr>
        <w:t xml:space="preserve"> (تقرير التعارضات R-ACC-04)، مع AC-ORG-1 وAC-ORG-2 وAC-ACC-2 (جزء SVC-03) وAC-ACC-4.</w:t>
      </w:r>
    </w:p>
    <w:p>
      <w:pPr>
        <w:pStyle w:val="Heading1"/>
        <w:bidi/>
      </w:pPr>
      <w:bookmarkStart w:name="_sec2" w:id="2"/>
      <w:r>
        <w:rPr>
          <w:rFonts w:ascii="Arial" w:cs="Arial" w:eastAsia="Arial" w:hAnsi="Arial"/>
          <w:b/>
          <w:bCs/>
          <w:color w:val="1F3A5F"/>
          <w:sz w:val="32"/>
          <w:szCs w:val="32"/>
          <w:rtl/>
        </w:rPr>
        <w:t xml:space="preserve">2. الدفعات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2"/>
        <w:gridCol w:w="5440"/>
        <w:gridCol w:w="2382"/>
      </w:tblGrid>
      <w:tr>
        <w:trPr>
          <w:cantSplit/>
          <w:tblHeader/>
        </w:trPr>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5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S1B-A</w:t>
            </w:r>
          </w:p>
        </w:tc>
        <w:tc>
          <w:tcPr>
            <w:tcW w:type="dxa" w:w="5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الحزمتان NTF.BASE v3 وCORE.EXPIRY v2، وإعداد فصل المهام، وحماية القاعدة 061، وتعديل النموذج، وسجلّ مزوّدي الانتهاء، وفحص تصادم الدمج، والمستند المستخدَم، والاستخدام النشط</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61f42e6</w:t>
            </w:r>
          </w:p>
        </w:tc>
      </w:tr>
      <w:tr>
        <w:trPr>
          <w:cantSplit/>
        </w:trPr>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S1B-B</w:t>
            </w:r>
          </w:p>
        </w:tc>
        <w:tc>
          <w:tcPr>
            <w:tcW w:type="dxa" w:w="5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المعالج وفحص 100% والملكية الفعلية وتقرير المخالفة</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0e209ce</w:t>
            </w:r>
          </w:p>
        </w:tc>
      </w:tr>
      <w:tr>
        <w:trPr>
          <w:cantSplit/>
        </w:trPr>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S1B-C</w:t>
            </w:r>
          </w:p>
        </w:tc>
        <w:tc>
          <w:tcPr>
            <w:tcW w:type="dxa" w:w="5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 والمنح واستعلام الصلاحية والمصفوفة وتقرير تكامل الهيكل</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0e209ce</w:t>
            </w:r>
          </w:p>
        </w:tc>
      </w:tr>
      <w:tr>
        <w:trPr>
          <w:cantSplit/>
        </w:trPr>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S1B-D</w:t>
            </w:r>
          </w:p>
        </w:tc>
        <w:tc>
          <w:tcPr>
            <w:tcW w:type="dxa" w:w="5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وصلاحياتهم وSVC-03 والمهمة JOB-ACC-EXPIRY ونموذج التوقيع</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dd9bbc8</w:t>
            </w:r>
          </w:p>
        </w:tc>
      </w:tr>
      <w:tr>
        <w:trPr>
          <w:cantSplit/>
        </w:trPr>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S1B-E</w:t>
            </w:r>
          </w:p>
        </w:tc>
        <w:tc>
          <w:tcPr>
            <w:tcW w:type="dxa" w:w="5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والتعارضات وتقرير R-ACC-04 ومسار الخروج والمستندات</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7469b52 وهذا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9">
        <w:r>
          <w:rPr>
            <w:rFonts w:ascii="Arial" w:cs="Arial" w:eastAsia="Arial" w:hAnsi="Arial"/>
            <w:b/>
            <w:bCs/>
            <w:color w:val="1F3A5F"/>
            <w:sz w:val="20"/>
            <w:szCs w:val="20"/>
            <w:rtl/>
          </w:rPr>
          <w:t xml:space="preserve">4. الافتراضات المأخوذة</w:t>
        </w:r>
      </w:hyperlink>
    </w:p>
    <w:p>
      <w:pPr>
        <w:bidi/>
        <w:spacing w:after="50" w:before="0"/>
        <w:ind w:left="0"/>
      </w:pPr>
      <w:hyperlink w:history="1" w:anchor="_sec10">
        <w:r>
          <w:rPr>
            <w:rFonts w:ascii="Arial" w:cs="Arial" w:eastAsia="Arial" w:hAnsi="Arial"/>
            <w:b/>
            <w:bCs/>
            <w:color w:val="1F3A5F"/>
            <w:sz w:val="20"/>
            <w:szCs w:val="20"/>
            <w:rtl/>
          </w:rPr>
          <w:t xml:space="preserve">5. ما وُجد في الطريق</w:t>
        </w:r>
      </w:hyperlink>
    </w:p>
    <w:p>
      <w:pPr>
        <w:bidi/>
        <w:spacing w:after="50" w:before="0"/>
        <w:ind w:left="0"/>
      </w:pPr>
      <w:hyperlink w:history="1" w:anchor="_sec11">
        <w:r>
          <w:rPr>
            <w:rFonts w:ascii="Arial" w:cs="Arial" w:eastAsia="Arial" w:hAnsi="Arial"/>
            <w:b/>
            <w:bCs/>
            <w:color w:val="1F3A5F"/>
            <w:sz w:val="20"/>
            <w:szCs w:val="20"/>
            <w:rtl/>
          </w:rPr>
          <w:t xml:space="preserve">6. الاختبار</w:t>
        </w:r>
      </w:hyperlink>
    </w:p>
    <w:p>
      <w:pPr>
        <w:bidi/>
        <w:spacing w:after="50" w:before="0"/>
        <w:ind w:left="0"/>
      </w:pPr>
      <w:hyperlink w:history="1" w:anchor="_sec12">
        <w:r>
          <w:rPr>
            <w:rFonts w:ascii="Arial" w:cs="Arial" w:eastAsia="Arial" w:hAnsi="Arial"/>
            <w:b/>
            <w:bCs/>
            <w:color w:val="1F3A5F"/>
            <w:sz w:val="20"/>
            <w:szCs w:val="20"/>
            <w:rtl/>
          </w:rPr>
          <w:t xml:space="preserve">7. ما بقي خارج S1-ب</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الأساس (S1B-A)</w:t>
      </w:r>
      <w:bookmarkEnd w:id="4"/>
    </w:p>
    <w:p>
      <w:pPr>
        <w:pStyle w:val="ListParagraph"/>
        <w:numPr>
          <w:ilvl w:val="0"/>
          <w:numId w:val="2"/>
        </w:numPr>
        <w:bidi/>
        <w:spacing w:after="70" w:before="0" w:line="300"/>
      </w:pPr>
      <w:r>
        <w:rPr>
          <w:rFonts w:ascii="Arial" w:cs="Arial" w:eastAsia="Arial" w:hAnsi="Arial"/>
          <w:b/>
          <w:bCs/>
          <w:sz w:val="21"/>
          <w:szCs w:val="21"/>
          <w:rtl/>
        </w:rPr>
        <w:t xml:space="preserve">NTF.BASE الإصدار 3.</w:t>
      </w:r>
      <w:r>
        <w:rPr>
          <w:rFonts w:ascii="Arial" w:cs="Arial" w:eastAsia="Arial" w:hAnsi="Arial"/>
          <w:b w:val="false"/>
          <w:bCs w:val="false"/>
          <w:sz w:val="21"/>
          <w:szCs w:val="21"/>
          <w:rtl/>
        </w:rPr>
        <w:t xml:space="preserve"> يحتفظ بكل صفوف الإصدار 2، ويضيف ستة أحداث: BODY.TERM_EXPIRY وGRANT.EXPIRY وOWN.TOTAL_MISMATCH وACC.SIGNATORY_EXPIRY وACC.NO_SIGNATORY وACC.GOV_CONFLICT. يستلمها مدير الخزينة TM والمسؤول المالي FO ضمن نطاق الشركة، بنصوص عربية وإنجليزية. لا يدخل مبلغ في أي نص، لأن السقوف سرّية.</w:t>
      </w:r>
    </w:p>
    <w:p>
      <w:pPr>
        <w:pStyle w:val="ListParagraph"/>
        <w:numPr>
          <w:ilvl w:val="0"/>
          <w:numId w:val="2"/>
        </w:numPr>
        <w:bidi/>
        <w:spacing w:after="70" w:before="0" w:line="300"/>
      </w:pPr>
      <w:r>
        <w:rPr>
          <w:rFonts w:ascii="Arial" w:cs="Arial" w:eastAsia="Arial" w:hAnsi="Arial"/>
          <w:b/>
          <w:bCs/>
          <w:sz w:val="21"/>
          <w:szCs w:val="21"/>
          <w:rtl/>
        </w:rPr>
        <w:t xml:space="preserve">CORE.EXPIRY الإصدار 2.</w:t>
      </w:r>
      <w:r>
        <w:rPr>
          <w:rFonts w:ascii="Arial" w:cs="Arial" w:eastAsia="Arial" w:hAnsi="Arial"/>
          <w:b w:val="false"/>
          <w:bCs w:val="false"/>
          <w:sz w:val="21"/>
          <w:szCs w:val="21"/>
          <w:rtl/>
        </w:rPr>
        <w:t xml:space="preserve"> مدد الهيئات [90، 30]، والمنح [60، 30، 7]، والمفوَّضون [30، 15، 7] بلا تذكير بعد الانتهاء (BR-ACC-017).</w:t>
      </w:r>
    </w:p>
    <w:p>
      <w:pPr>
        <w:pStyle w:val="ListParagraph"/>
        <w:numPr>
          <w:ilvl w:val="0"/>
          <w:numId w:val="2"/>
        </w:numPr>
        <w:bidi/>
        <w:spacing w:after="70" w:before="0" w:line="300"/>
      </w:pPr>
      <w:r>
        <w:rPr>
          <w:rFonts w:ascii="Arial" w:cs="Arial" w:eastAsia="Arial" w:hAnsi="Arial"/>
          <w:b/>
          <w:bCs/>
          <w:sz w:val="21"/>
          <w:szCs w:val="21"/>
          <w:rtl/>
        </w:rPr>
        <w:t xml:space="preserve">الإعداد </w:t>
      </w:r>
      <w:r>
        <w:rPr>
          <w:rFonts w:ascii="Courier New" w:cs="Courier New" w:eastAsia="Courier New" w:hAnsi="Courier New"/>
          <w:b/>
          <w:bCs/>
          <w:color w:val="1F2937"/>
          <w:sz w:val="18"/>
          <w:szCs w:val="18"/>
          <w:shd w:fill="F1F3F5" w:color="auto" w:val="clear"/>
          <w:rtl/>
        </w:rPr>
        <w:t xml:space="preserve">‎org.grant.segregation_of_duties‎</w:t>
      </w:r>
      <w:r>
        <w:rPr>
          <w:rFonts w:ascii="Arial" w:cs="Arial" w:eastAsia="Arial" w:hAnsi="Arial"/>
          <w:b w:val="false"/>
          <w:bCs w:val="false"/>
          <w:sz w:val="21"/>
          <w:szCs w:val="21"/>
          <w:rtl/>
        </w:rPr>
        <w:t xml:space="preserve">، مفعّل افتراضيًا.</w:t>
      </w:r>
    </w:p>
    <w:p>
      <w:pPr>
        <w:pStyle w:val="ListParagraph"/>
        <w:numPr>
          <w:ilvl w:val="0"/>
          <w:numId w:val="2"/>
        </w:numPr>
        <w:bidi/>
        <w:spacing w:after="70" w:before="0" w:line="300"/>
      </w:pPr>
      <w:r>
        <w:rPr>
          <w:rFonts w:ascii="Arial" w:cs="Arial" w:eastAsia="Arial" w:hAnsi="Arial"/>
          <w:b/>
          <w:bCs/>
          <w:sz w:val="21"/>
          <w:szCs w:val="21"/>
          <w:rtl/>
        </w:rPr>
        <w:t xml:space="preserve">السكربت 061.</w:t>
      </w:r>
      <w:r>
        <w:rPr>
          <w:rFonts w:ascii="Arial" w:cs="Arial" w:eastAsia="Arial" w:hAnsi="Arial"/>
          <w:b w:val="false"/>
          <w:bCs w:val="false"/>
          <w:sz w:val="21"/>
          <w:szCs w:val="21"/>
          <w:rtl/>
        </w:rPr>
        <w:t xml:space="preserve"> المنحة المسحوبة أو المستبدَلة نهائية، والمنحة النافذة تحتفظ بجوهرها (الخطأ 50175). ولا يعدّل التطبيق شروط صلاحية بنكية ولا مفاتيح تعارض في مكانها.</w:t>
      </w:r>
    </w:p>
    <w:p>
      <w:pPr>
        <w:pStyle w:val="ListParagraph"/>
        <w:numPr>
          <w:ilvl w:val="0"/>
          <w:numId w:val="2"/>
        </w:numPr>
        <w:bidi/>
        <w:spacing w:after="70" w:before="0" w:line="300"/>
      </w:pPr>
      <w:r>
        <w:rPr>
          <w:rFonts w:ascii="Arial" w:cs="Arial" w:eastAsia="Arial" w:hAnsi="Arial"/>
          <w:b/>
          <w:bCs/>
          <w:sz w:val="21"/>
          <w:szCs w:val="21"/>
          <w:rtl/>
        </w:rPr>
        <w:t xml:space="preserve">النموذج.</w:t>
      </w:r>
      <w:r>
        <w:rPr>
          <w:rFonts w:ascii="Arial" w:cs="Arial" w:eastAsia="Arial" w:hAnsi="Arial"/>
          <w:b w:val="false"/>
          <w:bCs w:val="false"/>
          <w:sz w:val="21"/>
          <w:szCs w:val="21"/>
          <w:rtl/>
        </w:rPr>
        <w:t xml:space="preserve"> أُضيف إلى </w:t>
      </w:r>
      <w:r>
        <w:rPr>
          <w:rFonts w:ascii="Courier New" w:cs="Courier New" w:eastAsia="Courier New" w:hAnsi="Courier New"/>
          <w:b w:val="false"/>
          <w:bCs w:val="false"/>
          <w:color w:val="1F2937"/>
          <w:sz w:val="18"/>
          <w:szCs w:val="18"/>
          <w:shd w:fill="F1F3F5" w:color="auto" w:val="clear"/>
          <w:rtl/>
        </w:rPr>
        <w:t xml:space="preserve">‎acc.AuthorityConflict‎</w:t>
      </w:r>
      <w:r>
        <w:rPr>
          <w:rFonts w:ascii="Arial" w:cs="Arial" w:eastAsia="Arial" w:hAnsi="Arial"/>
          <w:b w:val="false"/>
          <w:bCs w:val="false"/>
          <w:sz w:val="21"/>
          <w:szCs w:val="21"/>
          <w:rtl/>
        </w:rPr>
        <w:t xml:space="preserve"> العمودان </w:t>
      </w:r>
      <w:r>
        <w:rPr>
          <w:rFonts w:ascii="Courier New" w:cs="Courier New" w:eastAsia="Courier New" w:hAnsi="Courier New"/>
          <w:b w:val="false"/>
          <w:bCs w:val="false"/>
          <w:color w:val="1F2937"/>
          <w:sz w:val="18"/>
          <w:szCs w:val="18"/>
          <w:shd w:fill="F1F3F5" w:color="auto" w:val="clear"/>
          <w:rtl/>
        </w:rPr>
        <w:t xml:space="preserve">‎AuthorityGrantId‎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‎ResolvedOn‎</w:t>
      </w:r>
      <w:r>
        <w:rPr>
          <w:rFonts w:ascii="Arial" w:cs="Arial" w:eastAsia="Arial" w:hAnsi="Arial"/>
          <w:b w:val="false"/>
          <w:bCs w:val="false"/>
          <w:sz w:val="21"/>
          <w:szCs w:val="21"/>
          <w:rtl/>
        </w:rPr>
        <w:t xml:space="preserve">، مع قيد يربط الحالة RESOLVED بوقت الحل (S1B-GAP-13). لا قاعدة منشورة بعد، فعُدّل خط الأساس بلا ترحيل، كما في S1-C.</w:t>
      </w:r>
    </w:p>
    <w:p>
      <w:pPr>
        <w:pStyle w:val="ListParagraph"/>
        <w:numPr>
          <w:ilvl w:val="0"/>
          <w:numId w:val="2"/>
        </w:numPr>
        <w:bidi/>
        <w:spacing w:after="70" w:before="0" w:line="300"/>
      </w:pPr>
      <w:r>
        <w:rPr>
          <w:rFonts w:ascii="Arial" w:cs="Arial" w:eastAsia="Arial" w:hAnsi="Arial"/>
          <w:b/>
          <w:bCs/>
          <w:sz w:val="21"/>
          <w:szCs w:val="21"/>
          <w:rtl/>
        </w:rPr>
        <w:t xml:space="preserve">مهمة الانتهاء</w:t>
      </w:r>
      <w:r>
        <w:rPr>
          <w:rFonts w:ascii="Arial" w:cs="Arial" w:eastAsia="Arial" w:hAnsi="Arial"/>
          <w:b w:val="false"/>
          <w:bCs w:val="false"/>
          <w:sz w:val="21"/>
          <w:szCs w:val="21"/>
          <w:rtl/>
        </w:rPr>
        <w:t xml:space="preserve"> صارت سجلًّا من المزوّدين، لكل نوع بند مزوّده، دون تغيير في سلوك S1.</w:t>
      </w:r>
    </w:p>
    <w:p>
      <w:pPr>
        <w:pStyle w:val="ListParagraph"/>
        <w:numPr>
          <w:ilvl w:val="0"/>
          <w:numId w:val="2"/>
        </w:numPr>
        <w:bidi/>
        <w:spacing w:after="70" w:before="0" w:line="300"/>
      </w:pPr>
      <w:r>
        <w:rPr>
          <w:rFonts w:ascii="Arial" w:cs="Arial" w:eastAsia="Arial" w:hAnsi="Arial"/>
          <w:b/>
          <w:bCs/>
          <w:sz w:val="21"/>
          <w:szCs w:val="21"/>
          <w:rtl/>
        </w:rPr>
        <w:t xml:space="preserve">دمج الأطراف</w:t>
      </w:r>
      <w:r>
        <w:rPr>
          <w:rFonts w:ascii="Arial" w:cs="Arial" w:eastAsia="Arial" w:hAnsi="Arial"/>
          <w:b w:val="false"/>
          <w:bCs w:val="false"/>
          <w:sz w:val="21"/>
          <w:szCs w:val="21"/>
          <w:rtl/>
        </w:rPr>
        <w:t xml:space="preserve"> يرفض ما يتصادم (V-PTY-MERGE-COLLISION): حصتان للشخصين في الشركة نفسها، أو عضويتان في المنصب نفسه، أو تفويضان في الفئة نفسها.</w:t>
      </w:r>
    </w:p>
    <w:p>
      <w:pPr>
        <w:pStyle w:val="ListParagraph"/>
        <w:numPr>
          <w:ilvl w:val="0"/>
          <w:numId w:val="2"/>
        </w:numPr>
        <w:bidi/>
        <w:spacing w:after="70" w:before="0" w:line="300"/>
      </w:pPr>
      <w:r>
        <w:rPr>
          <w:rFonts w:ascii="Arial" w:cs="Arial" w:eastAsia="Arial" w:hAnsi="Arial"/>
          <w:b/>
          <w:bCs/>
          <w:sz w:val="21"/>
          <w:szCs w:val="21"/>
          <w:rtl/>
        </w:rPr>
        <w:t xml:space="preserve">الاستخدام النشط.</w:t>
      </w:r>
      <w:r>
        <w:rPr>
          <w:rFonts w:ascii="Arial" w:cs="Arial" w:eastAsia="Arial" w:hAnsi="Arial"/>
          <w:b w:val="false"/>
          <w:bCs w:val="false"/>
          <w:sz w:val="21"/>
          <w:szCs w:val="21"/>
          <w:rtl/>
        </w:rPr>
        <w:t xml:space="preserve"> شارة الطرف تعرض العدد الكلي والنشط، والتعطيل يمنعه الاستخدام النشط وحده (S1B-GAP-17).</w:t>
      </w:r>
    </w:p>
    <w:p>
      <w:pPr>
        <w:pStyle w:val="ListParagraph"/>
        <w:numPr>
          <w:ilvl w:val="0"/>
          <w:numId w:val="2"/>
        </w:numPr>
        <w:bidi/>
        <w:spacing w:after="70" w:before="0" w:line="300"/>
      </w:pPr>
      <w:r>
        <w:rPr>
          <w:rFonts w:ascii="Arial" w:cs="Arial" w:eastAsia="Arial" w:hAnsi="Arial"/>
          <w:b/>
          <w:bCs/>
          <w:sz w:val="21"/>
          <w:szCs w:val="21"/>
          <w:rtl/>
        </w:rPr>
        <w:t xml:space="preserve">المستند المستخدَم.</w:t>
      </w:r>
      <w:r>
        <w:rPr>
          <w:rFonts w:ascii="Arial" w:cs="Arial" w:eastAsia="Arial" w:hAnsi="Arial"/>
          <w:b w:val="false"/>
          <w:bCs w:val="false"/>
          <w:sz w:val="21"/>
          <w:szCs w:val="21"/>
          <w:rtl/>
        </w:rPr>
        <w:t xml:space="preserve"> لا يُحذف مستند هو مصدر منحة أو مفوَّض أو حصة أو هيئة أو عضوية أو صلاحية سارية (DOCUMENT_IN_USE).</w:t>
      </w:r>
    </w:p>
    <w:p>
      <w:pPr>
        <w:pStyle w:val="ListParagraph"/>
        <w:numPr>
          <w:ilvl w:val="0"/>
          <w:numId w:val="2"/>
        </w:numPr>
        <w:bidi/>
        <w:spacing w:after="70" w:before="0" w:line="300"/>
      </w:pPr>
      <w:r>
        <w:rPr>
          <w:rFonts w:ascii="Arial" w:cs="Arial" w:eastAsia="Arial" w:hAnsi="Arial"/>
          <w:b/>
          <w:bCs/>
          <w:sz w:val="21"/>
          <w:szCs w:val="21"/>
          <w:rtl/>
        </w:rPr>
        <w:t xml:space="preserve">الوحدة INSTITUTIONS</w:t>
      </w:r>
      <w:r>
        <w:rPr>
          <w:rFonts w:ascii="Arial" w:cs="Arial" w:eastAsia="Arial" w:hAnsi="Arial"/>
          <w:b w:val="false"/>
          <w:bCs w:val="false"/>
          <w:sz w:val="21"/>
          <w:szCs w:val="21"/>
          <w:rtl/>
        </w:rPr>
        <w:t xml:space="preserve"> يتحقق منها الخادم أيضًا (MODULE_DISABLED).</w:t>
      </w:r>
    </w:p>
    <w:p>
      <w:pPr>
        <w:bidi/>
        <w:spacing w:after="60" w:before="0"/>
      </w:pPr>
    </w:p>
    <w:p>
      <w:pPr>
        <w:pStyle w:val="Heading2"/>
        <w:bidi/>
      </w:pPr>
      <w:bookmarkStart w:name="_sec5" w:id="5"/>
      <w:r>
        <w:rPr>
          <w:rFonts w:ascii="Arial" w:cs="Arial" w:eastAsia="Arial" w:hAnsi="Arial"/>
          <w:b/>
          <w:bCs/>
          <w:color w:val="2B5C8A"/>
          <w:sz w:val="26"/>
          <w:szCs w:val="26"/>
          <w:rtl/>
        </w:rPr>
        <w:t xml:space="preserve">3.2 الملكية (S1B-B)</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معالج التغيير يكتب التوزيع كله من تاريخ في معاملة واحدة. يغلق الصفوف السارية في اليوم السابق ويفتح الجديدة.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كل مجموع غير 100.000000 مع ذكر الفرق: «المجموع 98% والفرق 2%» (AC-ORG-1).</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أُدخلت الأسهم وحدها حُسبت النسب بست خانات، والباقي على الأكبر.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السابق لآخر تغيير تصحيح رجعي: يحتاج وسمًا وسببًا، ويُدقَّق بشدة عالية، ويملأ فترته وحدها دون أن يمسّ التغييرات اللاحقة.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الملكية الفعلية تتبع شركات المشترك عبر جهاتها المرآة، وتضيف المسارات غير المباشرة، وتنبّه إلى الدورة ولا تتبعها. مثال BR-ORG-008 يعطي 40%.</w:t>
      </w:r>
    </w:p>
    <w:p>
      <w:pPr>
        <w:pStyle w:val="ListParagraph"/>
        <w:numPr>
          <w:ilvl w:val="0"/>
          <w:numId w:val="2"/>
        </w:numPr>
        <w:bidi/>
        <w:spacing w:after="70" w:before="0" w:line="300"/>
      </w:pPr>
      <w:r>
        <w:rPr>
          <w:rFonts w:ascii="Arial" w:cs="Arial" w:eastAsia="Arial" w:hAnsi="Arial"/>
          <w:b w:val="false"/>
          <w:bCs w:val="false"/>
          <w:sz w:val="21"/>
          <w:szCs w:val="21"/>
          <w:rtl/>
        </w:rPr>
        <w:t xml:space="preserve">يقترح المستفيد الحقيقي عند 25% فأكثر، ولا يضعه آليًا (OQ-18).</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الشركات المخالفة، وإشعار OWN.TOTAL_MISMATCH عند الحفظ وفي الفحص اليومي.</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تبويب الملكية والمعالج، وعمود حالة الملكية في قائمة الشركات.</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الحوكمة والمنح (S1B-C)</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هيئة فعّالة واحدة لكل نوع. الاستبدال يغلق السابقة ويُنهي مدد أعضائها في اليوم السابق، ويمكن نقل أعضائها إلى الجديدة (OQ-4).</w:t>
      </w:r>
    </w:p>
    <w:p>
      <w:pPr>
        <w:pStyle w:val="ListParagraph"/>
        <w:numPr>
          <w:ilvl w:val="0"/>
          <w:numId w:val="2"/>
        </w:numPr>
        <w:bidi/>
        <w:spacing w:after="70" w:before="0" w:line="300"/>
      </w:pPr>
      <w:r>
        <w:rPr>
          <w:rFonts w:ascii="Arial" w:cs="Arial" w:eastAsia="Arial" w:hAnsi="Arial"/>
          <w:b w:val="false"/>
          <w:bCs w:val="false"/>
          <w:sz w:val="21"/>
          <w:szCs w:val="21"/>
          <w:rtl/>
        </w:rPr>
        <w:t xml:space="preserve">مدة العضو داخل مدة الهيئة، والمنصب يصحّ في نوع الهيئة. والمنصب أحادي الشاغل يسلّم في اليوم السابق: رئيس جديد من 2027-03-01 يُنهي مدة السابق في 2027-02-28.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المنح: مسودة، ثم انتظار الموافقة، ثم نافذة بموافقة مستخدم آخر. وبلا فصل المهام تُفعَّل المسودة مباشرة ويُسجَّل المفعِّل.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المنحة بلا مستند مصدر تحتاج استثناءً موثقًا يوافق عليه مدير خزينة غير المنشئ (OQ-15).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التغيير الجوهري لمنحة نافذة منحة جديدة تحل محلها عند الموافقة، ومنه تغيير البنك (OQ-6).</w:t>
      </w:r>
    </w:p>
    <w:p>
      <w:pPr>
        <w:pStyle w:val="ListParagraph"/>
        <w:numPr>
          <w:ilvl w:val="0"/>
          <w:numId w:val="2"/>
        </w:numPr>
        <w:bidi/>
        <w:spacing w:after="70" w:before="0" w:line="300"/>
      </w:pPr>
      <w:r>
        <w:rPr>
          <w:rFonts w:ascii="Arial" w:cs="Arial" w:eastAsia="Arial" w:hAnsi="Arial"/>
          <w:b w:val="false"/>
          <w:bCs w:val="false"/>
          <w:sz w:val="21"/>
          <w:szCs w:val="21"/>
          <w:rtl/>
        </w:rPr>
        <w:t xml:space="preserve">استعلام الصلاحية (AC-ORG-2): المنفردة أولًا ثم المشتركة بشرطها، والعملة المختلفة «تحتاج مراجعة يدوية»، والسقوف المشتركة لا تُجمع.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الاستعلام بالحامل، ومصفوفة الصلاحيات بتاريخ، وتقرير تكامل الهيكل بستة بنود.</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انتهاء مدد الهيئات والأعضاء والمنح، وتنبيه يومي لمرة واحدة لشغور منصب أحادي الشاغل (OQ-3) ولمنحة من غادر منصبه.</w:t>
      </w:r>
    </w:p>
    <w:p>
      <w:pPr>
        <w:bidi/>
        <w:spacing w:after="60" w:before="0"/>
      </w:pPr>
    </w:p>
    <w:p>
      <w:pPr>
        <w:pStyle w:val="Heading2"/>
        <w:bidi/>
      </w:pPr>
      <w:bookmarkStart w:name="_sec7" w:id="7"/>
      <w:r>
        <w:rPr>
          <w:rFonts w:ascii="Arial" w:cs="Arial" w:eastAsia="Arial" w:hAnsi="Arial"/>
          <w:b/>
          <w:bCs/>
          <w:color w:val="2B5C8A"/>
          <w:sz w:val="26"/>
          <w:szCs w:val="26"/>
          <w:rtl/>
        </w:rPr>
        <w:t xml:space="preserve">3.4 المفوَّضون (S1B-D)</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المفوَّض شخص طبيعي في علاقة نشطة، وصف مفتوح واحد لكل شخص وفئة.</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PENDING حتى تُرفق وثيقة تفويض نظيفة من نوع يفوِّض ويحلّ تاريخ بدئه، ثم يصبح ACTIVE (OQ-14).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الإيقاف والاستئناف والسحب، والتجديد صف جديد ينسخ الصلاحيات المفتوحة وفئات التوقيع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الصلاحية على البنك أو على حساب من العلاقة. لا تُعدَّل في مكانها: التغيير يغلق القديمة في اليوم السابق ويفتح الجديدة.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SVC-03: صف الحساب، ثم صف الحساب الرئيسي، ثم صف البنك (AC-ACC-2: 250,000 على X، و1,000,000 على Y، و250,000 على V بالمستوى MASTER).</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الانتهاء لأبكر تاريخ من نهاية التفويض وصلاحياته ووثيقته، و«ينتهي اليوم» في يوم الانتهاء. وفي اليوم التالي تجعله JOB-ACC-EXPIRY منتهيًا، وتُشعر بالحساب الذي بقي بلا مفوَّض (AC-ACC-4).</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التوقيع صورة مقيّدة: لا يرى معرّفها ولا يفتحها إلا TM وFO، ويُسجَّل كل فتح وكل رفض (AC-ACC-6).</w:t>
      </w:r>
    </w:p>
    <w:p>
      <w:pPr>
        <w:pStyle w:val="ListParagraph"/>
        <w:numPr>
          <w:ilvl w:val="0"/>
          <w:numId w:val="2"/>
        </w:numPr>
        <w:bidi/>
        <w:spacing w:after="70" w:before="0" w:line="300"/>
      </w:pPr>
      <w:r>
        <w:rPr>
          <w:rFonts w:ascii="Arial" w:cs="Arial" w:eastAsia="Arial" w:hAnsi="Arial"/>
          <w:b w:val="false"/>
          <w:bCs w:val="false"/>
          <w:sz w:val="21"/>
          <w:szCs w:val="21"/>
          <w:rtl/>
        </w:rPr>
        <w:t xml:space="preserve">إغلاق علاقة بها مفوَّضون ساريون يطلب التأكيد ثم يسحبهم (OQ-16).</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تقريرا الحسابات بلا مفوَّض (R-ACC-05) والانتهاءات القادمة خلال 90 يومًا (R-ACC-06).</w:t>
      </w:r>
    </w:p>
    <w:p>
      <w:pPr>
        <w:bidi/>
        <w:spacing w:after="60" w:before="0"/>
      </w:pPr>
    </w:p>
    <w:p>
      <w:pPr>
        <w:pStyle w:val="Heading2"/>
        <w:bidi/>
      </w:pPr>
      <w:bookmarkStart w:name="_sec8" w:id="8"/>
      <w:r>
        <w:rPr>
          <w:rFonts w:ascii="Arial" w:cs="Arial" w:eastAsia="Arial" w:hAnsi="Arial"/>
          <w:b/>
          <w:bCs/>
          <w:color w:val="2B5C8A"/>
          <w:sz w:val="26"/>
          <w:szCs w:val="26"/>
          <w:rtl/>
        </w:rPr>
        <w:t xml:space="preserve">3.5 مقارنة الحوكمة (S1B-E)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تُقارن كل صلاحية بنكية مفتوحة بمنح الحوكمة النافذة للشخص نفسه، منفردًا أو عضوًا أو ممثلًا لعضو اعتباري، لنوع صلاحية مربوط بالعملية، غير مقيّدة أو مقيّدة بالبنك نفسه. منحة الهيئة لا تُنسب لشخص.</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مرشّح واحد يغطي الصلاحية. وإلا تُسجَّل رموز أفضل مرشّح بالترتيب المتفق عليه (OQ-8)، وبصمة SHA-256 للطرفين وإصداريهما (OQ-7).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التعارض الجديد OPEN ويصل إشعاره. والسبب الذي زال يحلّ صفوفه آليًا. والإقرار بسبب مكتوب.</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المقارنة عند كل حفظ صلاحية (تحذير V-ACC-07 لا رفض)، وعند منح أو سحب منحة، وليلًا (JOB-ACC-GOV).</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R-ACC-04 يقرؤه المدقق ولا يقرّ (OQ-10)، وطباعته تُدقَّق. والشاشة SCR-ACC-06.</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الافتراضات المأخوذة</w:t>
      </w:r>
      <w:bookmarkEnd w:id="9"/>
    </w:p>
    <w:p>
      <w:pPr>
        <w:bidi/>
        <w:spacing w:after="110" w:before="0" w:line="312"/>
      </w:pPr>
      <w:r>
        <w:rPr>
          <w:rFonts w:ascii="Arial" w:cs="Arial" w:eastAsia="Arial" w:hAnsi="Arial"/>
          <w:b w:val="false"/>
          <w:bCs w:val="false"/>
          <w:sz w:val="21"/>
          <w:szCs w:val="21"/>
          <w:rtl/>
        </w:rPr>
        <w:t xml:space="preserve">اعتمد المالك في 2026-10-22 أربعة منها: OQ-6 وOQ-9 وOQ-10 وOQ-16 (العمود الأخير). والبقية بانتظار اعتماده.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016"/>
        <w:gridCol w:w="240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w:t>
            </w:r>
          </w:p>
        </w:tc>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الصف غير المباشر هي الملكية الفعلية للحامل عبر ذلك المسار؛ والوسيط المسمّى هو الجهة الخارجية التي تملك الشركة مباشرة؛ وفحص 100% على المستوى 1 وحده</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 الرجعي بصلاحية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وسبب إلزامي وتدقيق بشدة عالية، بلا رمز جديد</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شغور المنصب: منصب أحادي الشاغل يصح في الهيئة، كان له شاغل ولا شاغل له اليوم</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الهيئة يُنهي مدد أعضائها المفتوحة في اليوم السابق للمدة الجديدة، ويمكن نقلهم؛ ومنح الهيئة المغلقة تبقى نافذة وتظهر في تقرير التكامل</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OQ-5</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هو العضو كما عُيّن، و</w:t>
            </w:r>
            <w:r>
              <w:rPr>
                <w:rFonts w:ascii="Courier New" w:cs="Courier New" w:eastAsia="Courier New" w:hAnsi="Courier New"/>
                <w:b w:val="false"/>
                <w:bCs w:val="false"/>
                <w:color w:val="1F2937"/>
                <w:sz w:val="16"/>
                <w:szCs w:val="16"/>
                <w:shd w:fill="F1F3F5" w:color="auto" w:val="clear"/>
                <w:rtl/>
              </w:rPr>
              <w:t xml:space="preserve">‎RepresentedPartyId‎</w:t>
            </w:r>
            <w:r>
              <w:rPr>
                <w:rFonts w:ascii="Arial" w:cs="Arial" w:eastAsia="Arial" w:hAnsi="Arial"/>
                <w:b w:val="false"/>
                <w:bCs w:val="false"/>
                <w:sz w:val="18"/>
                <w:szCs w:val="18"/>
                <w:rtl/>
              </w:rPr>
              <w:t xml:space="preserve"> الشخص الطبيعي الذي يمثل العضو الاعتباري</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البنك في منحة نافذة تغيير جوهري: منحة جديدة بموافقة مستخدم آخر</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SHA-256 بالحروف الصغيرة لمعرّف الصلاحية وإصدارها ومعرّفات المنح المرشّحة وإصداراتها والرمز</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تعارض إن غطّى مرشّح واحد؛ وإلا رموز أفضل مرشّح بالترتيب NOT_MAPPED ثم NO_GRANT ثم GRANT_EXPIRED ثم NOT_COMPARABLE_CURRENCY ثم GRANT_CEILING_UNSPECIFIED ثم CEILING_EXCEEDS ثم JOINT_MISMATCH</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النافذة وحدها في المقارنة وفي الاستعلام؛ المسودة والمنتظرة لا تُحسب</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2026-10-22</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OQ-10</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التعارضات بـ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والإقرار بـ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OQ-11</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فوري لـ ACC.GOV_CONFLICT؛ الملخص الليلي مع مهمة الملخصات لاحقًا</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OQ-12</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الخروج AC-ACC-3 مع AC-ACC-7 الجديد</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OQ-13</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 يستعمل قرار مجلس الإدارة (بلا انتهاء)؛ يُصحَّح نص المعيار ولا تتغير البذور</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OQ-14</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المفوَّض يحتاج نسخة نظيفة من وثيقة نوعها يصح للمفوَّضين</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OQ-15</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الاستثناء يوافق عليه مدير خزينة غير المنشئ، ويُدقَّق بشدة عالية</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OQ-16</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يسرد المفوَّضين الساريين ويسحبهم بعد التأكيد</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OQ-17</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الأساسية: سجل تجاري وعقد تأسيس ساريان</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OQ-18</w:t>
            </w:r>
          </w:p>
        </w:tc>
        <w:tc>
          <w:tcPr>
            <w:tcW w:type="dxa" w:w="6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الحقيقي يُقترح عند 25% فأكثر ويؤكده المستخدم</w:t>
            </w:r>
          </w:p>
        </w:tc>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OQ-19</w:t>
            </w:r>
          </w:p>
        </w:tc>
        <w:tc>
          <w:tcPr>
            <w:tcW w:type="dxa" w:w="6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الهيكل تُخفى عمّن دوره طالب فقط (RQ)</w:t>
            </w:r>
          </w:p>
        </w:tc>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الاعتماد</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ما وُجد في الطريق</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عبارة UPDATE أو INSERT مع OUTPUT بلا INTO تُرفض على جدول عليه قادح. صار </w:t>
      </w:r>
      <w:r>
        <w:rPr>
          <w:rFonts w:ascii="Courier New" w:cs="Courier New" w:eastAsia="Courier New" w:hAnsi="Courier New"/>
          <w:b w:val="false"/>
          <w:bCs w:val="false"/>
          <w:color w:val="1F2937"/>
          <w:sz w:val="18"/>
          <w:szCs w:val="18"/>
          <w:shd w:fill="F1F3F5" w:color="auto" w:val="clear"/>
          <w:rtl/>
        </w:rPr>
        <w:t xml:space="preserve">‎acc.Signatory‎</w:t>
      </w:r>
      <w:r>
        <w:rPr>
          <w:rFonts w:ascii="Arial" w:cs="Arial" w:eastAsia="Arial" w:hAnsi="Arial"/>
          <w:b w:val="false"/>
          <w:bCs w:val="false"/>
          <w:sz w:val="21"/>
          <w:szCs w:val="21"/>
          <w:rtl/>
        </w:rPr>
        <w:t xml:space="preserve"> يُكتب بـ OUTPUT INTO جدول مؤقت.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مستهلك أحداث المنح كان يتوقف أمام حمولة بلا معرّف منحة، فيوقف مرور الصندوق كله. صار يتجاوزها.</w:t>
      </w:r>
    </w:p>
    <w:p>
      <w:pPr>
        <w:bidi/>
        <w:spacing w:after="60" w:before="0"/>
      </w:pPr>
    </w:p>
    <w:p>
      <w:pPr>
        <w:pStyle w:val="Heading1"/>
        <w:bidi/>
      </w:pPr>
      <w:bookmarkStart w:name="_sec11" w:id="11"/>
      <w:r>
        <w:rPr>
          <w:rFonts w:ascii="Arial" w:cs="Arial" w:eastAsia="Arial" w:hAnsi="Arial"/>
          <w:b/>
          <w:bCs/>
          <w:color w:val="1F3A5F"/>
          <w:sz w:val="32"/>
          <w:szCs w:val="32"/>
          <w:rtl/>
        </w:rPr>
        <w:t xml:space="preserve">6. الاختبار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50 اختبار وحدة، و42 اختبار تكامل على قاعدة حقيقية، واختبار المتصفح (أُضيف إليه تبويب الملكية وتقرير التعارضات).</w:t>
      </w:r>
    </w:p>
    <w:p>
      <w:pPr>
        <w:pStyle w:val="ListParagraph"/>
        <w:numPr>
          <w:ilvl w:val="0"/>
          <w:numId w:val="2"/>
        </w:numPr>
        <w:bidi/>
        <w:spacing w:after="70" w:before="0" w:line="300"/>
      </w:pPr>
      <w:r>
        <w:rPr>
          <w:rFonts w:ascii="Arial" w:cs="Arial" w:eastAsia="Arial" w:hAnsi="Arial"/>
          <w:b w:val="false"/>
          <w:bCs w:val="false"/>
          <w:sz w:val="21"/>
          <w:szCs w:val="21"/>
          <w:rtl/>
        </w:rPr>
        <w:t xml:space="preserve">فحوص قاعدة البيانات كلها نجحت على دفعة S1B-A (الوحيدة التي غيّرت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S1-ب الجديدة: StructureFoundationTests (2) وOwnershipTests (3) وGovernanceTests (3) وSignatoryTests (3) وGovernanceConflictTests (1).</w:t>
      </w:r>
    </w:p>
    <w:p>
      <w:pPr>
        <w:bidi/>
        <w:spacing w:after="60" w:before="0"/>
      </w:pPr>
    </w:p>
    <w:p>
      <w:pPr>
        <w:pStyle w:val="Heading1"/>
        <w:bidi/>
      </w:pPr>
      <w:bookmarkStart w:name="_sec12" w:id="12"/>
      <w:r>
        <w:rPr>
          <w:rFonts w:ascii="Arial" w:cs="Arial" w:eastAsia="Arial" w:hAnsi="Arial"/>
          <w:b/>
          <w:bCs/>
          <w:color w:val="1F3A5F"/>
          <w:sz w:val="32"/>
          <w:szCs w:val="32"/>
          <w:rtl/>
        </w:rPr>
        <w:t xml:space="preserve">7. ما بقي خارج S1-ب</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فحص كفاية التوقيعات لعملية ومبلغ (SVC-04، S3) والجزء الثاني من R-ACC-05.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التحذير V-ACC-04 على الحساب (حد التوقيعات يفوق المفوَّضين المؤهلين).</w:t>
      </w:r>
    </w:p>
    <w:p>
      <w:pPr>
        <w:pStyle w:val="ListParagraph"/>
        <w:numPr>
          <w:ilvl w:val="0"/>
          <w:numId w:val="2"/>
        </w:numPr>
        <w:bidi/>
        <w:spacing w:after="70" w:before="0" w:line="300"/>
      </w:pPr>
      <w:r>
        <w:rPr>
          <w:rFonts w:ascii="Arial" w:cs="Arial" w:eastAsia="Arial" w:hAnsi="Arial"/>
          <w:b w:val="false"/>
          <w:bCs w:val="false"/>
          <w:sz w:val="21"/>
          <w:szCs w:val="21"/>
          <w:rtl/>
        </w:rPr>
        <w:t xml:space="preserve">مصفوفة صلاحيات البنك (R-ACC-03) وسجل المفوَّضين (R-ACC-02) كتقريرين مستقلين؛ بياناتهما متاحة في الشاشات.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الملخص الليلي للتعارضات (مع JOB-NTF-DIGEST).</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عند حلّ التعارض: يُكتب الحدث </w:t>
      </w:r>
      <w:r>
        <w:rPr>
          <w:rFonts w:ascii="Courier New" w:cs="Courier New" w:eastAsia="Courier New" w:hAnsi="Courier New"/>
          <w:b w:val="false"/>
          <w:bCs w:val="false"/>
          <w:color w:val="1F2937"/>
          <w:sz w:val="18"/>
          <w:szCs w:val="18"/>
          <w:shd w:fill="F1F3F5" w:color="auto" w:val="clear"/>
          <w:rtl/>
        </w:rPr>
        <w:t xml:space="preserve">‎authority.conflict.resolved‎</w:t>
      </w:r>
      <w:r>
        <w:rPr>
          <w:rFonts w:ascii="Arial" w:cs="Arial" w:eastAsia="Arial" w:hAnsi="Arial"/>
          <w:b w:val="false"/>
          <w:bCs w:val="false"/>
          <w:sz w:val="21"/>
          <w:szCs w:val="21"/>
          <w:rtl/>
        </w:rPr>
        <w:t xml:space="preserve">، ولم يُضف له نص إشعار.</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بناء الشريحة S1-ب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S1-ب</dc:title>
  <dc:creator>Claude</dc:creator>
  <dc:description>BankFas database design document</dc:description>
  <cp:lastModifiedBy>Un-named</cp:lastModifiedBy>
  <cp:revision>1</cp:revision>
  <dcterms:created xsi:type="dcterms:W3CDTF">2026-10-22T12:37:14.005Z</dcterms:created>
  <dcterms:modified xsi:type="dcterms:W3CDTF">2026-10-22T12:37:14.015Z</dcterms:modified>
</cp:coreProperties>
</file>

<file path=docProps/custom.xml><?xml version="1.0" encoding="utf-8"?>
<Properties xmlns="http://schemas.openxmlformats.org/officeDocument/2006/custom-properties" xmlns:vt="http://schemas.openxmlformats.org/officeDocument/2006/docPropsVTypes"/>
</file>