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251 tables · 20 schemas · 932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251 tables in 20 schemas; 932 foreign keys; 659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251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56</w:t>
            </w:r>
          </w:p>
        </w:tc>
        <w:tc>
          <w:tcPr>
            <w:tcW w:type="dxa" w:w="1701"/>
          </w:tcPr>
          <w:p>
            <w:pPr>
              <w:spacing w:after="0" w:before="0"/>
            </w:pPr>
            <w:r/>
            <w:r>
              <w:rPr>
                <w:rFonts w:ascii="Arial" w:hAnsi="Arial"/>
                <w:b w:val="0"/>
                <w:sz w:val="17"/>
              </w:rPr>
              <w:t>30</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91 diagrams cover 251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35</w:t>
            </w:r>
          </w:p>
        </w:tc>
        <w:tc>
          <w:tcPr>
            <w:tcW w:type="dxa" w:w="2268"/>
          </w:tcPr>
          <w:p>
            <w:pPr>
              <w:spacing w:after="0" w:before="0"/>
            </w:pPr>
            <w:r/>
            <w:r>
              <w:rPr>
                <w:rFonts w:ascii="Arial" w:hAnsi="Arial"/>
                <w:b w:val="0"/>
                <w:sz w:val="17"/>
              </w:rPr>
              <w:t>93</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27470" cy="402184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6427470" cy="4021843"/>
                    </a:xfrm>
                    <a:prstGeom prst="rect"/>
                  </pic:spPr>
                </pic:pic>
              </a:graphicData>
            </a:graphic>
          </wp:inline>
        </w:drawing>
      </w:r>
    </w:p>
    <w:p>
      <w:pPr>
        <w:spacing w:after="120"/>
        <w:jc w:val="center"/>
      </w:pPr>
      <w:r>
        <w:rPr>
          <w:rFonts w:ascii="Arial" w:hAnsi="Arial"/>
          <w:b w:val="0"/>
          <w:i/>
          <w:color w:val="6B7280"/>
          <w:sz w:val="16"/>
        </w:rPr>
        <w:t>Figure 48  Financial statements and balances (part 1 of 19)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fin.AssessmentEvidencePack</w:t>
            </w:r>
          </w:p>
        </w:tc>
        <w:tc>
          <w:tcPr>
            <w:tcW w:type="dxa" w:w="6690"/>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948"/>
            <w:shd w:val="clear" w:color="auto" w:fill="E8EEF6"/>
          </w:tcPr>
          <w:p>
            <w:pPr>
              <w:spacing w:after="0" w:before="0"/>
            </w:pPr>
            <w:r/>
            <w:r>
              <w:rPr>
                <w:rFonts w:ascii="Arial" w:hAnsi="Arial"/>
                <w:b w:val="0"/>
                <w:sz w:val="15"/>
              </w:rPr>
              <w:t>AssessmentEvidencePackId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ConfirmedBy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LastReopenedBy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fin.AssessmentEvidencePack</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fin.AssessmentEvidencePack</w:t>
            </w:r>
          </w:p>
        </w:tc>
        <w:tc>
          <w:tcPr>
            <w:tcW w:type="dxa" w:w="2948"/>
          </w:tcPr>
          <w:p>
            <w:pPr>
              <w:spacing w:after="0" w:before="0"/>
            </w:pPr>
            <w:r/>
            <w:r>
              <w:rPr>
                <w:rFonts w:ascii="Arial" w:hAnsi="Arial"/>
                <w:b w:val="0"/>
                <w:sz w:val="15"/>
              </w:rPr>
              <w:t>GeneratedBy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7667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766787"/>
                    </a:xfrm>
                    <a:prstGeom prst="rect"/>
                  </pic:spPr>
                </pic:pic>
              </a:graphicData>
            </a:graphic>
          </wp:inline>
        </w:drawing>
      </w:r>
    </w:p>
    <w:p>
      <w:pPr>
        <w:spacing w:after="120"/>
        <w:jc w:val="center"/>
      </w:pPr>
      <w:r>
        <w:rPr>
          <w:rFonts w:ascii="Arial" w:hAnsi="Arial"/>
          <w:b w:val="0"/>
          <w:i/>
          <w:color w:val="6B7280"/>
          <w:sz w:val="16"/>
        </w:rPr>
        <w:t>Figure 49  Financial statements and balances (part 2 of 19)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LastReopenedBy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45530" cy="2114993"/>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145530" cy="2114993"/>
                    </a:xfrm>
                    <a:prstGeom prst="rect"/>
                  </pic:spPr>
                </pic:pic>
              </a:graphicData>
            </a:graphic>
          </wp:inline>
        </w:drawing>
      </w:r>
    </w:p>
    <w:p>
      <w:pPr>
        <w:spacing w:after="120"/>
        <w:jc w:val="center"/>
      </w:pPr>
      <w:r>
        <w:rPr>
          <w:rFonts w:ascii="Arial" w:hAnsi="Arial"/>
          <w:b w:val="0"/>
          <w:i/>
          <w:color w:val="6B7280"/>
          <w:sz w:val="16"/>
        </w:rPr>
        <w:t>Figure 50  Financial statements and balances (part 3 of 19)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678131"/>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786880" cy="3678131"/>
                    </a:xfrm>
                    <a:prstGeom prst="rect"/>
                  </pic:spPr>
                </pic:pic>
              </a:graphicData>
            </a:graphic>
          </wp:inline>
        </w:drawing>
      </w:r>
    </w:p>
    <w:p>
      <w:pPr>
        <w:spacing w:after="120"/>
        <w:jc w:val="center"/>
      </w:pPr>
      <w:r>
        <w:rPr>
          <w:rFonts w:ascii="Arial" w:hAnsi="Arial"/>
          <w:b w:val="0"/>
          <w:i/>
          <w:color w:val="6B7280"/>
          <w:sz w:val="16"/>
        </w:rPr>
        <w:t>Figure 51  Financial statements and balances (part 4 of 19)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fin.CountryRegion</w:t>
            </w:r>
          </w:p>
        </w:tc>
        <w:tc>
          <w:tcPr>
            <w:tcW w:type="dxa" w:w="6690"/>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shd w:val="clear" w:color="auto" w:fill="E8EEF6"/>
          </w:tcPr>
          <w:p>
            <w:pPr>
              <w:spacing w:after="0" w:before="0"/>
            </w:pPr>
            <w:r/>
            <w:r>
              <w:rPr>
                <w:rFonts w:ascii="Arial" w:hAnsi="Arial"/>
                <w:b w:val="0"/>
                <w:sz w:val="15"/>
              </w:rPr>
              <w:t>CountryRegionId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fin.CountryRegion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328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015990" cy="2132828"/>
                    </a:xfrm>
                    <a:prstGeom prst="rect"/>
                  </pic:spPr>
                </pic:pic>
              </a:graphicData>
            </a:graphic>
          </wp:inline>
        </w:drawing>
      </w:r>
    </w:p>
    <w:p>
      <w:pPr>
        <w:spacing w:after="120"/>
        <w:jc w:val="center"/>
      </w:pPr>
      <w:r>
        <w:rPr>
          <w:rFonts w:ascii="Arial" w:hAnsi="Arial"/>
          <w:b w:val="0"/>
          <w:i/>
          <w:color w:val="6B7280"/>
          <w:sz w:val="16"/>
        </w:rPr>
        <w:t>Figure 52  Financial statements and balances (part 5 of 19)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fin.CountryRiskProfile</w:t>
            </w:r>
          </w:p>
        </w:tc>
        <w:tc>
          <w:tcPr>
            <w:tcW w:type="dxa" w:w="6690"/>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tcPr>
          <w:p>
            <w:pPr>
              <w:spacing w:after="0" w:before="0"/>
            </w:pPr>
            <w:r/>
            <w:r>
              <w:rPr>
                <w:rFonts w:ascii="Arial" w:hAnsi="Arial"/>
                <w:b w:val="0"/>
                <w:sz w:val="15"/>
              </w:rPr>
              <w:t>CountryRiskProfileId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SovereignRatingGradeId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92119"/>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224270" cy="7292119"/>
                    </a:xfrm>
                    <a:prstGeom prst="rect"/>
                  </pic:spPr>
                </pic:pic>
              </a:graphicData>
            </a:graphic>
          </wp:inline>
        </w:drawing>
      </w:r>
    </w:p>
    <w:p>
      <w:pPr>
        <w:spacing w:after="120"/>
        <w:jc w:val="center"/>
      </w:pPr>
      <w:r>
        <w:rPr>
          <w:rFonts w:ascii="Arial" w:hAnsi="Arial"/>
          <w:b w:val="0"/>
          <w:i/>
          <w:color w:val="6B7280"/>
          <w:sz w:val="16"/>
        </w:rPr>
        <w:t>Figure 53  Financial statements and balances (part 6 of 19)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EndorsedBy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MarketCountryId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AnchorGradeId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CountryCeilingGradeId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79870" cy="6417763"/>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79870" cy="6417763"/>
                    </a:xfrm>
                    <a:prstGeom prst="rect"/>
                  </pic:spPr>
                </pic:pic>
              </a:graphicData>
            </a:graphic>
          </wp:inline>
        </w:drawing>
      </w:r>
    </w:p>
    <w:p>
      <w:pPr>
        <w:spacing w:after="120"/>
        <w:jc w:val="center"/>
      </w:pPr>
      <w:r>
        <w:rPr>
          <w:rFonts w:ascii="Arial" w:hAnsi="Arial"/>
          <w:b w:val="0"/>
          <w:i/>
          <w:color w:val="6B7280"/>
          <w:sz w:val="16"/>
        </w:rPr>
        <w:t>Figure 54  Financial statements and balances (part 7 of 19)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fin.CreditAssessmentFacility</w:t>
            </w:r>
          </w:p>
        </w:tc>
        <w:tc>
          <w:tcPr>
            <w:tcW w:type="dxa" w:w="6690"/>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shd w:val="clear" w:color="auto" w:fill="E8EEF6"/>
          </w:tcPr>
          <w:p>
            <w:pPr>
              <w:spacing w:after="0" w:before="0"/>
            </w:pPr>
            <w:r/>
            <w:r>
              <w:rPr>
                <w:rFonts w:ascii="Arial" w:hAnsi="Arial"/>
                <w:b w:val="0"/>
                <w:sz w:val="15"/>
              </w:rPr>
              <w:t>CreditAssessmentFacilityId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3171191"/>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388100" cy="3171191"/>
                    </a:xfrm>
                    <a:prstGeom prst="rect"/>
                  </pic:spPr>
                </pic:pic>
              </a:graphicData>
            </a:graphic>
          </wp:inline>
        </w:drawing>
      </w:r>
    </w:p>
    <w:p>
      <w:pPr>
        <w:spacing w:after="120"/>
        <w:jc w:val="center"/>
      </w:pPr>
      <w:r>
        <w:rPr>
          <w:rFonts w:ascii="Arial" w:hAnsi="Arial"/>
          <w:b w:val="0"/>
          <w:i/>
          <w:color w:val="6B7280"/>
          <w:sz w:val="16"/>
        </w:rPr>
        <w:t>Figure 55  Financial statements and balances (part 8 of 19)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2984057"/>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512559" cy="2984057"/>
                    </a:xfrm>
                    <a:prstGeom prst="rect"/>
                  </pic:spPr>
                </pic:pic>
              </a:graphicData>
            </a:graphic>
          </wp:inline>
        </w:drawing>
      </w:r>
    </w:p>
    <w:p>
      <w:pPr>
        <w:spacing w:after="120"/>
        <w:jc w:val="center"/>
      </w:pPr>
      <w:r>
        <w:rPr>
          <w:rFonts w:ascii="Arial" w:hAnsi="Arial"/>
          <w:b w:val="0"/>
          <w:i/>
          <w:color w:val="6B7280"/>
          <w:sz w:val="16"/>
        </w:rPr>
        <w:t>Figure 56  Financial statements and balances (part 9 of 19)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fin.CreditAssessmentGuarantor</w:t>
            </w:r>
          </w:p>
        </w:tc>
        <w:tc>
          <w:tcPr>
            <w:tcW w:type="dxa" w:w="6690"/>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tcPr>
          <w:p>
            <w:pPr>
              <w:spacing w:after="0" w:before="0"/>
            </w:pPr>
            <w:r/>
            <w:r>
              <w:rPr>
                <w:rFonts w:ascii="Arial" w:hAnsi="Arial"/>
                <w:b w:val="0"/>
                <w:sz w:val="15"/>
              </w:rPr>
              <w:t>CreditAssessmentGuarantorId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6650181"/>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355080" cy="6650181"/>
                    </a:xfrm>
                    <a:prstGeom prst="rect"/>
                  </pic:spPr>
                </pic:pic>
              </a:graphicData>
            </a:graphic>
          </wp:inline>
        </w:drawing>
      </w:r>
    </w:p>
    <w:p>
      <w:pPr>
        <w:spacing w:after="120"/>
        <w:jc w:val="center"/>
      </w:pPr>
      <w:r>
        <w:rPr>
          <w:rFonts w:ascii="Arial" w:hAnsi="Arial"/>
          <w:b w:val="0"/>
          <w:i/>
          <w:color w:val="6B7280"/>
          <w:sz w:val="16"/>
        </w:rPr>
        <w:t>Figure 57  Financial statements and balances (part 10 of 19)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663274"/>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79540" cy="4663274"/>
                    </a:xfrm>
                    <a:prstGeom prst="rect"/>
                  </pic:spPr>
                </pic:pic>
              </a:graphicData>
            </a:graphic>
          </wp:inline>
        </w:drawing>
      </w:r>
    </w:p>
    <w:p>
      <w:pPr>
        <w:spacing w:after="120"/>
        <w:jc w:val="center"/>
      </w:pPr>
      <w:r>
        <w:rPr>
          <w:rFonts w:ascii="Arial" w:hAnsi="Arial"/>
          <w:b w:val="0"/>
          <w:i/>
          <w:color w:val="6B7280"/>
          <w:sz w:val="16"/>
        </w:rPr>
        <w:t>Figure 58  Financial statements and balances (part 11 of 19)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w:t>
            </w:r>
          </w:p>
        </w:tc>
        <w:tc>
          <w:tcPr>
            <w:tcW w:type="dxa" w:w="6690"/>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tcPr>
          <w:p>
            <w:pPr>
              <w:spacing w:after="0" w:before="0"/>
            </w:pPr>
            <w:r/>
            <w:r>
              <w:rPr>
                <w:rFonts w:ascii="Arial" w:hAnsi="Arial"/>
                <w:b w:val="0"/>
                <w:sz w:val="15"/>
              </w:rPr>
              <w:t>CreditAssessmentPlanId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fin.CreditAssessmentPlanStep</w:t>
            </w:r>
          </w:p>
        </w:tc>
        <w:tc>
          <w:tcPr>
            <w:tcW w:type="dxa" w:w="6690"/>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2948"/>
            <w:shd w:val="clear" w:color="auto" w:fill="E8EEF6"/>
          </w:tcPr>
          <w:p>
            <w:pPr>
              <w:spacing w:after="0" w:before="0"/>
            </w:pPr>
            <w:r/>
            <w:r>
              <w:rPr>
                <w:rFonts w:ascii="Arial" w:hAnsi="Arial"/>
                <w:b w:val="0"/>
                <w:sz w:val="15"/>
              </w:rPr>
              <w:t>CreditAssessmentPlanStepId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8073969"/>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456680" cy="8073969"/>
                    </a:xfrm>
                    <a:prstGeom prst="rect"/>
                  </pic:spPr>
                </pic:pic>
              </a:graphicData>
            </a:graphic>
          </wp:inline>
        </w:drawing>
      </w:r>
    </w:p>
    <w:p>
      <w:pPr>
        <w:spacing w:after="120"/>
        <w:jc w:val="center"/>
      </w:pPr>
      <w:r>
        <w:rPr>
          <w:rFonts w:ascii="Arial" w:hAnsi="Arial"/>
          <w:b w:val="0"/>
          <w:i/>
          <w:color w:val="6B7280"/>
          <w:sz w:val="16"/>
        </w:rPr>
        <w:t>Figure 59  Financial statements and balances (part 12 of 19)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fin.CreditAssessmentReclass</w:t>
            </w:r>
          </w:p>
        </w:tc>
        <w:tc>
          <w:tcPr>
            <w:tcW w:type="dxa" w:w="6690"/>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tcPr>
          <w:p>
            <w:pPr>
              <w:spacing w:after="0" w:before="0"/>
            </w:pPr>
            <w:r/>
            <w:r>
              <w:rPr>
                <w:rFonts w:ascii="Arial" w:hAnsi="Arial"/>
                <w:b w:val="0"/>
                <w:sz w:val="15"/>
              </w:rPr>
              <w:t>CreditAssessmentReclassId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fin.CreditAssessmentRemedy</w:t>
            </w:r>
          </w:p>
        </w:tc>
        <w:tc>
          <w:tcPr>
            <w:tcW w:type="dxa" w:w="6690"/>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shd w:val="clear" w:color="auto" w:fill="E8EEF6"/>
          </w:tcPr>
          <w:p>
            <w:pPr>
              <w:spacing w:after="0" w:before="0"/>
            </w:pPr>
            <w:r/>
            <w:r>
              <w:rPr>
                <w:rFonts w:ascii="Arial" w:hAnsi="Arial"/>
                <w:b w:val="0"/>
                <w:sz w:val="15"/>
              </w:rPr>
              <w:t>CreditAssessmentRemedyId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fin.CreditAssessmentScenario</w:t>
            </w:r>
          </w:p>
        </w:tc>
        <w:tc>
          <w:tcPr>
            <w:tcW w:type="dxa" w:w="6690"/>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tcPr>
          <w:p>
            <w:pPr>
              <w:spacing w:after="0" w:before="0"/>
            </w:pPr>
            <w:r/>
            <w:r>
              <w:rPr>
                <w:rFonts w:ascii="Arial" w:hAnsi="Arial"/>
                <w:b w:val="0"/>
                <w:sz w:val="15"/>
              </w:rPr>
              <w:t>CreditAssessmentScenarioId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fin.CreditAssessmentTrigger</w:t>
            </w:r>
          </w:p>
        </w:tc>
        <w:tc>
          <w:tcPr>
            <w:tcW w:type="dxa" w:w="6690"/>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shd w:val="clear" w:color="auto" w:fill="E8EEF6"/>
          </w:tcPr>
          <w:p>
            <w:pPr>
              <w:spacing w:after="0" w:before="0"/>
            </w:pPr>
            <w:r/>
            <w:r>
              <w:rPr>
                <w:rFonts w:ascii="Arial" w:hAnsi="Arial"/>
                <w:b w:val="0"/>
                <w:sz w:val="15"/>
              </w:rPr>
              <w:t>CreditAssessmentTriggerId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fin.CreditMetric</w:t>
            </w:r>
          </w:p>
        </w:tc>
        <w:tc>
          <w:tcPr>
            <w:tcW w:type="dxa" w:w="6690"/>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tcPr>
          <w:p>
            <w:pPr>
              <w:spacing w:after="0" w:before="0"/>
            </w:pPr>
            <w:r/>
            <w:r>
              <w:rPr>
                <w:rFonts w:ascii="Arial" w:hAnsi="Arial"/>
                <w:b w:val="0"/>
                <w:sz w:val="15"/>
              </w:rPr>
              <w:t>CreditMetricId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w:t>
            </w:r>
          </w:p>
        </w:tc>
        <w:tc>
          <w:tcPr>
            <w:tcW w:type="dxa" w:w="6690"/>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shd w:val="clear" w:color="auto" w:fill="E8EEF6"/>
          </w:tcPr>
          <w:p>
            <w:pPr>
              <w:spacing w:after="0" w:before="0"/>
            </w:pPr>
            <w:r/>
            <w:r>
              <w:rPr>
                <w:rFonts w:ascii="Arial" w:hAnsi="Arial"/>
                <w:b w:val="0"/>
                <w:sz w:val="15"/>
              </w:rPr>
              <w:t>CreditRemedyId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fin.CreditRemedyStep</w:t>
            </w:r>
          </w:p>
        </w:tc>
        <w:tc>
          <w:tcPr>
            <w:tcW w:type="dxa" w:w="6690"/>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tcPr>
          <w:p>
            <w:pPr>
              <w:spacing w:after="0" w:before="0"/>
            </w:pPr>
            <w:r/>
            <w:r>
              <w:rPr>
                <w:rFonts w:ascii="Arial" w:hAnsi="Arial"/>
                <w:b w:val="0"/>
                <w:sz w:val="15"/>
              </w:rPr>
              <w:t>CreditRemedyStepId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fin.CreditRemedyTrigger</w:t>
            </w:r>
          </w:p>
        </w:tc>
        <w:tc>
          <w:tcPr>
            <w:tcW w:type="dxa" w:w="6690"/>
            <w:shd w:val="clear" w:color="auto" w:fill="E8EEF6"/>
          </w:tcPr>
          <w:p>
            <w:pPr>
              <w:spacing w:after="0" w:before="0"/>
            </w:pPr>
            <w:r/>
            <w:r>
              <w:rPr>
                <w:rFonts w:ascii="Arial" w:hAnsi="Arial"/>
                <w:b w:val="0"/>
                <w:sz w:val="15"/>
              </w:rPr>
              <w:t>A finding a remedy answers: a metric or an adjustment code</w:t>
            </w:r>
          </w:p>
        </w:tc>
        <w:tc>
          <w:tcPr>
            <w:tcW w:type="dxa" w:w="2948"/>
            <w:shd w:val="clear" w:color="auto" w:fill="E8EEF6"/>
          </w:tcPr>
          <w:p>
            <w:pPr>
              <w:spacing w:after="0" w:before="0"/>
            </w:pPr>
            <w:r/>
            <w:r>
              <w:rPr>
                <w:rFonts w:ascii="Arial" w:hAnsi="Arial"/>
                <w:b w:val="0"/>
                <w:sz w:val="15"/>
              </w:rPr>
              <w:t>CreditRemedyTriggerId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ProFormaGradeId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fin.CreditRemedyTrigger</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818657"/>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099810" cy="6818657"/>
                    </a:xfrm>
                    <a:prstGeom prst="rect"/>
                  </pic:spPr>
                </pic:pic>
              </a:graphicData>
            </a:graphic>
          </wp:inline>
        </w:drawing>
      </w:r>
    </w:p>
    <w:p>
      <w:pPr>
        <w:spacing w:after="120"/>
        <w:jc w:val="center"/>
      </w:pPr>
      <w:r>
        <w:rPr>
          <w:rFonts w:ascii="Arial" w:hAnsi="Arial"/>
          <w:b w:val="0"/>
          <w:i/>
          <w:color w:val="6B7280"/>
          <w:sz w:val="16"/>
        </w:rPr>
        <w:t>Figure 60  Financial statements and balances (part 13 of 19)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fin.CreditText</w:t>
            </w:r>
          </w:p>
        </w:tc>
        <w:tc>
          <w:tcPr>
            <w:tcW w:type="dxa" w:w="6690"/>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tcPr>
          <w:p>
            <w:pPr>
              <w:spacing w:after="0" w:before="0"/>
            </w:pPr>
            <w:r/>
            <w:r>
              <w:rPr>
                <w:rFonts w:ascii="Arial" w:hAnsi="Arial"/>
                <w:b w:val="0"/>
                <w:sz w:val="15"/>
              </w:rPr>
              <w:t>CreditTextId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fin.EarlyWarningAlert</w:t>
            </w:r>
          </w:p>
        </w:tc>
        <w:tc>
          <w:tcPr>
            <w:tcW w:type="dxa" w:w="6690"/>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shd w:val="clear" w:color="auto" w:fill="E8EEF6"/>
          </w:tcPr>
          <w:p>
            <w:pPr>
              <w:spacing w:after="0" w:before="0"/>
            </w:pPr>
            <w:r/>
            <w:r>
              <w:rPr>
                <w:rFonts w:ascii="Arial" w:hAnsi="Arial"/>
                <w:b w:val="0"/>
                <w:sz w:val="15"/>
              </w:rPr>
              <w:t>EarlyWarningAlertId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6072906"/>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106160" cy="6072906"/>
                    </a:xfrm>
                    <a:prstGeom prst="rect"/>
                  </pic:spPr>
                </pic:pic>
              </a:graphicData>
            </a:graphic>
          </wp:inline>
        </w:drawing>
      </w:r>
    </w:p>
    <w:p>
      <w:pPr>
        <w:spacing w:after="120"/>
        <w:jc w:val="center"/>
      </w:pPr>
      <w:r>
        <w:rPr>
          <w:rFonts w:ascii="Arial" w:hAnsi="Arial"/>
          <w:b w:val="0"/>
          <w:i/>
          <w:color w:val="6B7280"/>
          <w:sz w:val="16"/>
        </w:rPr>
        <w:t>Figure 61  Financial statements and balances (part 14 of 19)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fin.LenderRating</w:t>
            </w:r>
          </w:p>
        </w:tc>
        <w:tc>
          <w:tcPr>
            <w:tcW w:type="dxa" w:w="6690"/>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shd w:val="clear" w:color="auto" w:fill="E8EEF6"/>
          </w:tcPr>
          <w:p>
            <w:pPr>
              <w:spacing w:after="0" w:before="0"/>
            </w:pPr>
            <w:r/>
            <w:r>
              <w:rPr>
                <w:rFonts w:ascii="Arial" w:hAnsi="Arial"/>
                <w:b w:val="0"/>
                <w:sz w:val="15"/>
              </w:rPr>
              <w:t>LenderRatingId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62040" cy="5065089"/>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6162040" cy="5065089"/>
                    </a:xfrm>
                    <a:prstGeom prst="rect"/>
                  </pic:spPr>
                </pic:pic>
              </a:graphicData>
            </a:graphic>
          </wp:inline>
        </w:drawing>
      </w:r>
    </w:p>
    <w:p>
      <w:pPr>
        <w:spacing w:after="120"/>
        <w:jc w:val="center"/>
      </w:pPr>
      <w:r>
        <w:rPr>
          <w:rFonts w:ascii="Arial" w:hAnsi="Arial"/>
          <w:b w:val="0"/>
          <w:i/>
          <w:color w:val="6B7280"/>
          <w:sz w:val="16"/>
        </w:rPr>
        <w:t>Figure 62  Financial statements and balances (part 15 of 19)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w:t>
            </w:r>
          </w:p>
        </w:tc>
        <w:tc>
          <w:tcPr>
            <w:tcW w:type="dxa" w:w="6690"/>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tcPr>
          <w:p>
            <w:pPr>
              <w:spacing w:after="0" w:before="0"/>
            </w:pPr>
            <w:r/>
            <w:r>
              <w:rPr>
                <w:rFonts w:ascii="Arial" w:hAnsi="Arial"/>
                <w:b w:val="0"/>
                <w:sz w:val="15"/>
              </w:rPr>
              <w:t>MacroScenarioId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fin.MacroScenarioCountry</w:t>
            </w:r>
          </w:p>
        </w:tc>
        <w:tc>
          <w:tcPr>
            <w:tcW w:type="dxa" w:w="6690"/>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shd w:val="clear" w:color="auto" w:fill="E8EEF6"/>
          </w:tcPr>
          <w:p>
            <w:pPr>
              <w:spacing w:after="0" w:before="0"/>
            </w:pPr>
            <w:r/>
            <w:r>
              <w:rPr>
                <w:rFonts w:ascii="Arial" w:hAnsi="Arial"/>
                <w:b w:val="0"/>
                <w:sz w:val="15"/>
              </w:rPr>
              <w:t>MacroScenarioCountryId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992138"/>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964420" cy="6992138"/>
                    </a:xfrm>
                    <a:prstGeom prst="rect"/>
                  </pic:spPr>
                </pic:pic>
              </a:graphicData>
            </a:graphic>
          </wp:inline>
        </w:drawing>
      </w:r>
    </w:p>
    <w:p>
      <w:pPr>
        <w:spacing w:after="120"/>
        <w:jc w:val="center"/>
      </w:pPr>
      <w:r>
        <w:rPr>
          <w:rFonts w:ascii="Arial" w:hAnsi="Arial"/>
          <w:b w:val="0"/>
          <w:i/>
          <w:color w:val="6B7280"/>
          <w:sz w:val="16"/>
        </w:rPr>
        <w:t>Figure 63  Financial statements and balances (part 16 of 19)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w:t>
            </w:r>
          </w:p>
        </w:tc>
        <w:tc>
          <w:tcPr>
            <w:tcW w:type="dxa" w:w="6690"/>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tcPr>
          <w:p>
            <w:pPr>
              <w:spacing w:after="0" w:before="0"/>
            </w:pPr>
            <w:r/>
            <w:r>
              <w:rPr>
                <w:rFonts w:ascii="Arial" w:hAnsi="Arial"/>
                <w:b w:val="0"/>
                <w:sz w:val="15"/>
              </w:rPr>
              <w:t>PresentationVersionId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fin.PresentationVersionStep</w:t>
            </w:r>
          </w:p>
        </w:tc>
        <w:tc>
          <w:tcPr>
            <w:tcW w:type="dxa" w:w="6690"/>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shd w:val="clear" w:color="auto" w:fill="E8EEF6"/>
          </w:tcPr>
          <w:p>
            <w:pPr>
              <w:spacing w:after="0" w:before="0"/>
            </w:pPr>
            <w:r/>
            <w:r>
              <w:rPr>
                <w:rFonts w:ascii="Arial" w:hAnsi="Arial"/>
                <w:b w:val="0"/>
                <w:sz w:val="15"/>
              </w:rPr>
              <w:t>PresentationVersionStepId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545320" cy="7986985"/>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9545320" cy="7986985"/>
                    </a:xfrm>
                    <a:prstGeom prst="rect"/>
                  </pic:spPr>
                </pic:pic>
              </a:graphicData>
            </a:graphic>
          </wp:inline>
        </w:drawing>
      </w:r>
    </w:p>
    <w:p>
      <w:pPr>
        <w:spacing w:after="120"/>
        <w:jc w:val="center"/>
      </w:pPr>
      <w:r>
        <w:rPr>
          <w:rFonts w:ascii="Arial" w:hAnsi="Arial"/>
          <w:b w:val="0"/>
          <w:i/>
          <w:color w:val="6B7280"/>
          <w:sz w:val="16"/>
        </w:rPr>
        <w:t>Figure 64  Financial statements and balances (part 17 of 19)  ·  8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fin.ReceivableLossRate</w:t>
            </w:r>
          </w:p>
        </w:tc>
        <w:tc>
          <w:tcPr>
            <w:tcW w:type="dxa" w:w="6690"/>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948"/>
          </w:tcPr>
          <w:p>
            <w:pPr>
              <w:spacing w:after="0" w:before="0"/>
            </w:pPr>
            <w:r/>
            <w:r>
              <w:rPr>
                <w:rFonts w:ascii="Arial" w:hAnsi="Arial"/>
                <w:b w:val="0"/>
                <w:sz w:val="15"/>
              </w:rPr>
              <w:t>ReceivableLossRateId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fin.RevenueEstimate</w:t>
            </w:r>
          </w:p>
        </w:tc>
        <w:tc>
          <w:tcPr>
            <w:tcW w:type="dxa" w:w="6690"/>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shd w:val="clear" w:color="auto" w:fill="E8EEF6"/>
          </w:tcPr>
          <w:p>
            <w:pPr>
              <w:spacing w:after="0" w:before="0"/>
            </w:pPr>
            <w:r/>
            <w:r>
              <w:rPr>
                <w:rFonts w:ascii="Arial" w:hAnsi="Arial"/>
                <w:b w:val="0"/>
                <w:sz w:val="15"/>
              </w:rPr>
              <w:t>RevenueEstimateId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fin.ReceivableLossRate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fin.ScorecardParameter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23940" cy="5184354"/>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123940" cy="5184354"/>
                    </a:xfrm>
                    <a:prstGeom prst="rect"/>
                  </pic:spPr>
                </pic:pic>
              </a:graphicData>
            </a:graphic>
          </wp:inline>
        </w:drawing>
      </w:r>
    </w:p>
    <w:p>
      <w:pPr>
        <w:spacing w:after="120"/>
        <w:jc w:val="center"/>
      </w:pPr>
      <w:r>
        <w:rPr>
          <w:rFonts w:ascii="Arial" w:hAnsi="Arial"/>
          <w:b w:val="0"/>
          <w:i/>
          <w:color w:val="6B7280"/>
          <w:sz w:val="16"/>
        </w:rPr>
        <w:t>Figure 65  Financial statements and balances (part 18 of 19)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fin.ShockDriver</w:t>
            </w:r>
          </w:p>
        </w:tc>
        <w:tc>
          <w:tcPr>
            <w:tcW w:type="dxa" w:w="6690"/>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shd w:val="clear" w:color="auto" w:fill="E8EEF6"/>
          </w:tcPr>
          <w:p>
            <w:pPr>
              <w:spacing w:after="0" w:before="0"/>
            </w:pPr>
            <w:r/>
            <w:r>
              <w:rPr>
                <w:rFonts w:ascii="Arial" w:hAnsi="Arial"/>
                <w:b w:val="0"/>
                <w:sz w:val="15"/>
              </w:rPr>
              <w:t>ShockDriverId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fin.StandardLine</w:t>
            </w:r>
          </w:p>
        </w:tc>
        <w:tc>
          <w:tcPr>
            <w:tcW w:type="dxa" w:w="6690"/>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tcPr>
          <w:p>
            <w:pPr>
              <w:spacing w:after="0" w:before="0"/>
            </w:pPr>
            <w:r/>
            <w:r>
              <w:rPr>
                <w:rFonts w:ascii="Arial" w:hAnsi="Arial"/>
                <w:b w:val="0"/>
                <w:sz w:val="15"/>
              </w:rPr>
              <w:t>StandardLineId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fin.StandardLineTotal</w:t>
            </w:r>
          </w:p>
        </w:tc>
        <w:tc>
          <w:tcPr>
            <w:tcW w:type="dxa" w:w="6690"/>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2948"/>
            <w:shd w:val="clear" w:color="auto" w:fill="E8EEF6"/>
          </w:tcPr>
          <w:p>
            <w:pPr>
              <w:spacing w:after="0" w:before="0"/>
            </w:pPr>
            <w:r/>
            <w:r>
              <w:rPr>
                <w:rFonts w:ascii="Arial" w:hAnsi="Arial"/>
                <w:b w:val="0"/>
                <w:sz w:val="15"/>
              </w:rPr>
              <w:t>StandardLineTotalId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5067149"/>
            <wp:docPr id="66" name="Picture 66"/>
            <wp:cNvGraphicFramePr>
              <a:graphicFrameLocks noChangeAspect="1"/>
            </wp:cNvGraphicFramePr>
            <a:graphic>
              <a:graphicData uri="http://schemas.openxmlformats.org/drawingml/2006/picture">
                <pic:pic>
                  <pic:nvPicPr>
                    <pic:cNvPr id="0" name="m5_financials_19.png"/>
                    <pic:cNvPicPr/>
                  </pic:nvPicPr>
                  <pic:blipFill>
                    <a:blip r:embed="rId76"/>
                    <a:stretch>
                      <a:fillRect/>
                    </a:stretch>
                  </pic:blipFill>
                  <pic:spPr>
                    <a:xfrm>
                      <a:off x="0" y="0"/>
                      <a:ext cx="6484620" cy="5067149"/>
                    </a:xfrm>
                    <a:prstGeom prst="rect"/>
                  </pic:spPr>
                </pic:pic>
              </a:graphicData>
            </a:graphic>
          </wp:inline>
        </w:drawing>
      </w:r>
    </w:p>
    <w:p>
      <w:pPr>
        <w:spacing w:after="120"/>
        <w:jc w:val="center"/>
      </w:pPr>
      <w:r>
        <w:rPr>
          <w:rFonts w:ascii="Arial" w:hAnsi="Arial"/>
          <w:b w:val="0"/>
          <w:i/>
          <w:color w:val="6B7280"/>
          <w:sz w:val="16"/>
        </w:rPr>
        <w:t>Figure 66  Financial statements and balances (part 19 of 19)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fin.StatementRatio</w:t>
            </w:r>
          </w:p>
        </w:tc>
        <w:tc>
          <w:tcPr>
            <w:tcW w:type="dxa" w:w="6690"/>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shd w:val="clear" w:color="auto" w:fill="E8EEF6"/>
          </w:tcPr>
          <w:p>
            <w:pPr>
              <w:spacing w:after="0" w:before="0"/>
            </w:pPr>
            <w:r/>
            <w:r>
              <w:rPr>
                <w:rFonts w:ascii="Arial" w:hAnsi="Arial"/>
                <w:b w:val="0"/>
                <w:sz w:val="15"/>
              </w:rPr>
              <w:t>StatementRatioId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w:t>
            </w:r>
          </w:p>
        </w:tc>
        <w:tc>
          <w:tcPr>
            <w:tcW w:type="dxa" w:w="6690"/>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tcPr>
          <w:p>
            <w:pPr>
              <w:spacing w:after="0" w:before="0"/>
            </w:pPr>
            <w:r/>
            <w:r>
              <w:rPr>
                <w:rFonts w:ascii="Arial" w:hAnsi="Arial"/>
                <w:b w:val="0"/>
                <w:sz w:val="15"/>
              </w:rPr>
              <w:t>StrengtheningPlanId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fin.StrengtheningPlanMember</w:t>
            </w:r>
          </w:p>
        </w:tc>
        <w:tc>
          <w:tcPr>
            <w:tcW w:type="dxa" w:w="6690"/>
            <w:shd w:val="clear" w:color="auto" w:fill="E8EEF6"/>
          </w:tcPr>
          <w:p>
            <w:pPr>
              <w:spacing w:after="0" w:before="0"/>
            </w:pPr>
            <w:r/>
            <w:r>
              <w:rPr>
                <w:rFonts w:ascii="Arial" w:hAnsi="Arial"/>
                <w:b w:val="0"/>
                <w:sz w:val="15"/>
              </w:rPr>
              <w:t>A remedy of a package plan, in the order the plan applies it</w:t>
            </w:r>
          </w:p>
        </w:tc>
        <w:tc>
          <w:tcPr>
            <w:tcW w:type="dxa" w:w="2948"/>
            <w:shd w:val="clear" w:color="auto" w:fill="E8EEF6"/>
          </w:tcPr>
          <w:p>
            <w:pPr>
              <w:spacing w:after="0" w:before="0"/>
            </w:pPr>
            <w:r/>
            <w:r>
              <w:rPr>
                <w:rFonts w:ascii="Arial" w:hAnsi="Arial"/>
                <w:b w:val="0"/>
                <w:sz w:val="15"/>
              </w:rPr>
              <w:t>StrengtheningPlanMemberId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7" name="Picture 67"/>
            <wp:cNvGraphicFramePr>
              <a:graphicFrameLocks noChangeAspect="1"/>
            </wp:cNvGraphicFramePr>
            <a:graphic>
              <a:graphicData uri="http://schemas.openxmlformats.org/drawingml/2006/picture">
                <pic:pic>
                  <pic:nvPicPr>
                    <pic:cNvPr id="0" name="m6_wf_templates_1.png"/>
                    <pic:cNvPicPr/>
                  </pic:nvPicPr>
                  <pic:blipFill>
                    <a:blip r:embed="rId77"/>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67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8" name="Picture 68"/>
            <wp:cNvGraphicFramePr>
              <a:graphicFrameLocks noChangeAspect="1"/>
            </wp:cNvGraphicFramePr>
            <a:graphic>
              <a:graphicData uri="http://schemas.openxmlformats.org/drawingml/2006/picture">
                <pic:pic>
                  <pic:nvPicPr>
                    <pic:cNvPr id="0" name="m6_wf_templates_2.png"/>
                    <pic:cNvPicPr/>
                  </pic:nvPicPr>
                  <pic:blipFill>
                    <a:blip r:embed="rId78"/>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68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9" name="Picture 69"/>
            <wp:cNvGraphicFramePr>
              <a:graphicFrameLocks noChangeAspect="1"/>
            </wp:cNvGraphicFramePr>
            <a:graphic>
              <a:graphicData uri="http://schemas.openxmlformats.org/drawingml/2006/picture">
                <pic:pic>
                  <pic:nvPicPr>
                    <pic:cNvPr id="0" name="m6_wf_templates_3.png"/>
                    <pic:cNvPicPr/>
                  </pic:nvPicPr>
                  <pic:blipFill>
                    <a:blip r:embed="rId79"/>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69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0" name="Picture 70"/>
            <wp:cNvGraphicFramePr>
              <a:graphicFrameLocks noChangeAspect="1"/>
            </wp:cNvGraphicFramePr>
            <a:graphic>
              <a:graphicData uri="http://schemas.openxmlformats.org/drawingml/2006/picture">
                <pic:pic>
                  <pic:nvPicPr>
                    <pic:cNvPr id="0" name="m6_wf_templates_4.png"/>
                    <pic:cNvPicPr/>
                  </pic:nvPicPr>
                  <pic:blipFill>
                    <a:blip r:embed="rId80"/>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70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1" name="Picture 71"/>
            <wp:cNvGraphicFramePr>
              <a:graphicFrameLocks noChangeAspect="1"/>
            </wp:cNvGraphicFramePr>
            <a:graphic>
              <a:graphicData uri="http://schemas.openxmlformats.org/drawingml/2006/picture">
                <pic:pic>
                  <pic:nvPicPr>
                    <pic:cNvPr id="0" name="m6_requests_1.png"/>
                    <pic:cNvPicPr/>
                  </pic:nvPicPr>
                  <pic:blipFill>
                    <a:blip r:embed="rId81"/>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71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2" name="Picture 72"/>
            <wp:cNvGraphicFramePr>
              <a:graphicFrameLocks noChangeAspect="1"/>
            </wp:cNvGraphicFramePr>
            <a:graphic>
              <a:graphicData uri="http://schemas.openxmlformats.org/drawingml/2006/picture">
                <pic:pic>
                  <pic:nvPicPr>
                    <pic:cNvPr id="0" name="m6_requests_2.png"/>
                    <pic:cNvPicPr/>
                  </pic:nvPicPr>
                  <pic:blipFill>
                    <a:blip r:embed="rId82"/>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72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3" name="Picture 73"/>
            <wp:cNvGraphicFramePr>
              <a:graphicFrameLocks noChangeAspect="1"/>
            </wp:cNvGraphicFramePr>
            <a:graphic>
              <a:graphicData uri="http://schemas.openxmlformats.org/drawingml/2006/picture">
                <pic:pic>
                  <pic:nvPicPr>
                    <pic:cNvPr id="0" name="m6_requests_3.png"/>
                    <pic:cNvPicPr/>
                  </pic:nvPicPr>
                  <pic:blipFill>
                    <a:blip r:embed="rId83"/>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73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4" name="Picture 74"/>
            <wp:cNvGraphicFramePr>
              <a:graphicFrameLocks noChangeAspect="1"/>
            </wp:cNvGraphicFramePr>
            <a:graphic>
              <a:graphicData uri="http://schemas.openxmlformats.org/drawingml/2006/picture">
                <pic:pic>
                  <pic:nvPicPr>
                    <pic:cNvPr id="0" name="m6_requests_4.png"/>
                    <pic:cNvPicPr/>
                  </pic:nvPicPr>
                  <pic:blipFill>
                    <a:blip r:embed="rId84"/>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74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5" name="Picture 75"/>
            <wp:cNvGraphicFramePr>
              <a:graphicFrameLocks noChangeAspect="1"/>
            </wp:cNvGraphicFramePr>
            <a:graphic>
              <a:graphicData uri="http://schemas.openxmlformats.org/drawingml/2006/picture">
                <pic:pic>
                  <pic:nvPicPr>
                    <pic:cNvPr id="0" name="m6_requests_5.png"/>
                    <pic:cNvPicPr/>
                  </pic:nvPicPr>
                  <pic:blipFill>
                    <a:blip r:embed="rId85"/>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75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6" name="Picture 76"/>
            <wp:cNvGraphicFramePr>
              <a:graphicFrameLocks noChangeAspect="1"/>
            </wp:cNvGraphicFramePr>
            <a:graphic>
              <a:graphicData uri="http://schemas.openxmlformats.org/drawingml/2006/picture">
                <pic:pic>
                  <pic:nvPicPr>
                    <pic:cNvPr id="0" name="m6_requests_6.png"/>
                    <pic:cNvPicPr/>
                  </pic:nvPicPr>
                  <pic:blipFill>
                    <a:blip r:embed="rId86"/>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76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7" name="Picture 77"/>
            <wp:cNvGraphicFramePr>
              <a:graphicFrameLocks noChangeAspect="1"/>
            </wp:cNvGraphicFramePr>
            <a:graphic>
              <a:graphicData uri="http://schemas.openxmlformats.org/drawingml/2006/picture">
                <pic:pic>
                  <pic:nvPicPr>
                    <pic:cNvPr id="0" name="m6_requests_7.png"/>
                    <pic:cNvPicPr/>
                  </pic:nvPicPr>
                  <pic:blipFill>
                    <a:blip r:embed="rId87"/>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77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8" name="Picture 78"/>
            <wp:cNvGraphicFramePr>
              <a:graphicFrameLocks noChangeAspect="1"/>
            </wp:cNvGraphicFramePr>
            <a:graphic>
              <a:graphicData uri="http://schemas.openxmlformats.org/drawingml/2006/picture">
                <pic:pic>
                  <pic:nvPicPr>
                    <pic:cNvPr id="0" name="m6_notifications.png"/>
                    <pic:cNvPicPr/>
                  </pic:nvPicPr>
                  <pic:blipFill>
                    <a:blip r:embed="rId88"/>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78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9" name="Picture 79"/>
            <wp:cNvGraphicFramePr>
              <a:graphicFrameLocks noChangeAspect="1"/>
            </wp:cNvGraphicFramePr>
            <a:graphic>
              <a:graphicData uri="http://schemas.openxmlformats.org/drawingml/2006/picture">
                <pic:pic>
                  <pic:nvPicPr>
                    <pic:cNvPr id="0" name="m7_8_lc_terms_1.png"/>
                    <pic:cNvPicPr/>
                  </pic:nvPicPr>
                  <pic:blipFill>
                    <a:blip r:embed="rId89"/>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0" name="Picture 80"/>
            <wp:cNvGraphicFramePr>
              <a:graphicFrameLocks noChangeAspect="1"/>
            </wp:cNvGraphicFramePr>
            <a:graphic>
              <a:graphicData uri="http://schemas.openxmlformats.org/drawingml/2006/picture">
                <pic:pic>
                  <pic:nvPicPr>
                    <pic:cNvPr id="0" name="m7_8_lc_terms_2.png"/>
                    <pic:cNvPicPr/>
                  </pic:nvPicPr>
                  <pic:blipFill>
                    <a:blip r:embed="rId90"/>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1" name="Picture 81"/>
            <wp:cNvGraphicFramePr>
              <a:graphicFrameLocks noChangeAspect="1"/>
            </wp:cNvGraphicFramePr>
            <a:graphic>
              <a:graphicData uri="http://schemas.openxmlformats.org/drawingml/2006/picture">
                <pic:pic>
                  <pic:nvPicPr>
                    <pic:cNvPr id="0" name="m7_8_lc_terms_3.png"/>
                    <pic:cNvPicPr/>
                  </pic:nvPicPr>
                  <pic:blipFill>
                    <a:blip r:embed="rId91"/>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2" name="Picture 82"/>
            <wp:cNvGraphicFramePr>
              <a:graphicFrameLocks noChangeAspect="1"/>
            </wp:cNvGraphicFramePr>
            <a:graphic>
              <a:graphicData uri="http://schemas.openxmlformats.org/drawingml/2006/picture">
                <pic:pic>
                  <pic:nvPicPr>
                    <pic:cNvPr id="0" name="m7_8_lc_terms_4.png"/>
                    <pic:cNvPicPr/>
                  </pic:nvPicPr>
                  <pic:blipFill>
                    <a:blip r:embed="rId92"/>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3" name="Picture 83"/>
            <wp:cNvGraphicFramePr>
              <a:graphicFrameLocks noChangeAspect="1"/>
            </wp:cNvGraphicFramePr>
            <a:graphic>
              <a:graphicData uri="http://schemas.openxmlformats.org/drawingml/2006/picture">
                <pic:pic>
                  <pic:nvPicPr>
                    <pic:cNvPr id="0" name="m7_8_lc_terms_5.png"/>
                    <pic:cNvPicPr/>
                  </pic:nvPicPr>
                  <pic:blipFill>
                    <a:blip r:embed="rId93"/>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83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4" name="Picture 84"/>
            <wp:cNvGraphicFramePr>
              <a:graphicFrameLocks noChangeAspect="1"/>
            </wp:cNvGraphicFramePr>
            <a:graphic>
              <a:graphicData uri="http://schemas.openxmlformats.org/drawingml/2006/picture">
                <pic:pic>
                  <pic:nvPicPr>
                    <pic:cNvPr id="0" name="m7_8_lc_ops_1.png"/>
                    <pic:cNvPicPr/>
                  </pic:nvPicPr>
                  <pic:blipFill>
                    <a:blip r:embed="rId94"/>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84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5" name="Picture 85"/>
            <wp:cNvGraphicFramePr>
              <a:graphicFrameLocks noChangeAspect="1"/>
            </wp:cNvGraphicFramePr>
            <a:graphic>
              <a:graphicData uri="http://schemas.openxmlformats.org/drawingml/2006/picture">
                <pic:pic>
                  <pic:nvPicPr>
                    <pic:cNvPr id="0" name="m7_8_lc_ops_2.png"/>
                    <pic:cNvPicPr/>
                  </pic:nvPicPr>
                  <pic:blipFill>
                    <a:blip r:embed="rId95"/>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85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6" name="Picture 86"/>
            <wp:cNvGraphicFramePr>
              <a:graphicFrameLocks noChangeAspect="1"/>
            </wp:cNvGraphicFramePr>
            <a:graphic>
              <a:graphicData uri="http://schemas.openxmlformats.org/drawingml/2006/picture">
                <pic:pic>
                  <pic:nvPicPr>
                    <pic:cNvPr id="0" name="m7_8_lc_ops_3.png"/>
                    <pic:cNvPicPr/>
                  </pic:nvPicPr>
                  <pic:blipFill>
                    <a:blip r:embed="rId96"/>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86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7" name="Picture 87"/>
            <wp:cNvGraphicFramePr>
              <a:graphicFrameLocks noChangeAspect="1"/>
            </wp:cNvGraphicFramePr>
            <a:graphic>
              <a:graphicData uri="http://schemas.openxmlformats.org/drawingml/2006/picture">
                <pic:pic>
                  <pic:nvPicPr>
                    <pic:cNvPr id="0" name="m7_8_lc_ops_4.png"/>
                    <pic:cNvPicPr/>
                  </pic:nvPicPr>
                  <pic:blipFill>
                    <a:blip r:embed="rId97"/>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87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8" name="Picture 88"/>
            <wp:cNvGraphicFramePr>
              <a:graphicFrameLocks noChangeAspect="1"/>
            </wp:cNvGraphicFramePr>
            <a:graphic>
              <a:graphicData uri="http://schemas.openxmlformats.org/drawingml/2006/picture">
                <pic:pic>
                  <pic:nvPicPr>
                    <pic:cNvPr id="0" name="m7_8_lc_ops_5.png"/>
                    <pic:cNvPicPr/>
                  </pic:nvPicPr>
                  <pic:blipFill>
                    <a:blip r:embed="rId98"/>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88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9" name="Picture 89"/>
            <wp:cNvGraphicFramePr>
              <a:graphicFrameLocks noChangeAspect="1"/>
            </wp:cNvGraphicFramePr>
            <a:graphic>
              <a:graphicData uri="http://schemas.openxmlformats.org/drawingml/2006/picture">
                <pic:pic>
                  <pic:nvPicPr>
                    <pic:cNvPr id="0" name="m7_8_lc_ops_6.png"/>
                    <pic:cNvPicPr/>
                  </pic:nvPicPr>
                  <pic:blipFill>
                    <a:blip r:embed="rId99"/>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89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0" name="Picture 90"/>
            <wp:cNvGraphicFramePr>
              <a:graphicFrameLocks noChangeAspect="1"/>
            </wp:cNvGraphicFramePr>
            <a:graphic>
              <a:graphicData uri="http://schemas.openxmlformats.org/drawingml/2006/picture">
                <pic:pic>
                  <pic:nvPicPr>
                    <pic:cNvPr id="0" name="m7_8_lc_ops_7.png"/>
                    <pic:cNvPicPr/>
                  </pic:nvPicPr>
                  <pic:blipFill>
                    <a:blip r:embed="rId100"/>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90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1" name="Picture 91"/>
            <wp:cNvGraphicFramePr>
              <a:graphicFrameLocks noChangeAspect="1"/>
            </wp:cNvGraphicFramePr>
            <a:graphic>
              <a:graphicData uri="http://schemas.openxmlformats.org/drawingml/2006/picture">
                <pic:pic>
                  <pic:nvPicPr>
                    <pic:cNvPr id="0" name="m7_8_lc_ops_8.png"/>
                    <pic:cNvPicPr/>
                  </pic:nvPicPr>
                  <pic:blipFill>
                    <a:blip r:embed="rId101"/>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91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2" name="Picture 92"/>
            <wp:cNvGraphicFramePr>
              <a:graphicFrameLocks noChangeAspect="1"/>
            </wp:cNvGraphicFramePr>
            <a:graphic>
              <a:graphicData uri="http://schemas.openxmlformats.org/drawingml/2006/picture">
                <pic:pic>
                  <pic:nvPicPr>
                    <pic:cNvPr id="0" name="m7_8_lc_ops_9.png"/>
                    <pic:cNvPicPr/>
                  </pic:nvPicPr>
                  <pic:blipFill>
                    <a:blip r:embed="rId102"/>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92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251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fin.AssessmentEvidencePack</w:t>
            </w:r>
          </w:p>
        </w:tc>
        <w:tc>
          <w:tcPr>
            <w:tcW w:type="dxa" w:w="10205"/>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fin.EarlyWarningAlert</w:t>
            </w:r>
          </w:p>
        </w:tc>
        <w:tc>
          <w:tcPr>
            <w:tcW w:type="dxa" w:w="10205"/>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fin.LenderRating</w:t>
            </w:r>
          </w:p>
        </w:tc>
        <w:tc>
          <w:tcPr>
            <w:tcW w:type="dxa" w:w="10205"/>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fin.PresentationVersion</w:t>
            </w:r>
          </w:p>
        </w:tc>
        <w:tc>
          <w:tcPr>
            <w:tcW w:type="dxa" w:w="10205"/>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fin.PresentationVersionStep</w:t>
            </w:r>
          </w:p>
        </w:tc>
        <w:tc>
          <w:tcPr>
            <w:tcW w:type="dxa" w:w="10205"/>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fin.ReceivableLossRate</w:t>
            </w:r>
          </w:p>
        </w:tc>
        <w:tc>
          <w:tcPr>
            <w:tcW w:type="dxa" w:w="10205"/>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251</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932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210</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722</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641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659</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799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92</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