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DOC-F02 — تدفقات البيانات الحساسة (DFD المستوى 1)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DOC-F02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 مع معماري قاعدة البيانات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FR-PLT-010، FR-PLT-011، FR-PLT-013، FR-PLT-014، FR-PLT-022، FR-PLT-023، FR-PLT-027، FR-PLT-030، FR-PLT-037، FR-PLT-039، FR-PLT-042، FR-PTY-006 إلى FR-PTY-009، FR-PTY-026، FR-PTY-027، FR-REQ-024، BR-PLT-004، BR-PLT-006، BR-PLT-009، BR-PLT-015، BR-PLT-016، BR-PTY-002، BR-PTY-008، BR-PTY-009، BR-REQ-003، O-24 (erd_open_items)، DR-08، DR-11، DR-13، DR-18، DR-25، DR-31، DR-46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(معرّفات TB والفاعلين والمخازن). يُستكمل بـDOC-S02 (المفاتيح) وDOC-S06 (التصنيف) وDOC-S07 (الخصوصية)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db/model/*.model، db/generated/tsql/006_sensitive_columns.sql، db/generated/tsql/005_delete_grants.sql، db/generated/tsql/007_table_grants.sql، db/static/010_rls.sql، db/static/020_roles_and_grants.sql، db/static/030_session_context.sql، tools/dbgen/dbgen.py، tools/dbgen/check_grants.py، docs/20-database-design.md، docs/10-detailed-analysis/10-m0-m1-platform-organization.md، docs/10-detailed-analysis/13-m6-workflow-engine-notifications.md، docs/review/design-review-2026-10-11.json، tools/dbgen/erd_open_items.py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جرد القيم الحساسة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وسوم الحساسية في النموذج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DFD-1: بيانات الدخول (V-01 إلى V-06)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DFD-2: أرقام الهويات وصورها (V-08، V-09)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DFD-3: أرقام الحسابات وIBAN ونسخها (V-10، V-13)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DFD-4: المفاتيح والنسخ الاحتياطية (V-07)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النسخ الجانبية: الإثبات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الحذف والاحتفاظ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قواعد ملزمة للتنفيذ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القرارات المطلوبة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يتتبع هذا المستند كل قيمة سرّية أو مقيّدة: أين تُنشأ، وأين تُنسخ وتُخزَّن وتُصدَّر وتُسجَّل وتُحذف.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الهدف إثبات أن كل نسخة من قيمة مقيّدة مشفّرة أو مقنَّعة أو مجزّأة، أو تسمية النسخة التي لا تحقق ذلك ومعالجتها.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معرّفات الحدود (TB) والفاعلين (A) والمخازن (D) من DOC-F01. معرّفات التدفقات هنا SD-nn.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مستويات التصنيف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(docs/10-detailed-analysis/10-m0-m1-platform-organization.md:581): عامة، داخلية،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سرّية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‎sens=confidential‎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مقيّدة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‎sens=restricted‎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قيم التصنيف التفصيلية (DOC-S06)، سلسلة المفاتيح وتدويرها (DOC-S02)، مدد الاحتفاظ القانونية (DOC-S07)، تسلسل الدخول (DOC-F03).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جرد القيم الحساسة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"/>
        <w:gridCol w:w="1862"/>
        <w:gridCol w:w="2072"/>
        <w:gridCol w:w="1335"/>
        <w:gridCol w:w="2110"/>
        <w:gridCol w:w="1545"/>
      </w:tblGrid>
      <w:tr>
        <w:trPr>
          <w:cantSplit/>
          <w:tblHeader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الإنشاء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التخزين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النسخ والتصدير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السجلات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الحذف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V-01 كلمة المرور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يكتبها المستخدم (SD-01)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تُخزَّن؛ تبقى في ذاكرة التطبيق لحساب Argon2id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ممنوعة في سجلات التطبيق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(docs/10-detailed-analysis/10-m0-m1-platform-organization.md:586)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تُمحى من الذاكرة بعد الحساب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V-02 تجزئة كلمة المرور (PHC)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(docs/adr/0002-login-and-session-bound-context.md:19)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‎sec.UserPasswordHistory.PasswordHash‎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(db/model/10-platform.model:124، :262، :69)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الملح والمعاملات تعود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‎usp_GetPasswordParams‎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التجزئة (db/static/030_session_context.sql:34)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تُسجَّل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آخر 5 في السجل (BR-PLT-004)؛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من السجل (db/generated/tsql/005_delete_grants.sql:15)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V-03 رمز الجلسة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التطبيق، 32 بايت على الأقل (db/static/030_session_context.sql:53)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SHA-256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‎sec.UserSession.TokenHash‎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(db/static/030_session_context.sql:116-118)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الأصل في ملف تعريف الارتباط (DOC-S03)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يُسجَّل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الإنهاء يحذف الربط (db/static/030_session_context.sql:269-283)؛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الصف (db/generated/tsql/005_delete_grants.sql:12)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V-04 سر TOTP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عند التسجيل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‎sec.AppUser.MfaSecretEnc‎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بمفتاح DATA للمشترك (db/model/10-platform.model:127-129)؛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‎plat.PlatformOperator.MfaSecretEnc‎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بمفتاح المنصة (:72-73)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يُعرض مرة للمستخدم (DF-04)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يُسجَّل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تعيين MFA تصفّره (BR-PLT-006)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V-05 رموز الاسترداد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التطبيق، 10 رموز (FR-PLT-011)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‎sec.MfaRecoveryCode.CodeHash‎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(db/model/10-platform.model:238)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تُعرض مرة للمستخدم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الاستهلاك يُسجَّل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‎UsedIp‎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(db/generated/tsql/005_delete_grants.sql:13)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V-06 رمز الدعوة أو إعادة التعيين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‎sec.UserToken.TokenHash‎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(db/model/10-platform.model:247)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الأصل في رابط البريد (SD-09، TB-10)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‎SentTo‎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‎RequestIp‎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‎SendError‎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(:251-255)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48 ساعة أو 30 دقيقة (FR-PLT-013)؛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(db/generated/tsql/005_delete_grants.sql:14)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V-07 مفاتيح المشترك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المفاتيح (FR-PLT-037)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‎sec.TenantKey.WrappedKey‎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ملفوف بمفتاح رئيسي خارجي (db/model/10-platform.model:276-289)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المفتاح المفكوك في ذاكرة التطبيق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‎sec.KeyEvent‎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(:291-301)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‎RETIRED‎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‎REVOKED‎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لا حذف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V-08 رقم الهوية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(SD-12)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‎pty.IdentityDocument‎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‎NumberMask‎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(db/model/11-organization-party.model:294-296)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الكشف (SD-16)، حزمة الكفيل، التصدير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 بالقناع فقط (FR-PLT-023)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حذف؛ إخفاء الهوية بعد الاحتفاظ (FR-PTY-029)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V-09 صور الهويات والمستندات المقيّدة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(SD-14)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الملفات مشفّرًا بمفتاح FILE؛ المرجع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‎doc.DocumentVersion‎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(db/model/10-platform.model:386-408) والدور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‎IMAGE_FRONT‎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وأمثاله (:414)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العرض والتنزيل (FR-PLT-030)، الحزمة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(:332-355)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منطقي؛ الإتلاف بالاحتفاظ (BR-PLT-011)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V-10 رقم الحساب وIBAN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‎acc.BankAccount‎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(db/model/12-institutions-accounts-catalogs.model:386-392)؛ IBAN المستفيد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(db/model/16-letters-of-credit.model:186-188)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 صريحة في المقارنة والنص الأصلي (§8)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القناع فقط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للحساب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V-11 بيانات الامتثال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‎pty.PartyCompliance‎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(db/model/11-organization-party.model:465)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الحزمة والتصدير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حذف؛ سجل مؤرخ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V-12 الحقل المخصص المقيّد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‎pty.PartyCustomField.ValueEnc‎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‎ValueMask‎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(db/model/11-organization-party.model:397-400)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الكشف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‎CUSTOM_FIELD_REVEAL‎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الشخص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V-13 سمات الضمان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من الاتفاقية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‎col.Collateral.Attributes‎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JSON موسوم مقيّدًا وغير مشفّر (db/model/14-collateral-obligations-financials.model:32)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V-14 بيانات شخصية سرّية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 عمودًا موسومًا سرّيًا، مثل تاريخ الميلاد (db/model/11-organization-party.model:267-273) والرقم الضريبي (:470-471)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التصدير والحزمة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الاحتفاظ (FR-PLT-040)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V-15 أحداث التدقيق والوصول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(db/model/10-platform.model:304-330)،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(:332-355)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عارض التدقيق وتصديره (FR-PLT-024)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هي السجل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ولا تعديل (db/static/020_roles_and_grants.sql:65)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V-16 بيانات التتبع الشخصية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IP ووكيل المستخدم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‎sec.LoginAttempt‎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البريد المكتوب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‎LoginName‎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(db/model/10-platform.model:201-204، :226-227، :318-319)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هي السجل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(DQ-F02-6)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V-17 حزمة التصدير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 التصدير (FR-PLT-039)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‎cfg.DataExportJob‎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ومستند الحزمة (db/model/10-platform.model:502-521)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تنزيل المستخدم (DF-08)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‎DATA_EXPORT‎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7 أيام؛ حذف الملف غير محدد (DQ-F02-5)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وسوم الحساسية في النموذج</w:t>
      </w:r>
      <w:bookmarkEnd w:id="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المقيّد: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31 عمودًا (2026-10-18). لكل منها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‎DENY SELECT‎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‎tp_readonly‎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(db/generated/tsql/006_sensitive_columns.sql). الفحص R7 يطابق العددين (tools/dbgen/check_grants.py:92-96)، والاختبار T21 يثبت الرفض (db/tests/tenant_isolation_tests.sql:704-711).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السرّي: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42 عمودًا موسومًا في قاموس البيانات (2026-10-18، ومنها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‎OriginalText‎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لكل جدول بختم مصدر)،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بلا DENY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لأي دور.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‎tp_readonly‎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يقرؤها متى رأى الصف (DQ-F02-3).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التطبيق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يقرأ كل المقيّد في جداول المشترك عدا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‎sec.AppUser.PasswordHash‎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(db/static/030_session_context.sql:237؛ الاختبار T35)، ولا يصل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‎plat.PlatformOperator‎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لأنه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‎noapp‎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القيم المقيّدة في الأعمدة نص مشفّر أو تجزئة، فالقراءة وحدها لا تكشفها دون مفتاح البيانات.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استثناء خطر: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يقرأ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‎sec.UserPasswordHistory.PasswordHash‎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(db/generated/tsql/007_table_grants.sql:46) بلا DENY. إن كتب التطبيق التجزئة الحالية في السجل، أمكن اتصالًا مربوطًا قراءتها وتمريرها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‎usp_StartSession‎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فيسقط شرط «لا إعادة تشغيل للتجزئة» في docs/adr/0002-login-and-session-bound-context.md:24. المعالجة مع O-24 (erd_open_items) في DOC-S01.</w:t>
      </w:r>
    </w:p>
    <w:p>
      <w:pPr>
        <w:bidi/>
        <w:spacing w:after="6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37"/>
        <w:gridCol w:w="5232"/>
        <w:gridCol w:w="1195"/>
      </w:tblGrid>
      <w:tr>
        <w:trPr>
          <w:cantSplit/>
          <w:tblHeader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الجدول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الأعمدة المقيّدة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تجزئة؛ تشفير بمفتاح المنصة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تجزئة؛ تشفير بمفتاح DATA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‎sec.UserToken‎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‎sec.MfaRecoveryCode‎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‎TokenHash‎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‎TokenHash‎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‎CodeHash‎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‎sec.UserPasswordHistory‎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‎sec.TenantKey‎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‎WrappedKey‎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لف بمفتاح رئيسي خارجي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‎pty.IdentityDocument‎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‎NumberMask‎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وقناع وHMAC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‎pty.PartyCustomField‎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‎ValueEnc‎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‎pty.PartyCompliance‎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‎IsPep‎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‎IsRelatedToPep‎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‎IsSanctioned‎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‎IsUnderInvestigation‎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‎HasImmunity‎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‎Details‎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حجب عن التقارير فقط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‎acc.BankAccount‎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‎AccountNoEnc/Mask/Hash‎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‎IbanEnc/Mask/Hash‎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وقناع وHMAC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‎col.Collateral‎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‎Attributes‎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حجب عن التقارير فقط (DR-08)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‎lc.LcTerms‎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‎BeneficiaryAccountIbanEnc/Mask/Hash‎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وقناع وHMAC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شكل الغلاف المشفّر وAAD والتدوير في docs/20-database-design.md:188-209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ويملكه DOC-S02.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DFD-1: بيانات الدخول (V-01 إلى V-06)</w:t>
      </w:r>
      <w:bookmarkEnd w:id="4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3623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"/>
        <w:gridCol w:w="936"/>
        <w:gridCol w:w="3579"/>
        <w:gridCol w:w="4413"/>
      </w:tblGrid>
      <w:tr>
        <w:trPr>
          <w:cantSplit/>
          <w:tblHeader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التدفق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يعبر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الملاحظة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SD-01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المرور نصًا عبر TB-1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(DOC-S05)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تصل إلى القاعدة أبدًا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SD-02، SD-03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البريد، ثم سلسلة PHC ورمز الجلسة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تنفيذ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(db/static/030_session_context.sql:27، :48)؛ مقارنة ثنائية (:85-86)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غير الموجود يعيد NULL (:31-36)، والتطبيق يجيب كما للكلمة الخاطئة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(docs/adr/0002-login-and-session-bound-context.md:33)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SD-03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المحاولة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‎sec.LoginAttempt‎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البريد المكتوب لمجهول (db/static/030_session_context.sql:124-129)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يُخزَّن في المشترك الذي كُتب عنده، وقد يكون بريد مستخدم مشترك آخر (DQ-F02-6)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SD-04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الجلسة الأصلي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يُخزَّن إلا SHA-256 (db/static/030_session_context.sql:117)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شكل ملف تعريف الارتباط في DOC-S03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SD-05، SD-06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TOTP، ثم النتيجة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‎@Passed‎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تسجل النتيجة فقط (db/static/030_session_context.sql:159-162)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في التطبيق لأن السر مشفّر بمفاتيحه (:11-12). الاتصال غير مربوط قبل MFA (:198)، فلا يرى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‎sec.MfaRecoveryCode‎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تحت RLS (db/static/010_rls.sql:52-57). لا مسار قراءة اليوم (DQ-F02-4)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SD-07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الجلسة في كل ربط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يُجزَّأ ويُقارن (db/static/030_session_context.sql:195)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يُخزَّن الرمز في سياق الاتصال؛ يُخزَّن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‎BindingToken‎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عشوائي جديد (:177، :218)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SD-08، SD-09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الدعوة أو الإعادة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التجزئة في القاعدة والأصل في البريد فقط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الرابط لا يحمل بيانات مقيّدة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(FR-PLT-013)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SD-10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 كلمة جديدة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CHECK لصيغة Argon2id (db/model/10-platform.model:154، :264)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يكتب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مباشرة (db/generated/tsql/007_table_grants.sql:24) ويقرأ سجل التجزئات (:46)؛ الخطر في O-24 (erd_open_items) وDOC-S01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SD-11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 رموز الاسترداد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‎CodeHash‎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نوع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‎bin(32)‎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المصادر لا تحدد الخوارزمية ولا الملح (DQ-F02-7)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DFD-2: أرقام الهويات وصورها (V-08، V-09)</w:t>
      </w:r>
      <w:bookmarkEnd w:id="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862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5"/>
        <w:gridCol w:w="965"/>
        <w:gridCol w:w="4029"/>
        <w:gridCol w:w="3905"/>
      </w:tblGrid>
      <w:tr>
        <w:trPr>
          <w:cantSplit/>
          <w:tblHeader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التدفق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يعبر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نقطة التقنيع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SD-12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الرقم نصًا عبر TB-1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يُخزَّن صريحًا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(docs/20-database-design.md:186)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SD-13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مشفّر وقناع وبصمة HMAC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AES-256-GCM بمفتاح DATA؛ HMAC بمفتاح BLIND_INDEX مستقل (BR-PLT-015، BR-PTY-002)؛ أدنى طول للغلاف 29 بايت (docs/20-database-design.md:198)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القناع يُحسب عند الكتابة (BR-PTY-008)، فالعرض لا يفك التشفير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SD-14، SD-15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الصورة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بمفتاح FILE (db/model/10-platform.model:395)؛ بصمة الخادم (:393)؛ لا تنزيل قبل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‎CLEAN‎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(:396)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مصغّرات لغير المخوَّل (FR-PLT-030)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SD-16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الرقم المفكوك عبر TB-1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مقفلة على TM وFO (BR-PLT-019) ونطاق الشركة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يُخفى بعد 60 ثانية ولا يُخزَّن في المتصفح (BR-PTY-009)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SD-17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الكشف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‎IDENTITY_REVEAL‎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وصف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القيم في التدقيق مقنَّعة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(FR-PLT-023، db/model/10-platform.model:315)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SD-18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التصدير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مختومة بكلمة لا تُخزَّن (db/model/10-platform.model:514)؛ موافقة إلزامية للمقيّد (:519)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صلاحية الكشف: بلا أرقام كاملة ولا صور (BR-PLT-016)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ثغرات هذا المسار: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الموافِق على تصدير مقيّد قد يكون الطالب نفسه، ومستند الحزمة يأخذ الافتراضي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‎CONFIDENTIAL‎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‎RESTRICTED‎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(DR-13؛ db/model/10-platform.model:370).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‎StorageKey‎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فريد داخل المشترك فقط، ومحتوى الإصدار قابل للتعديل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(DR-11؛ db/generated/tsql/007_table_grants.sql:61).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حساسية المستند نسخة لا تُفرض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‎cat.DocumentType.IsSensitive‎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(DR-18).</w:t>
      </w:r>
    </w:p>
    <w:p>
      <w:pPr>
        <w:bidi/>
        <w:spacing w:after="6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DFD-3: أرقام الحسابات وIBAN ونسخها (V-10، V-13)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2562225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الإطار المتقطع يعني نسخة غير محمية اليوم.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1"/>
        <w:gridCol w:w="1544"/>
        <w:gridCol w:w="6398"/>
        <w:gridCol w:w="961"/>
      </w:tblGrid>
      <w:tr>
        <w:trPr>
          <w:cantSplit/>
          <w:tblHeader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التدفق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يعبر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 اليوم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SD-20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الحساب وIBAN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وقناع وHMAC (db/model/12-institutions-accounts-catalogs.model:386-392؛ db/model/16-letters-of-credit.model:186-188)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محمي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SD-21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‎BaselineValue‎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‎ReceivedValue‎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لكل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‎FieldKey‎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وسم ولا تشفير (db/model/16-letters-of-credit.model:691-692؛ db/generated/tsql/001_tables.sql:6359-6360)؛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يكتبها (db/generated/tsql/007_table_grants.sql:405)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فجوة DR-46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IBAN المستفيد قد يُنسخ نصًا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SD-22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الفروق بمفاتيح الحقول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وسم (db/model/16-letters-of-credit.model:493)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فجوة DR-46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SD-23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النموذج بمفاتيح الحقول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العمود سرّي (db/model/15-workflow-notifications.model:283)، والمقيّد مشفّر داخله بقاعدة تطبيق (BR-REQ-003)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محمي بقاعدة تطبيق فقط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SD-24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لقطات النموذج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‎SnapshotJson‎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‎AvailabilitySnapshotJson‎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سرّيان (db/model/15-workflow-notifications.model:469، :438)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يرث تشفير المقيّد إن نُسخ كما هو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SD-25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البند كما في الاتفاقية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وسم في 11 جدولًا يضيفها المولّد (tools/dbgen/dbgen.py:207-209؛ db/generated/tsql/001_tables.sql:3000، :3051، :3101)،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‎CandidateAOriginalText‎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‎CandidateBOriginalText‎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(db/model/13-facilities-pricing-terms.model:335، :341)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فجوة DR-31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SD-26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سمات الضمان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موسوم مقيّدًا ومحجوب عن التقارير (db/model/14-collateral-obligations-financials.model:32؛ db/generated/tsql/006_sensitive_columns.sql:32)، لكنه غير مشفّر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 (DR-08 مطبّق)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DFD-4: المفاتيح والنسخ الاحتياطية (V-07)</w:t>
      </w:r>
      <w:bookmarkEnd w:id="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6957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SD-31: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المفتاح الرئيسي لا يغادر مخزنه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التطبيق يرسل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‎WrappedKey‎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ويستلم المفتاح المفكوك. مكان المخزن ونوعه غير محسومين (docs/adr/0001-schema-work-on-linux.md:26؛ docs/20-database-design.md:183). يملكه DOC-S02.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SD-32: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إنشاء وتدوير وفشل فك يُسجَّل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‎sec.KeyEvent‎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وهو للإضافة فقط (db/model/10-platform.model:291-301؛ db/generated/tsql/005_delete_grants.sql:46).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SD-33: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النسخة الاحتياطية تحمل النص المشفّر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‎WrappedKey‎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معًا، ولا تحمل المفتاح الرئيسي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(BR-PLT-015). البيانات السرّية غير المقيّدة نص صريح في النسخة ما دام TDE غير منفّذ (لا كائن TDE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SD-34: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نسخة مختومة من المفتاح الرئيسي لدى مسؤولَين مستقلين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(docs/10-detailed-analysis/10-m0-m1-platform-organization.md:624). الإجراء نفسه غير مكتوب (DOC-S02).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يقرأ ويكتب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‎sec.TenantKey‎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(db/generated/tsql/007_table_grants.sql:50). تعديل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‎WrappedKey‎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يعطّل فك التشفير؛ يعالجه DOC-S01.</w:t>
      </w:r>
    </w:p>
    <w:p>
      <w:pPr>
        <w:bidi/>
        <w:spacing w:after="6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النسخ الجانبية: الإثبات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3"/>
        <w:gridCol w:w="2404"/>
        <w:gridCol w:w="853"/>
        <w:gridCol w:w="2775"/>
        <w:gridCol w:w="853"/>
        <w:gridCol w:w="2126"/>
      </w:tblGrid>
      <w:tr>
        <w:trPr>
          <w:cantSplit/>
          <w:tblHeader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النسخة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العمود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قد تحمله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 اليوم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المعالجة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مقارنة الشروط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‎lc.LcTermsComparisonLine.BaselineValue/ReceivedValue‎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IBAN المستفيد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DQ-F02-1 (DR-46)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فروق التعديل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‎lc.LcAmendment.ChangedFieldsJson‎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IBAN المستفيد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DQ-F02-1 (DR-46)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الاتفاقية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‎CandidateA/BOriginalText‎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وحقول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‎Notes‎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الحرة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 حسابات وIBAN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DQ-F02-2 (DR-31)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الرقم الضريبي للشركة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‎pty.TaxIdentity.TaxNumber‎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وVatNumber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‎org.v_CompanyTaxIdentity‎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ضريبي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سرّي؛ لا نسخة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(حُذفت)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مغلقة (ADR 0011)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DQ-F02-8 (DR-25)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الحقل المخصص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‎pty.PartyCustomField.ValueText‎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‎ValueMask‎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(db/model/11-organization-party.model:396، :400)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قيمة غير مقيّدة وقناع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القيد يمنع اجتماع النص والمشفّر (:403)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يختار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‎ValueEnc‎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للحقل المقيّد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النموذج ولقطاته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‎wfl.Request.FormDataJson‎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‎SnapshotJson‎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حقول مقيّدة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داخل JSON بقاعدة تطبيق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يمسح JSON بحثًا عن نمط IBAN ورقم هوية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البحث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‎wfl.Request.SearchText‎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(db/model/15-workflow-notifications.model:282)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مطبَّع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المقيّد لا يدخله (BR-REQ-003)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الاختبار نفسه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‎aud.AuditLog.BeforeJson/AfterJson‎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(db/model/10-platform.model:315-316)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 الكيان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التقنيع قاعدة تطبيق (FR-PLT-023)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DQ-F02-9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Outbox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‎cfg.OutboxEvent.PayloadJson‎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(db/model/10-platform.model:537)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معرّفات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تطبيق (FR-PLT-042)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حمولة بقائمة سماح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‎ntf.Notification.Body‎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‎PayloadJson‎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(db/model/15-workflow-notifications.model:609، :622)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الرسالة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مقيّد (FR-NTF-013؛ docs/10-detailed-analysis/13-m6-workflow-engine-notifications.md:690)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عناصر نائبة من قائمة بيضاء (db/model/15-workflow-notifications.model:571)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رسائل الأخطاء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‎cfg.OutboxEvent.LastError‎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‎cfg.JobRun.ErrorMessage‎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‎DetailJson‎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‎sec.UserToken.SendError‎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(db/model/10-platform.model:545، :564-565، :253)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استثناء قد يحوي قيمة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منقّح للرسائل قبل الكتابة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سجلات التطبيق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D-04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قيمة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«بلا أسرار» (docs/10-detailed-analysis/10-m0-m1-platform-organization.md:586)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المنقّح نفسه وفحص دوري (DOC-S12)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‎sec.LoginAttempt.LoginName‎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(db/model/10-platform.model:201)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بريد شخص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وسم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DQ-F02-6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الاحتياطية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D-05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ما سبق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المقيّد مشفّر؛ الباقي صريح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TDE ونسخ مشفّرة (DOC-S02، DOC-S09)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الحذف والاحتفاظ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7"/>
        <w:gridCol w:w="3903"/>
        <w:gridCol w:w="4984"/>
      </w:tblGrid>
      <w:tr>
        <w:trPr>
          <w:cantSplit/>
          <w:tblHeader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الفئة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الحذف اليوم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ولا تعديل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(db/static/020_roles_and_grants.sql:65؛ الاختبار T15)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الاحتفاظ المقترح 10 سنوات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(docs/10-detailed-analysis/10-m0-m1-platform-organization.md:616)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 الهويات وصورها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صلاحية حذف (الجدول ليس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‎deletable‎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إخفاء الهوية بعد الاحتفاظ بموافقة (FR-PTY-029)؛ 5 سنوات مقترحة (docs/10-detailed-analysis/10-m0-m1-platform-organization.md:616)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المستندات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منطقي بسبب وصلاحية (BR-PLT-011)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الإتلاف الفعلي بسير الاحتفاظ (FR-PLT-040)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الجلسات ومحاولات الدخول ورموز الاسترداد والدعوات وسجل كلمات المرور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الصف (db/generated/tsql/005_delete_grants.sql:11-15)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مدة محددة؛ الحذف يمحو دليل الدخول (DQ-F02-6؛ DOC-S01)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Outbox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(db/generated/tsql/005_delete_grants.sql:17)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الأحداث الميتة تُفقد (DR-14)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المغلق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تصدير 30 يومًا ثم قراءة فقط؛ لا إتلاف تلقائي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(BR-PLT-002)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الإتلاف بموافقة المشترك الخطية (FR-PLT-040)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المفاتيح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‎RETIRED‎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‎REVOKED‎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لا حذف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مفاتيح مشترك بعد الاحتفاظ يجعل بياناته المشفّرة غير مقروءة حتى في النسخ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(DOC-S02)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قواعد ملزمة للتنفيذ</w:t>
      </w:r>
      <w:bookmarkEnd w:id="10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قيمة مقيّدة تُكتب في عمود غير موسوم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‎sens=restricted‎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أي عمود ينسخ قيمة حقل يأخذ أعلى تصنيف بين الحقول التي قد يحملها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نقطة التقنيع واحدة: خدمة التشفير والتقنيع المشتركة (FR-PLT-037). التدقيق والإشعار والتصدير والسجلات تستدعيها ولا تبني القناع بنفسها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قيمة مقيّدة في حمولة Outbox أو الإشعار أو البريد أو رابط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(FR-PLT-042، FR-NTF-013، FR-PLT-013).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كشف أو عرض صورة أو تصدير مقيّد يكتب حدثين: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‎aud.AuditLog‎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‎aud.SensitiveAccessLog‎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(BR-PTY-009؛ db/model/10-platform.model:332).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رسالة الاستثناء تمر بمنقّح قبل أي عمود خطأ أو سجل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اختبار آلي في CI يقارن كل عمود نصي أو JSON في جداول تنسخ قيم حقول بقائمة الأعمدة الموسومة، ويفشل عند نسخة بلا وسم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(DOC-B01).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القرارات المطلوبة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6"/>
        <w:gridCol w:w="2932"/>
        <w:gridCol w:w="3334"/>
        <w:gridCol w:w="1066"/>
        <w:gridCol w:w="1466"/>
      </w:tblGrid>
      <w:tr>
        <w:trPr>
          <w:cantSplit/>
          <w:tblHeader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DQ-F02-1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تُعامل القيم المقيّدة في المقارنة وفروق التعديل؟ (DR-46)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2026-10-13) بصيغة DQ-F12-11: لا يُنسخ شيء، وقيد وقادح يمنعان قيمة الحقل المقيّد في سطور المقارنة وفروق التعديل (50058)، والأعمدة الثلاثة موسومة سرّية، والحكم من البصمة. المقترح الأصلي: لا تُنسخ القيمة: يُخزَّن القناع وHMAC للحقل المقيّد فقط؛ ويوسم العمودان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‎sens=confidential‎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الأقل. بديل في DOC-F12 §8.3 (DQ-F12-11): لا نسخ للقناع ولا للبصمة لأنهما مقيّدان، والحكم من بصمة المصدر؛ يُحسمان معًا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 مع مالك M7 وM8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FR-LCT-031 (S4)، DOC-S06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DQ-F02-2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يُحمى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والنص الحر في جداول المصدر؟ (DR-31)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0011): الوسم السرّي ومنع القراءة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النص الأصلي ونصي التعارض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‎ClauseText‎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والحجب عند الإدخال، وقيد يرفض IBAN أو رقم حساب غير مقنَّع (2026-10-13، DQ-S06-7). المقترح: وسم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‎sens=confidential‎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وDENY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حجب نمط IBAN ورقم الحساب عند الإدخال؛ الأصل يبقى في مخزن المستندات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 مع مالك M5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 (إدخال الاتفاقيات)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DQ-F02-3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يُحجب السرّي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كالمقيّد؟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للبيانات الشخصية السرّية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التقارير تقرأها عبر عروض مقنَّعة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 مع معماري البيانات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DOC-S06، DQ-F01-5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DQ-F02-4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يقرأ التطبيق سر TOTP ورموز الاسترداد قبل الربط؟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‎MfaLastUsedStep‎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لجلسة صالحة غير مكتملة MFA فقط، وإجراء يستهلك رمز استرداد بتجزئته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FR-PLT-011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DQ-F02-5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يحذف ملف حزمة التصدير بعد انتهائها؟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 يومية تتلف الملف عند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وتسجّل الحدث؛ الحزمة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‎RESTRICTED‎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إن شملت المقيّد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 مع مسؤول الأمن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 (S5)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DQ-F02-6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مدة الاحتفاظ ببيانات التتبع (IP، وكيل المستخدم، البريد المكتوب) وبمحاولات الدخول؟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90 يومًا لمحاولات الدخول والجلسات المنتهية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بحذف بمهمة لا بـ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الأثر الدائم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حماية البيانات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DOC-S07، DOC-S12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DQ-F02-7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خوارزمية تجزئة رموز الاسترداد؟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HMAC-SHA-256 بمفتاح منصة سري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أو Argon2id إن كان الرمز قصيرًا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DQ-F02-8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يبقى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‎org.Company.TaxNumber‎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 (DR-25)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2026-10-13): حُذف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‎org.Company.TaxNumber‎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ويُقرأ الرقمان من الهوية الضريبية الحالية للمرآة في دولة التأسيس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‎org.v_CompanyTaxIdentity‎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المقترح: يُحذف ويُقرأ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‎pty.TaxIdentity‎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عبر عرض؛ وإن بقي يوسم سرّيًا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DQ-F02-9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يُفرض تقنيع التدقيق في مكان واحد؟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مُسلسِل واحد للتدقيق يستبدل كل عمود موسوم مقيّدًا بقناعه، تولّد قائمته من النموذج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FR-PLT-023، DOC-B01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تعارضات وفجوات في المصادر</w:t>
      </w:r>
      <w:bookmarkEnd w:id="12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docs/20-database-design.md:166 يجعل السبب إلزاميًا لكل كشف وتصدير، وQ-PTY-05 (docs/10-detailed-analysis/10-m0-m1-platform-organization.md:639) لا يطلبه، والعمود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‎Reason‎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اختياري (db/model/10-platform.model:344). سجلته DR-12.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docs/20-database-design.md:218 يقول إن الأرقام الكاملة لمدير الخزينة و«موظف التسهيلات»، وBR-PLT-019 (docs/10-detailed-analysis/10-m0-m1-platform-organization.md:245) يقفلها على TM و«مسؤول التسهيلات (FO)».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مراجعة التصميم تشير إلى db/model/16 السطور 686-687 و490 (docs/review/design-review-2026-10-11.json، DR-46)؛ الأعمدة اليوم في db/model/16-letters-of-credit.model:691-692 و:493.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db/model/10-platform.model:199 يقول إن الأثر الدائم للدخول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‎aud.AuditLog‎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لكن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‎sec.usp_StartSession‎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يكتب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‎sec.LoginAttempt‎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 (db/static/030_session_context.sql:124-129)،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يحذف منه (db/generated/tsql/005_delete_grants.sql:11). سجّلته O-24 (tools/dbgen/erd_open_items.py:153).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docs/10-detailed-analysis/10-m0-m1-platform-organization.md:582 يذكر TDE للقاعدة، ولا كائن TDE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ليس تعارضًا في القرار، لكنه غير منفّذ قبل البيانات الحقيقية (docs/adr/0001-schema-work-on-linux.md:26).</w:t>
      </w:r>
    </w:p>
    <w:p>
      <w:pPr>
        <w:bidi/>
        <w:spacing w:after="6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التتبع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"/>
        <w:gridCol w:w="1856"/>
        <w:gridCol w:w="6964"/>
      </w:tblGrid>
      <w:tr>
        <w:trPr>
          <w:cantSplit/>
          <w:tblHeader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V-01 إلى V-03، SD-01 إلى SD-04، SD-07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FR-PLT-010، FR-PLT-014، ADR 0002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db/static/030_session_context.sql:23-227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V-04، V-05، SD-05، SD-06، DQ-F02-4، DQ-F02-7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FR-PLT-011، BR-PLT-006، O-24 (erd_open_items)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tools/dbgen/erd_open_items.py:151-156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V-06، SD-08، SD-09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db/model/10-platform.model:244-258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V-07، §7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FR-PLT-037، BR-PLT-015، Q-PLT-12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db/model/10-platform.model:276-301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V-08، V-09، §5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FR-PTY-006 إلى FR-PTY-009، BR-PTY-002، BR-PTY-008، BR-PTY-009، FR-PLT-030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db/model/11-organization-party.model:288-305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V-10، §6، DQ-F02-1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FR-REQ-024، FR-LCT-031، DR-46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db/model/16-letters-of-credit.model:186-188، :688-697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SD-25، DQ-F02-2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DR-31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tools/dbgen/dbgen.py:207-209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SD-26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DR-08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db/model/14-collateral-obligations-financials.model:32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R7، T21، T35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db/generated/tsql/006_sensitive_columns.sql:7-35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V-15، §8 التدقيق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FR-PLT-022، FR-PLT-023، BR-PLT-009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db/model/10-platform.model:304-355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V-17، DQ-F02-5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FR-PLT-039، BR-PLT-016، DR-13، DR-18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db/model/10-platform.model:502-521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 Outbox والإشعار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FR-PLT-042، FR-NTF-013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db/model/10-platform.model:532-552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FR-PLT-040، FR-PTY-029، BR-PLT-002، Q-PLT-04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docs/10-detailed-analysis/10-m0-m1-platform-organization.md:616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DQ-F02-8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DR-25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db/model/11-organization-party.model:26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DOC-F02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aacc15180b60545c1f08c38716e3d8c0225de17.png"/><Relationship Id="rId10" Type="http://schemas.openxmlformats.org/officeDocument/2006/relationships/image" Target="media/77781265c6f36d73134e8ddd5c553c5e6abbe968.png"/><Relationship Id="rId11" Type="http://schemas.openxmlformats.org/officeDocument/2006/relationships/image" Target="media/423d6859a0059665896a99b19d3c03b583d843e6.png"/><Relationship Id="rId12" Type="http://schemas.openxmlformats.org/officeDocument/2006/relationships/image" Target="media/4dd61323a7c790a6fbb6a5ee822072ac0d27f09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DOC-F02 — تدفقات البيانات الحساسة (DFD المستوى 1)</dc:title>
  <dc:creator>Claude</dc:creator>
  <dc:description>BankFas database design document</dc:description>
  <cp:lastModifiedBy>Un-named</cp:lastModifiedBy>
  <cp:revision>1</cp:revision>
  <dcterms:created xsi:type="dcterms:W3CDTF">2026-10-20T20:46:41.806Z</dcterms:created>
  <dcterms:modified xsi:type="dcterms:W3CDTF">2026-10-20T20:46:41.807Z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