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DOC-S06 — معيار تصنيف البيانات وحمايتها على مستوى الأعمدة والملفات</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DOC-S06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 مع مسؤول الأمن</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«تصنيف البيانات» في 10-m0-m1 §12، X-SEC-2، X-SEC-3، FR-PLT-023، FR-PLT-028، FR-PLT-030، FR-PLT-039، FR-PTY-006 إلى FR-PTY-009، FR-PTY-014، FR-REQ-024، BR-PLT-016، BR-PTY-008 إلى BR-PTY-010، DR-18 وDR-25 وDR-31 وDR-46، O-15 (20-database-design)</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(التشفير والمفاتيح)، DOC-F02 (تدفقات البيانات الحساسة)، DOC-S07 (الخصوصية والاحتفاظ)، DOC-S12 (السجلات)، DOC-B06 (بيانات الاختبار)</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docs/30-readiness-documents.md:250-256 · docs/10-detailed-analysis/10-m0-m1-platform-organization.md:294-347 و581 · db/model/*.model · db/generated/tsql/006_sensitive_columns.sql · db/static/020_roles_and_grants.sql · tools/dbgen/dbgen.py · tools/dbgen/README.md · docs/review/design-review-2026-10-11.json</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المستويات الأربعة</w:t>
        </w:r>
      </w:hyperlink>
    </w:p>
    <w:p>
      <w:pPr>
        <w:bidi/>
        <w:spacing w:after="50" w:before="0"/>
        <w:ind w:left="0"/>
      </w:pPr>
      <w:hyperlink w:history="1" w:anchor="_sec3">
        <w:r>
          <w:rPr>
            <w:rFonts w:ascii="Arial" w:cs="Arial" w:eastAsia="Arial" w:hAnsi="Arial"/>
            <w:b/>
            <w:bCs/>
            <w:color w:val="1F3A5F"/>
            <w:sz w:val="20"/>
            <w:szCs w:val="20"/>
            <w:rtl/>
          </w:rPr>
          <w:t xml:space="preserve">3. كيف يعمل الوسم اليوم</w:t>
        </w:r>
      </w:hyperlink>
    </w:p>
    <w:p>
      <w:pPr>
        <w:bidi/>
        <w:spacing w:after="50" w:before="0"/>
        <w:ind w:left="0"/>
      </w:pPr>
      <w:hyperlink w:history="1" w:anchor="_sec4">
        <w:r>
          <w:rPr>
            <w:rFonts w:ascii="Arial" w:cs="Arial" w:eastAsia="Arial" w:hAnsi="Arial"/>
            <w:b/>
            <w:bCs/>
            <w:color w:val="1F3A5F"/>
            <w:sz w:val="20"/>
            <w:szCs w:val="20"/>
            <w:rtl/>
          </w:rPr>
          <w:t xml:space="preserve">4. قواعد التعامل لكل مستوى</w:t>
        </w:r>
      </w:hyperlink>
    </w:p>
    <w:p>
      <w:pPr>
        <w:bidi/>
        <w:spacing w:after="50" w:before="0"/>
        <w:ind w:left="0"/>
      </w:pPr>
      <w:hyperlink w:history="1" w:anchor="_sec5">
        <w:r>
          <w:rPr>
            <w:rFonts w:ascii="Arial" w:cs="Arial" w:eastAsia="Arial" w:hAnsi="Arial"/>
            <w:b/>
            <w:bCs/>
            <w:color w:val="1F3A5F"/>
            <w:sz w:val="20"/>
            <w:szCs w:val="20"/>
            <w:rtl/>
          </w:rPr>
          <w:t xml:space="preserve">5. الأعمدة المقيّدة اليوم (29)</w:t>
        </w:r>
      </w:hyperlink>
    </w:p>
    <w:p>
      <w:pPr>
        <w:bidi/>
        <w:spacing w:after="50" w:before="0"/>
        <w:ind w:left="0"/>
      </w:pPr>
      <w:hyperlink w:history="1" w:anchor="_sec6">
        <w:r>
          <w:rPr>
            <w:rFonts w:ascii="Arial" w:cs="Arial" w:eastAsia="Arial" w:hAnsi="Arial"/>
            <w:b/>
            <w:bCs/>
            <w:color w:val="1F3A5F"/>
            <w:sz w:val="20"/>
            <w:szCs w:val="20"/>
            <w:rtl/>
          </w:rPr>
          <w:t xml:space="preserve">6. الأعمدة السرّية اليوم (23)</w:t>
        </w:r>
      </w:hyperlink>
    </w:p>
    <w:p>
      <w:pPr>
        <w:bidi/>
        <w:spacing w:after="50" w:before="0"/>
        <w:ind w:left="0"/>
      </w:pPr>
      <w:hyperlink w:history="1" w:anchor="_sec8">
        <w:r>
          <w:rPr>
            <w:rFonts w:ascii="Arial" w:cs="Arial" w:eastAsia="Arial" w:hAnsi="Arial"/>
            <w:b/>
            <w:bCs/>
            <w:color w:val="1F3A5F"/>
            <w:sz w:val="20"/>
            <w:szCs w:val="20"/>
            <w:rtl/>
          </w:rPr>
          <w:t xml:space="preserve">7. ما لم يُصنَّف بعد</w:t>
        </w:r>
      </w:hyperlink>
    </w:p>
    <w:p>
      <w:pPr>
        <w:bidi/>
        <w:spacing w:after="50" w:before="0"/>
        <w:ind w:left="0"/>
      </w:pPr>
      <w:hyperlink w:history="1" w:anchor="_sec11">
        <w:r>
          <w:rPr>
            <w:rFonts w:ascii="Arial" w:cs="Arial" w:eastAsia="Arial" w:hAnsi="Arial"/>
            <w:b/>
            <w:bCs/>
            <w:color w:val="1F3A5F"/>
            <w:sz w:val="20"/>
            <w:szCs w:val="20"/>
            <w:rtl/>
          </w:rPr>
          <w:t xml:space="preserve">8. تصنيف الملفات والصور</w:t>
        </w:r>
      </w:hyperlink>
    </w:p>
    <w:p>
      <w:pPr>
        <w:bidi/>
        <w:spacing w:after="50" w:before="0"/>
        <w:ind w:left="0"/>
      </w:pPr>
      <w:hyperlink w:history="1" w:anchor="_sec12">
        <w:r>
          <w:rPr>
            <w:rFonts w:ascii="Arial" w:cs="Arial" w:eastAsia="Arial" w:hAnsi="Arial"/>
            <w:b/>
            <w:bCs/>
            <w:color w:val="1F3A5F"/>
            <w:sz w:val="20"/>
            <w:szCs w:val="20"/>
            <w:rtl/>
          </w:rPr>
          <w:t xml:space="preserve">9. كيف يُصنَّف عمود جديد</w:t>
        </w:r>
      </w:hyperlink>
    </w:p>
    <w:p>
      <w:pPr>
        <w:bidi/>
        <w:spacing w:after="50" w:before="0"/>
        <w:ind w:left="0"/>
      </w:pPr>
      <w:hyperlink w:history="1" w:anchor="_sec13">
        <w:r>
          <w:rPr>
            <w:rFonts w:ascii="Arial" w:cs="Arial" w:eastAsia="Arial" w:hAnsi="Arial"/>
            <w:b/>
            <w:bCs/>
            <w:color w:val="1F3A5F"/>
            <w:sz w:val="20"/>
            <w:szCs w:val="20"/>
            <w:rtl/>
          </w:rPr>
          <w:t xml:space="preserve">10. منع الانحراف</w:t>
        </w:r>
      </w:hyperlink>
    </w:p>
    <w:p>
      <w:pPr>
        <w:bidi/>
        <w:spacing w:after="50" w:before="0"/>
        <w:ind w:left="0"/>
      </w:pPr>
      <w:hyperlink w:history="1" w:anchor="_sec14">
        <w:r>
          <w:rPr>
            <w:rFonts w:ascii="Arial" w:cs="Arial" w:eastAsia="Arial" w:hAnsi="Arial"/>
            <w:b/>
            <w:bCs/>
            <w:color w:val="1F3A5F"/>
            <w:sz w:val="20"/>
            <w:szCs w:val="20"/>
            <w:rtl/>
          </w:rPr>
          <w:t xml:space="preserve">11. القرارات المطلوبة</w:t>
        </w:r>
      </w:hyperlink>
    </w:p>
    <w:p>
      <w:pPr>
        <w:bidi/>
        <w:spacing w:after="50" w:before="0"/>
        <w:ind w:left="0"/>
      </w:pPr>
      <w:hyperlink w:history="1" w:anchor="_sec15">
        <w:r>
          <w:rPr>
            <w:rFonts w:ascii="Arial" w:cs="Arial" w:eastAsia="Arial" w:hAnsi="Arial"/>
            <w:b/>
            <w:bCs/>
            <w:color w:val="1F3A5F"/>
            <w:sz w:val="20"/>
            <w:szCs w:val="20"/>
            <w:rtl/>
          </w:rPr>
          <w:t xml:space="preserve">12. تعارضات وفجوات في المصادر</w:t>
        </w:r>
      </w:hyperlink>
    </w:p>
    <w:p>
      <w:pPr>
        <w:bidi/>
        <w:spacing w:after="50" w:before="0"/>
        <w:ind w:left="0"/>
      </w:pPr>
      <w:hyperlink w:history="1" w:anchor="_sec16">
        <w:r>
          <w:rPr>
            <w:rFonts w:ascii="Arial" w:cs="Arial" w:eastAsia="Arial" w:hAnsi="Arial"/>
            <w:b/>
            <w:bCs/>
            <w:color w:val="1F3A5F"/>
            <w:sz w:val="20"/>
            <w:szCs w:val="20"/>
            <w:rtl/>
          </w:rPr>
          <w:t xml:space="preserve">13. التتبع</w:t>
        </w:r>
      </w:hyperlink>
    </w:p>
    <w:p>
      <w:r>
        <w:br w:type="page"/>
      </w:r>
    </w:p>
    <w:p>
      <w:pPr>
        <w:bidi/>
        <w:spacing w:after="110" w:before="0" w:line="312"/>
      </w:pPr>
      <w:r>
        <w:rPr>
          <w:rFonts w:ascii="Arial" w:cs="Arial" w:eastAsia="Arial" w:hAnsi="Arial"/>
          <w:b/>
          <w:bCs/>
          <w:sz w:val="21"/>
          <w:szCs w:val="21"/>
          <w:rtl/>
        </w:rPr>
        <w:t xml:space="preserve">وسوم المصدر: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ذكره المستخدم أو ورد في الوثائق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له افتراضي ويُعدَّل.</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معيار واحد يربط كل عمود وكل ملف بمستوى حساسية، ويحدد ما يلزم كل مستوى من تشفير وتقنيع وحجب وتدقيق واحتفاظ، ويمنع الانحراف بين ما يحمله العمود فعلًا وما وُسم به في النموذج.</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أعمدة </w:t>
      </w:r>
      <w:r>
        <w:rPr>
          <w:rFonts w:ascii="Courier New" w:cs="Courier New" w:eastAsia="Courier New" w:hAnsi="Courier New"/>
          <w:b w:val="false"/>
          <w:bCs w:val="false"/>
          <w:color w:val="1F2937"/>
          <w:sz w:val="18"/>
          <w:szCs w:val="18"/>
          <w:shd w:fill="F1F3F5" w:color="auto" w:val="clear"/>
          <w:rtl/>
        </w:rPr>
        <w:t xml:space="preserve">‎db/model/*.model‎</w:t>
      </w:r>
      <w:r>
        <w:rPr>
          <w:rFonts w:ascii="Arial" w:cs="Arial" w:eastAsia="Arial" w:hAnsi="Arial"/>
          <w:b w:val="false"/>
          <w:bCs w:val="false"/>
          <w:sz w:val="21"/>
          <w:szCs w:val="21"/>
          <w:rtl/>
        </w:rPr>
        <w:t xml:space="preserve"> وما يولّده منها، ومستندات المخزن وصورها، ومخرجات التطبيق التي تنسخ القيم (السجلات، التدقيق، الإشعارات، Outbox، التصدير، المقارنات).</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آلية التشفير والمفاتيح (DOC-S02)، وأسس المعالجة والإقامة ومدد الاحتفاظ النظامية (DOC-S07)، ومسارات القيم بين المكوّنات (DOC-F02).</w:t>
      </w:r>
    </w:p>
    <w:p>
      <w:pPr>
        <w:pStyle w:val="Heading1"/>
        <w:bidi/>
      </w:pPr>
      <w:bookmarkStart w:name="_sec2" w:id="2"/>
      <w:r>
        <w:rPr>
          <w:rFonts w:ascii="Arial" w:cs="Arial" w:eastAsia="Arial" w:hAnsi="Arial"/>
          <w:b/>
          <w:bCs/>
          <w:color w:val="1F3A5F"/>
          <w:sz w:val="32"/>
          <w:szCs w:val="32"/>
          <w:rtl/>
        </w:rPr>
        <w:t xml:space="preserve">2. المستويات الأربعة</w:t>
      </w:r>
      <w:bookmarkEnd w:id="2"/>
    </w:p>
    <w:p>
      <w:pPr>
        <w:bidi/>
        <w:spacing w:after="110" w:before="0" w:line="312"/>
      </w:pPr>
      <w:r>
        <w:rPr>
          <w:rFonts w:ascii="Arial" w:cs="Arial" w:eastAsia="Arial" w:hAnsi="Arial"/>
          <w:b w:val="false"/>
          <w:bCs w:val="false"/>
          <w:sz w:val="21"/>
          <w:szCs w:val="21"/>
          <w:rtl/>
        </w:rPr>
        <w:t xml:space="preserve">المستويات معرّفة في التحليل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(docs/10-detailed-analysis/10-m0-m1-platform-organization.md:294 و581). هذا القسم يضيف ربطها بالنموذج.</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1120"/>
        <w:gridCol w:w="1833"/>
        <w:gridCol w:w="2588"/>
        <w:gridCol w:w="3346"/>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11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c>
          <w:tcPr>
            <w:tcW w:type="dxa" w:w="18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الوسم في النموذج</w:t>
            </w:r>
          </w:p>
        </w:tc>
        <w:tc>
          <w:tcPr>
            <w:tcW w:type="dxa" w:w="25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Courier New" w:cs="Courier New" w:eastAsia="Courier New" w:hAnsi="Courier New"/>
                <w:b/>
                <w:bCs/>
                <w:color w:val="FFFFFF"/>
                <w:sz w:val="16"/>
                <w:szCs w:val="16"/>
                <w:rtl/>
              </w:rPr>
              <w:t xml:space="preserve">‎doc.Document.Sensitivity‎</w:t>
            </w:r>
          </w:p>
        </w:tc>
        <w:tc>
          <w:tcPr>
            <w:tcW w:type="dxa" w:w="33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المنصة المشتركة بين كل المشتركين</w:t>
            </w:r>
          </w:p>
        </w:tc>
        <w:tc>
          <w:tcPr>
            <w:tcW w:type="dxa" w:w="18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وسم، في جدول </w:t>
            </w:r>
            <w:r>
              <w:rPr>
                <w:rFonts w:ascii="Courier New" w:cs="Courier New" w:eastAsia="Courier New" w:hAnsi="Courier New"/>
                <w:b w:val="false"/>
                <w:bCs w:val="false"/>
                <w:color w:val="1F2937"/>
                <w:sz w:val="16"/>
                <w:szCs w:val="16"/>
                <w:shd w:fill="F1F3F5" w:color="auto" w:val="clear"/>
                <w:rtl/>
              </w:rPr>
              <w:t xml:space="preserve">‎global‎</w:t>
            </w:r>
            <w:r>
              <w:rPr>
                <w:rFonts w:ascii="Arial" w:cs="Arial" w:eastAsia="Arial" w:hAnsi="Arial"/>
                <w:b w:val="false"/>
                <w:bCs w:val="false"/>
                <w:sz w:val="18"/>
                <w:szCs w:val="18"/>
                <w:rtl/>
              </w:rPr>
              <w:t xml:space="preserve"> أو صف عام في جدول </w:t>
            </w:r>
            <w:r>
              <w:rPr>
                <w:rFonts w:ascii="Courier New" w:cs="Courier New" w:eastAsia="Courier New" w:hAnsi="Courier New"/>
                <w:b w:val="false"/>
                <w:bCs w:val="false"/>
                <w:color w:val="1F2937"/>
                <w:sz w:val="16"/>
                <w:szCs w:val="16"/>
                <w:shd w:fill="F1F3F5" w:color="auto" w:val="clear"/>
                <w:rtl/>
              </w:rPr>
              <w:t xml:space="preserve">‎mixed‎</w:t>
            </w:r>
          </w:p>
        </w:tc>
        <w:tc>
          <w:tcPr>
            <w:tcW w:type="dxa" w:w="2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‎PUBLIC‎</w:t>
            </w:r>
            <w:r>
              <w:rPr>
                <w:rFonts w:ascii="Arial" w:cs="Arial" w:eastAsia="Arial" w:hAnsi="Arial"/>
                <w:b w:val="false"/>
                <w:bCs w:val="false"/>
                <w:sz w:val="18"/>
                <w:szCs w:val="18"/>
                <w:rtl/>
              </w:rPr>
              <w:t xml:space="preserve"> (لمستندات المنصة فقط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w:t>
            </w:r>
          </w:p>
        </w:tc>
        <w:tc>
          <w:tcPr>
            <w:tcW w:type="dxa" w:w="3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‎plat.Plan‎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‎sec.Permission‎</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المشترك العادية</w:t>
            </w:r>
          </w:p>
        </w:tc>
        <w:tc>
          <w:tcPr>
            <w:tcW w:type="dxa" w:w="18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وسم (الافتراضي في جدول مملوك للمشترك)</w:t>
            </w:r>
          </w:p>
        </w:tc>
        <w:tc>
          <w:tcPr>
            <w:tcW w:type="dxa" w:w="2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‎INTERNAL‎</w:t>
            </w:r>
          </w:p>
        </w:tc>
        <w:tc>
          <w:tcPr>
            <w:tcW w:type="dxa" w:w="33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‎cfg.NumberSequence‎</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شخصية وعناوين وملكية وصلاحيات وشروط تجارية</w:t>
            </w:r>
          </w:p>
        </w:tc>
        <w:tc>
          <w:tcPr>
            <w:tcW w:type="dxa" w:w="18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‎sens=confidential‎</w:t>
            </w:r>
          </w:p>
        </w:tc>
        <w:tc>
          <w:tcPr>
            <w:tcW w:type="dxa" w:w="2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‎CONFIDENTIAL‎</w:t>
            </w:r>
          </w:p>
        </w:tc>
        <w:tc>
          <w:tcPr>
            <w:tcW w:type="dxa" w:w="3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‎pty.Party.BirthDate‎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‎fin.StatementLine.EnteredAmount‎</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الهوية وصورها، أرقام الحسابات وIBAN، أسرار الدخول، المفاتيح، إقرارات الامتثال</w:t>
            </w:r>
          </w:p>
        </w:tc>
        <w:tc>
          <w:tcPr>
            <w:tcW w:type="dxa" w:w="18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‎sens=restricted‎</w:t>
            </w:r>
          </w:p>
        </w:tc>
        <w:tc>
          <w:tcPr>
            <w:tcW w:type="dxa" w:w="2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w:t>
            </w:r>
          </w:p>
        </w:tc>
        <w:tc>
          <w:tcPr>
            <w:tcW w:type="dxa" w:w="33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‎pty.IdentityDocument.NumberEnc‎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‎sec.AppUser.PasswordHash‎</w:t>
            </w:r>
          </w:p>
        </w:tc>
      </w:tr>
    </w:tbl>
    <w:p>
      <w:pPr>
        <w:bidi/>
        <w:spacing w:after="120" w:before="0"/>
      </w:pPr>
    </w:p>
    <w:p>
      <w:pPr>
        <w:bidi/>
        <w:spacing w:after="110" w:before="0" w:line="312"/>
      </w:pPr>
      <w:r>
        <w:rPr>
          <w:rFonts w:ascii="Arial" w:cs="Arial" w:eastAsia="Arial" w:hAnsi="Arial"/>
          <w:b/>
          <w:bCs/>
          <w:sz w:val="21"/>
          <w:szCs w:val="21"/>
          <w:rtl/>
        </w:rPr>
        <w:t xml:space="preserve">تنبيه تسمية.</w:t>
      </w:r>
      <w:r>
        <w:rPr>
          <w:rFonts w:ascii="Arial" w:cs="Arial" w:eastAsia="Arial" w:hAnsi="Arial"/>
          <w:b w:val="false"/>
          <w:bCs w:val="false"/>
          <w:sz w:val="21"/>
          <w:szCs w:val="21"/>
          <w:rtl/>
        </w:rPr>
        <w:t xml:space="preserve"> علامة الجدول </w:t>
      </w:r>
      <w:r>
        <w:rPr>
          <w:rFonts w:ascii="Courier New" w:cs="Courier New" w:eastAsia="Courier New" w:hAnsi="Courier New"/>
          <w:b w:val="false"/>
          <w:bCs w:val="false"/>
          <w:color w:val="1F2937"/>
          <w:sz w:val="18"/>
          <w:szCs w:val="18"/>
          <w:shd w:fill="F1F3F5" w:color="auto" w:val="clear"/>
          <w:rtl/>
        </w:rPr>
        <w:t xml:space="preserve">‎public‎</w:t>
      </w:r>
      <w:r>
        <w:rPr>
          <w:rFonts w:ascii="Arial" w:cs="Arial" w:eastAsia="Arial" w:hAnsi="Arial"/>
          <w:b w:val="false"/>
          <w:bCs w:val="false"/>
          <w:sz w:val="21"/>
          <w:szCs w:val="21"/>
          <w:rtl/>
        </w:rPr>
        <w:t xml:space="preserve"> في لغة النموذج تعني «يضيف </w:t>
      </w:r>
      <w:r>
        <w:rPr>
          <w:rFonts w:ascii="Courier New" w:cs="Courier New" w:eastAsia="Courier New" w:hAnsi="Courier New"/>
          <w:b w:val="false"/>
          <w:bCs w:val="false"/>
          <w:color w:val="1F2937"/>
          <w:sz w:val="18"/>
          <w:szCs w:val="18"/>
          <w:shd w:fill="F1F3F5" w:color="auto" w:val="clear"/>
          <w:rtl/>
        </w:rPr>
        <w:t xml:space="preserve">‎PublicId‎</w:t>
      </w:r>
      <w:r>
        <w:rPr>
          <w:rFonts w:ascii="Arial" w:cs="Arial" w:eastAsia="Arial" w:hAnsi="Arial"/>
          <w:b w:val="false"/>
          <w:bCs w:val="false"/>
          <w:sz w:val="21"/>
          <w:szCs w:val="21"/>
          <w:rtl/>
        </w:rPr>
        <w:t xml:space="preserve"> للتعريض عبر API» (tools/dbgen/README.md:39)، ولا علاقة لها بالمستوى «عامة». جدول </w:t>
      </w:r>
      <w:r>
        <w:rPr>
          <w:rFonts w:ascii="Courier New" w:cs="Courier New" w:eastAsia="Courier New" w:hAnsi="Courier New"/>
          <w:b w:val="false"/>
          <w:bCs w:val="false"/>
          <w:color w:val="1F2937"/>
          <w:sz w:val="18"/>
          <w:szCs w:val="18"/>
          <w:shd w:fill="F1F3F5" w:color="auto" w:val="clear"/>
          <w:rtl/>
        </w:rPr>
        <w:t xml:space="preserve">‎public‎</w:t>
      </w:r>
      <w:r>
        <w:rPr>
          <w:rFonts w:ascii="Arial" w:cs="Arial" w:eastAsia="Arial" w:hAnsi="Arial"/>
          <w:b w:val="false"/>
          <w:bCs w:val="false"/>
          <w:sz w:val="21"/>
          <w:szCs w:val="21"/>
          <w:rtl/>
        </w:rPr>
        <w:t xml:space="preserve"> مثل </w:t>
      </w:r>
      <w:r>
        <w:rPr>
          <w:rFonts w:ascii="Courier New" w:cs="Courier New" w:eastAsia="Courier New" w:hAnsi="Courier New"/>
          <w:b w:val="false"/>
          <w:bCs w:val="false"/>
          <w:color w:val="1F2937"/>
          <w:sz w:val="18"/>
          <w:szCs w:val="18"/>
          <w:shd w:fill="F1F3F5" w:color="auto" w:val="clear"/>
          <w:rtl/>
        </w:rPr>
        <w:t xml:space="preserve">‎pty.Party‎</w:t>
      </w:r>
      <w:r>
        <w:rPr>
          <w:rFonts w:ascii="Arial" w:cs="Arial" w:eastAsia="Arial" w:hAnsi="Arial"/>
          <w:b w:val="false"/>
          <w:bCs w:val="false"/>
          <w:sz w:val="21"/>
          <w:szCs w:val="21"/>
          <w:rtl/>
        </w:rPr>
        <w:t xml:space="preserve"> سرّي.</w:t>
      </w:r>
    </w:p>
    <w:p>
      <w:pPr>
        <w:bidi/>
        <w:spacing w:after="110" w:before="0" w:line="312"/>
      </w:pPr>
      <w:r>
        <w:rPr>
          <w:rFonts w:ascii="Arial" w:cs="Arial" w:eastAsia="Arial" w:hAnsi="Arial"/>
          <w:b/>
          <w:bCs/>
          <w:sz w:val="21"/>
          <w:szCs w:val="21"/>
          <w:rtl/>
        </w:rPr>
        <w:t xml:space="preserve">مقيّدة ≠ مشفّرة.</w:t>
      </w:r>
      <w:r>
        <w:rPr>
          <w:rFonts w:ascii="Arial" w:cs="Arial" w:eastAsia="Arial" w:hAnsi="Arial"/>
          <w:b w:val="false"/>
          <w:bCs w:val="false"/>
          <w:sz w:val="21"/>
          <w:szCs w:val="21"/>
          <w:rtl/>
        </w:rPr>
        <w:t xml:space="preserve"> التحليل يقول إن المقيّدة «تُشفَّر» (docs/10-detailed-analysis/10-m0-m1-platform-organization.md:581). في النموذج للمقيّد أربعة أشكال مقبولة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غلاف مشفّر (</w:t>
      </w:r>
      <w:r>
        <w:rPr>
          <w:rFonts w:ascii="Courier New" w:cs="Courier New" w:eastAsia="Courier New" w:hAnsi="Courier New"/>
          <w:b w:val="false"/>
          <w:bCs w:val="false"/>
          <w:color w:val="1F2937"/>
          <w:sz w:val="18"/>
          <w:szCs w:val="18"/>
          <w:shd w:fill="F1F3F5" w:color="auto" w:val="clear"/>
          <w:rtl/>
        </w:rPr>
        <w:t xml:space="preserve">‎...Enc‎</w:t>
      </w:r>
      <w:r>
        <w:rPr>
          <w:rFonts w:ascii="Arial" w:cs="Arial" w:eastAsia="Arial" w:hAnsi="Arial"/>
          <w:b w:val="false"/>
          <w:bCs w:val="false"/>
          <w:sz w:val="21"/>
          <w:szCs w:val="21"/>
          <w:rtl/>
        </w:rPr>
        <w:t xml:space="preserve">)، أو بصمة أحادية (</w:t>
      </w:r>
      <w:r>
        <w:rPr>
          <w:rFonts w:ascii="Courier New" w:cs="Courier New" w:eastAsia="Courier New" w:hAnsi="Courier New"/>
          <w:b w:val="false"/>
          <w:bCs w:val="false"/>
          <w:color w:val="1F2937"/>
          <w:sz w:val="18"/>
          <w:szCs w:val="18"/>
          <w:shd w:fill="F1F3F5" w:color="auto" w:val="clear"/>
          <w:rtl/>
        </w:rPr>
        <w:t xml:space="preserve">‎...Hash‎</w:t>
      </w:r>
      <w:r>
        <w:rPr>
          <w:rFonts w:ascii="Arial" w:cs="Arial" w:eastAsia="Arial" w:hAnsi="Arial"/>
          <w:b w:val="false"/>
          <w:bCs w:val="false"/>
          <w:sz w:val="21"/>
          <w:szCs w:val="21"/>
          <w:rtl/>
        </w:rPr>
        <w:t xml:space="preserve">)، أو قناع عرض (</w:t>
      </w:r>
      <w:r>
        <w:rPr>
          <w:rFonts w:ascii="Courier New" w:cs="Courier New" w:eastAsia="Courier New" w:hAnsi="Courier New"/>
          <w:b w:val="false"/>
          <w:bCs w:val="false"/>
          <w:color w:val="1F2937"/>
          <w:sz w:val="18"/>
          <w:szCs w:val="18"/>
          <w:shd w:fill="F1F3F5" w:color="auto" w:val="clear"/>
          <w:rtl/>
        </w:rPr>
        <w:t xml:space="preserve">‎...Mask‎</w:t>
      </w:r>
      <w:r>
        <w:rPr>
          <w:rFonts w:ascii="Arial" w:cs="Arial" w:eastAsia="Arial" w:hAnsi="Arial"/>
          <w:b w:val="false"/>
          <w:bCs w:val="false"/>
          <w:sz w:val="21"/>
          <w:szCs w:val="21"/>
          <w:rtl/>
        </w:rPr>
        <w:t xml:space="preserve">)، أو مفتاح ملفوف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أي عمود مقيّد بنص صريح خارج هذه الأشكال استثناء يُسجَّل في القسم 6.1.</w:t>
      </w:r>
    </w:p>
    <w:p>
      <w:pPr>
        <w:pStyle w:val="Heading1"/>
        <w:bidi/>
      </w:pPr>
      <w:bookmarkStart w:name="_sec3" w:id="3"/>
      <w:r>
        <w:rPr>
          <w:rFonts w:ascii="Arial" w:cs="Arial" w:eastAsia="Arial" w:hAnsi="Arial"/>
          <w:b/>
          <w:bCs/>
          <w:color w:val="1F3A5F"/>
          <w:sz w:val="32"/>
          <w:szCs w:val="32"/>
          <w:rtl/>
        </w:rPr>
        <w:t xml:space="preserve">3. كيف يعمل الوسم اليوم</w:t>
      </w:r>
      <w:bookmarkEnd w:id="3"/>
    </w:p>
    <w:p>
      <w:pPr>
        <w:pStyle w:val="ListParagraph"/>
        <w:numPr>
          <w:ilvl w:val="0"/>
          <w:numId w:val="2"/>
        </w:numPr>
        <w:bidi/>
        <w:spacing w:after="70" w:before="0" w:line="300"/>
      </w:pPr>
      <w:r>
        <w:rPr>
          <w:rFonts w:ascii="Arial" w:cs="Arial" w:eastAsia="Arial" w:hAnsi="Arial"/>
          <w:b w:val="false"/>
          <w:bCs w:val="false"/>
          <w:sz w:val="21"/>
          <w:szCs w:val="21"/>
          <w:rtl/>
        </w:rPr>
        <w:t xml:space="preserve">المولّد يقرأ </w:t>
      </w:r>
      <w:r>
        <w:rPr>
          <w:rFonts w:ascii="Courier New" w:cs="Courier New" w:eastAsia="Courier New" w:hAnsi="Courier New"/>
          <w:b w:val="false"/>
          <w:bCs w:val="false"/>
          <w:color w:val="1F2937"/>
          <w:sz w:val="18"/>
          <w:szCs w:val="18"/>
          <w:shd w:fill="F1F3F5" w:color="auto" w:val="clear"/>
          <w:rtl/>
        </w:rPr>
        <w:t xml:space="preserve">‎sens=restricted|confidential‎</w:t>
      </w:r>
      <w:r>
        <w:rPr>
          <w:rFonts w:ascii="Arial" w:cs="Arial" w:eastAsia="Arial" w:hAnsi="Arial"/>
          <w:b w:val="false"/>
          <w:bCs w:val="false"/>
          <w:sz w:val="21"/>
          <w:szCs w:val="21"/>
          <w:rtl/>
        </w:rPr>
        <w:t xml:space="preserve"> على العمود (tools/dbgen/dbgen.py:172، tools/dbgen/README.md:63)، أو سطر </w:t>
      </w:r>
      <w:r>
        <w:rPr>
          <w:rFonts w:ascii="Courier New" w:cs="Courier New" w:eastAsia="Courier New" w:hAnsi="Courier New"/>
          <w:b w:val="false"/>
          <w:bCs w:val="false"/>
          <w:color w:val="1F2937"/>
          <w:sz w:val="18"/>
          <w:szCs w:val="18"/>
          <w:shd w:fill="F1F3F5" w:color="auto" w:val="clear"/>
          <w:rtl/>
        </w:rPr>
        <w:t xml:space="preserve">‎sens col,col‎</w:t>
      </w:r>
      <w:r>
        <w:rPr>
          <w:rFonts w:ascii="Arial" w:cs="Arial" w:eastAsia="Arial" w:hAnsi="Arial"/>
          <w:b w:val="false"/>
          <w:bCs w:val="false"/>
          <w:sz w:val="21"/>
          <w:szCs w:val="21"/>
          <w:rtl/>
        </w:rPr>
        <w:t xml:space="preserve"> الذي يعني </w:t>
      </w:r>
      <w:r>
        <w:rPr>
          <w:rFonts w:ascii="Courier New" w:cs="Courier New" w:eastAsia="Courier New" w:hAnsi="Courier New"/>
          <w:b w:val="false"/>
          <w:bCs w:val="false"/>
          <w:color w:val="1F2937"/>
          <w:sz w:val="18"/>
          <w:szCs w:val="18"/>
          <w:shd w:fill="F1F3F5" w:color="auto" w:val="clear"/>
          <w:rtl/>
        </w:rPr>
        <w:t xml:space="preserve">‎restricted‎</w:t>
      </w:r>
      <w:r>
        <w:rPr>
          <w:rFonts w:ascii="Arial" w:cs="Arial" w:eastAsia="Arial" w:hAnsi="Arial"/>
          <w:b w:val="false"/>
          <w:bCs w:val="false"/>
          <w:sz w:val="21"/>
          <w:szCs w:val="21"/>
          <w:rtl/>
        </w:rPr>
        <w:t xml:space="preserve"> افتراضيًا (tools/dbgen/dbgen.py:142-145 و224-227).</w:t>
      </w:r>
    </w:p>
    <w:p>
      <w:pPr>
        <w:pStyle w:val="ListParagraph"/>
        <w:numPr>
          <w:ilvl w:val="0"/>
          <w:numId w:val="2"/>
        </w:numPr>
        <w:bidi/>
        <w:spacing w:after="70" w:before="0" w:line="300"/>
      </w:pPr>
      <w:r>
        <w:rPr>
          <w:rFonts w:ascii="Arial" w:cs="Arial" w:eastAsia="Arial" w:hAnsi="Arial"/>
          <w:b/>
          <w:bCs/>
          <w:sz w:val="21"/>
          <w:szCs w:val="21"/>
          <w:rtl/>
        </w:rPr>
        <w:t xml:space="preserve">المقيّد وحده</w:t>
      </w:r>
      <w:r>
        <w:rPr>
          <w:rFonts w:ascii="Arial" w:cs="Arial" w:eastAsia="Arial" w:hAnsi="Arial"/>
          <w:b w:val="false"/>
          <w:bCs w:val="false"/>
          <w:sz w:val="21"/>
          <w:szCs w:val="21"/>
          <w:rtl/>
        </w:rPr>
        <w:t xml:space="preserve"> يولّد </w:t>
      </w:r>
      <w:r>
        <w:rPr>
          <w:rFonts w:ascii="Courier New" w:cs="Courier New" w:eastAsia="Courier New" w:hAnsi="Courier New"/>
          <w:b w:val="false"/>
          <w:bCs w:val="false"/>
          <w:color w:val="1F2937"/>
          <w:sz w:val="18"/>
          <w:szCs w:val="18"/>
          <w:shd w:fill="F1F3F5" w:color="auto" w:val="clear"/>
          <w:rtl/>
        </w:rPr>
        <w:t xml:space="preserve">‎DENY SELECT‎</w:t>
      </w:r>
      <w:r>
        <w:rPr>
          <w:rFonts w:ascii="Arial" w:cs="Arial" w:eastAsia="Arial" w:hAnsi="Arial"/>
          <w:b w:val="false"/>
          <w:bCs w:val="false"/>
          <w:sz w:val="21"/>
          <w:szCs w:val="21"/>
          <w:rtl/>
        </w:rPr>
        <w:t xml:space="preserve"> لدور التقارير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(tools/dbgen/dbgen.py:723-724)، فيُنتج 29 سطرًا (db/generated/tsql/006_sensitive_columns.sql:7-35).</w:t>
      </w:r>
    </w:p>
    <w:p>
      <w:pPr>
        <w:pStyle w:val="ListParagraph"/>
        <w:numPr>
          <w:ilvl w:val="0"/>
          <w:numId w:val="2"/>
        </w:numPr>
        <w:bidi/>
        <w:spacing w:after="70" w:before="0" w:line="300"/>
      </w:pPr>
      <w:r>
        <w:rPr>
          <w:rFonts w:ascii="Arial" w:cs="Arial" w:eastAsia="Arial" w:hAnsi="Arial"/>
          <w:b w:val="false"/>
          <w:bCs w:val="false"/>
          <w:sz w:val="21"/>
          <w:szCs w:val="21"/>
          <w:rtl/>
        </w:rPr>
        <w:t xml:space="preserve">السرّي لا يولّد إلا علامة </w:t>
      </w:r>
      <w:r>
        <w:rPr>
          <w:rFonts w:ascii="Arial" w:cs="Arial" w:eastAsia="Arial" w:hAnsi="Arial"/>
          <w:color w:val="7A1F1F"/>
          <w:sz w:val="21"/>
          <w:szCs w:val="21"/>
          <w:rtl/>
        </w:rPr>
        <w:t xml:space="preserve">◆</w:t>
      </w:r>
      <w:r>
        <w:rPr>
          <w:rFonts w:ascii="Arial" w:cs="Arial" w:eastAsia="Arial" w:hAnsi="Arial"/>
          <w:b w:val="false"/>
          <w:bCs w:val="false"/>
          <w:sz w:val="21"/>
          <w:szCs w:val="21"/>
          <w:rtl/>
        </w:rPr>
        <w:t xml:space="preserve"> في القاموس (tools/dbgen/dbgen.py:608). و</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يملك </w:t>
      </w:r>
      <w:r>
        <w:rPr>
          <w:rFonts w:ascii="Courier New" w:cs="Courier New" w:eastAsia="Courier New" w:hAnsi="Courier New"/>
          <w:b w:val="false"/>
          <w:bCs w:val="false"/>
          <w:color w:val="1F2937"/>
          <w:sz w:val="18"/>
          <w:szCs w:val="18"/>
          <w:shd w:fill="F1F3F5" w:color="auto" w:val="clear"/>
          <w:rtl/>
        </w:rPr>
        <w:t xml:space="preserve">‎SELECT‎</w:t>
      </w:r>
      <w:r>
        <w:rPr>
          <w:rFonts w:ascii="Arial" w:cs="Arial" w:eastAsia="Arial" w:hAnsi="Arial"/>
          <w:b w:val="false"/>
          <w:bCs w:val="false"/>
          <w:sz w:val="21"/>
          <w:szCs w:val="21"/>
          <w:rtl/>
        </w:rPr>
        <w:t xml:space="preserve"> على كل المخططات (db/static/020_roles_and_grants.sql:41-53)، </w:t>
      </w:r>
      <w:r>
        <w:rPr>
          <w:rFonts w:ascii="Arial" w:cs="Arial" w:eastAsia="Arial" w:hAnsi="Arial"/>
          <w:b/>
          <w:bCs/>
          <w:sz w:val="21"/>
          <w:szCs w:val="21"/>
          <w:rtl/>
        </w:rPr>
        <w:t xml:space="preserve">فيقرأ دور التقارير كل الأعمدة السرّية</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الاختبار T21 يثبت رفض قراءة عمود مقيّد بالخطأ 230، وT23 يثبت قراءة عمود غير مقيّد (db/tests/tenant_isolation_tests.sql:704-731).</w:t>
      </w:r>
    </w:p>
    <w:p>
      <w:pPr>
        <w:pStyle w:val="ListParagraph"/>
        <w:numPr>
          <w:ilvl w:val="0"/>
          <w:numId w:val="2"/>
        </w:numPr>
        <w:bidi/>
        <w:spacing w:after="70" w:before="0" w:line="300"/>
      </w:pPr>
      <w:r>
        <w:rPr>
          <w:rFonts w:ascii="Arial" w:cs="Arial" w:eastAsia="Arial" w:hAnsi="Arial"/>
          <w:b/>
          <w:bCs/>
          <w:sz w:val="21"/>
          <w:szCs w:val="21"/>
          <w:rtl/>
        </w:rPr>
        <w:t xml:space="preserve">العدد اليوم:</w:t>
      </w:r>
      <w:r>
        <w:rPr>
          <w:rFonts w:ascii="Arial" w:cs="Arial" w:eastAsia="Arial" w:hAnsi="Arial"/>
          <w:b w:val="false"/>
          <w:bCs w:val="false"/>
          <w:sz w:val="21"/>
          <w:szCs w:val="21"/>
          <w:rtl/>
        </w:rPr>
        <w:t xml:space="preserve"> 46 وسمًا مباشرًا (23 مقيّدًا و23 سرّيًا) وسطر </w:t>
      </w:r>
      <w:r>
        <w:rPr>
          <w:rFonts w:ascii="Courier New" w:cs="Courier New" w:eastAsia="Courier New" w:hAnsi="Courier New"/>
          <w:b w:val="false"/>
          <w:bCs w:val="false"/>
          <w:color w:val="1F2937"/>
          <w:sz w:val="18"/>
          <w:szCs w:val="18"/>
          <w:shd w:fill="F1F3F5" w:color="auto" w:val="clear"/>
          <w:rtl/>
        </w:rPr>
        <w:t xml:space="preserve">‎sens‎</w:t>
      </w:r>
      <w:r>
        <w:rPr>
          <w:rFonts w:ascii="Arial" w:cs="Arial" w:eastAsia="Arial" w:hAnsi="Arial"/>
          <w:b w:val="false"/>
          <w:bCs w:val="false"/>
          <w:sz w:val="21"/>
          <w:szCs w:val="21"/>
          <w:rtl/>
        </w:rPr>
        <w:t xml:space="preserve"> واحد بستة أعمدة، فالمجموع 29 مقيّدًا و23 سرّيًا. القاموس يطابقه (29 علامة </w:t>
      </w:r>
      <w:r>
        <w:rPr>
          <w:rFonts w:ascii="Courier New" w:cs="Courier New" w:eastAsia="Courier New" w:hAnsi="Courier New"/>
          <w:b w:val="false"/>
          <w:bCs w:val="false"/>
          <w:color w:val="1F2937"/>
          <w:sz w:val="18"/>
          <w:szCs w:val="18"/>
          <w:shd w:fill="F1F3F5" w:color="auto" w:val="clear"/>
          <w:rtl/>
        </w:rPr>
        <w:t xml:space="preserve">‎🔒 restricted‎</w:t>
      </w:r>
      <w:r>
        <w:rPr>
          <w:rFonts w:ascii="Arial" w:cs="Arial" w:eastAsia="Arial" w:hAnsi="Arial"/>
          <w:b w:val="false"/>
          <w:bCs w:val="false"/>
          <w:sz w:val="21"/>
          <w:szCs w:val="21"/>
          <w:rtl/>
        </w:rPr>
        <w:t xml:space="preserve"> و23 </w:t>
      </w:r>
      <w:r>
        <w:rPr>
          <w:rFonts w:ascii="Courier New" w:cs="Courier New" w:eastAsia="Courier New" w:hAnsi="Courier New"/>
          <w:b w:val="false"/>
          <w:bCs w:val="false"/>
          <w:color w:val="1F2937"/>
          <w:sz w:val="18"/>
          <w:szCs w:val="18"/>
          <w:shd w:fill="F1F3F5" w:color="auto" w:val="clear"/>
          <w:rtl/>
        </w:rPr>
        <w:t xml:space="preserve">‎🔒 confidential‎</w:t>
      </w:r>
      <w:r>
        <w:rPr>
          <w:rFonts w:ascii="Arial" w:cs="Arial" w:eastAsia="Arial" w:hAnsi="Arial"/>
          <w:b w:val="false"/>
          <w:bCs w:val="false"/>
          <w:sz w:val="21"/>
          <w:szCs w:val="21"/>
          <w:rtl/>
        </w:rPr>
        <w:t xml:space="preserve"> في docs/21-data-dictionary.md)، وdocs/20-database-design.md:216 يذكر 29.</w:t>
      </w:r>
    </w:p>
    <w:p>
      <w:pPr>
        <w:bidi/>
        <w:spacing w:after="60" w:before="0"/>
      </w:pPr>
    </w:p>
    <w:p>
      <w:pPr>
        <w:pStyle w:val="Heading1"/>
        <w:bidi/>
      </w:pPr>
      <w:bookmarkStart w:name="_sec4" w:id="4"/>
      <w:r>
        <w:rPr>
          <w:rFonts w:ascii="Arial" w:cs="Arial" w:eastAsia="Arial" w:hAnsi="Arial"/>
          <w:b/>
          <w:bCs/>
          <w:color w:val="1F3A5F"/>
          <w:sz w:val="32"/>
          <w:szCs w:val="32"/>
          <w:rtl/>
        </w:rPr>
        <w:t xml:space="preserve">4. قواعد التعامل لكل مستوى</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46"/>
        <w:gridCol w:w="983"/>
        <w:gridCol w:w="1141"/>
        <w:gridCol w:w="983"/>
        <w:gridCol w:w="5711"/>
      </w:tblGrid>
      <w:tr>
        <w:trPr>
          <w:cantSplit/>
          <w:tblHeader/>
        </w:trPr>
        <w:tc>
          <w:tcPr>
            <w:tcW w:type="dxa" w:w="1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c>
          <w:tcPr>
            <w:tcW w:type="dxa" w:w="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عامة</w:t>
            </w:r>
          </w:p>
        </w:tc>
        <w:tc>
          <w:tcPr>
            <w:tcW w:type="dxa" w:w="11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داخلية</w:t>
            </w:r>
          </w:p>
        </w:tc>
        <w:tc>
          <w:tcPr>
            <w:tcW w:type="dxa" w:w="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سرّية</w:t>
            </w:r>
          </w:p>
        </w:tc>
        <w:tc>
          <w:tcPr>
            <w:tcW w:type="dxa" w:w="57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مقيّدة</w:t>
            </w:r>
          </w:p>
        </w:tc>
      </w:tr>
      <w:tr>
        <w:trPr>
          <w:cantSplit/>
        </w:trPr>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(DOC-S02)</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 أحد الأشكال الأربعة (القسم 2)</w:t>
            </w:r>
          </w:p>
        </w:tc>
      </w:tr>
      <w:tr>
        <w:trPr>
          <w:cantSplit/>
        </w:trPr>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العرض</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مستخدم</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 ونطاق الشركة (FR-PLT-020)</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 ونطاق الشركة</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مقنَّع (آخر 4) افتراضيًا؛ الكشف بصلاحية مقفلة وزر لكل قيمة ويُخفى بعد 60 ثانية (BR-PTY-008، BR-PTY-009)</w:t>
            </w:r>
          </w:p>
        </w:tc>
      </w:tr>
      <w:tr>
        <w:trPr>
          <w:cantSplit/>
        </w:trPr>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 ويُدقَّق</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يُستثنى ما لم يملك الطالب صلاحية الكشف، مع إعادة مصادقة وحزمة مختومة (BR-PLT-016، FR-PTY-027)</w:t>
            </w:r>
          </w:p>
        </w:tc>
      </w:tr>
      <w:tr>
        <w:trPr>
          <w:cantSplit/>
        </w:trPr>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لا قيم، المعرّفات فقط</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القناع فقط، ولا قيمة كاملة أبدًا (docs/10-detailed-analysis/10-m0-m1-platform-organization.md:586)</w:t>
            </w:r>
          </w:p>
        </w:tc>
      </w:tr>
      <w:tr>
        <w:trPr>
          <w:cantSplit/>
        </w:trPr>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يلزم</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وبعد</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وبعد؛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«تغيّر» فقط لأعمدة الأشخاص (DQ-S07-6)</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«تغيّر» مع القناعين فقط (FR-PLT-023، BR-PLT-009)</w:t>
            </w:r>
          </w:p>
        </w:tc>
      </w:tr>
      <w:tr>
        <w:trPr>
          <w:cantSplit/>
        </w:trPr>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التقارير </w:t>
            </w:r>
            <w:r>
              <w:rPr>
                <w:rFonts w:ascii="Courier New" w:cs="Courier New" w:eastAsia="Courier New" w:hAnsi="Courier New"/>
                <w:b w:val="false"/>
                <w:bCs w:val="false"/>
                <w:color w:val="1F2937"/>
                <w:sz w:val="16"/>
                <w:szCs w:val="16"/>
                <w:shd w:fill="F1F3F5" w:color="auto" w:val="clear"/>
                <w:rtl/>
              </w:rPr>
              <w:t xml:space="preserve">‎tp_readonly‎</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 اليوم؛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يُحجب (DQ-S06-1)</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محجوب (</w:t>
            </w:r>
            <w:r>
              <w:rPr>
                <w:rFonts w:ascii="Courier New" w:cs="Courier New" w:eastAsia="Courier New" w:hAnsi="Courier New"/>
                <w:b w:val="false"/>
                <w:bCs w:val="false"/>
                <w:color w:val="1F2937"/>
                <w:sz w:val="16"/>
                <w:szCs w:val="16"/>
                <w:shd w:fill="F1F3F5" w:color="auto" w:val="clear"/>
                <w:rtl/>
              </w:rPr>
              <w:t xml:space="preserve">‎006‎</w:t>
            </w:r>
            <w:r>
              <w:rPr>
                <w:rFonts w:ascii="Arial" w:cs="Arial" w:eastAsia="Arial" w:hAnsi="Arial"/>
                <w:b w:val="false"/>
                <w:bCs w:val="false"/>
                <w:sz w:val="18"/>
                <w:szCs w:val="18"/>
                <w:rtl/>
              </w:rPr>
              <w:t xml:space="preserve">)</w:t>
            </w:r>
          </w:p>
        </w:tc>
      </w:tr>
      <w:tr>
        <w:trPr>
          <w:cantSplit/>
        </w:trPr>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الإشعارات والبريد وOutbox</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المعرّفات فقط</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ممنوع (FR-PLT-042، FR-NTF-013)</w:t>
            </w:r>
          </w:p>
        </w:tc>
      </w:tr>
      <w:tr>
        <w:trPr>
          <w:cantSplit/>
        </w:trPr>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الاختبار</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تُنسخ</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مجهّلة</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فقط، ولا تخرج قيمة حقيقية من الإنتاج (DOC-B06)</w:t>
            </w:r>
          </w:p>
        </w:tc>
      </w:tr>
      <w:tr>
        <w:trPr>
          <w:cantSplit/>
        </w:trPr>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دائم</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الكيان</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DOC-S07</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DOC-S07، والإتلاف بسير FR-PLT-040</w:t>
            </w:r>
          </w:p>
        </w:tc>
      </w:tr>
    </w:tbl>
    <w:p>
      <w:pPr>
        <w:bidi/>
        <w:spacing w:after="120" w:before="0"/>
      </w:pPr>
    </w:p>
    <w:p>
      <w:pPr>
        <w:pStyle w:val="Heading1"/>
        <w:bidi/>
      </w:pPr>
      <w:bookmarkStart w:name="_sec5" w:id="5"/>
      <w:r>
        <w:rPr>
          <w:rFonts w:ascii="Arial" w:cs="Arial" w:eastAsia="Arial" w:hAnsi="Arial"/>
          <w:b/>
          <w:bCs/>
          <w:color w:val="1F3A5F"/>
          <w:sz w:val="32"/>
          <w:szCs w:val="32"/>
          <w:rtl/>
        </w:rPr>
        <w:t xml:space="preserve">5. الأعمدة المقيّدة اليوم (29)</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956"/>
        <w:gridCol w:w="4892"/>
      </w:tblGrid>
      <w:tr>
        <w:trPr>
          <w:cantSplit/>
          <w:tblHeader/>
        </w:trPr>
        <w:tc>
          <w:tcPr>
            <w:tcW w:type="dxa" w:w="20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0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الأعمدة</w:t>
            </w:r>
          </w:p>
        </w:tc>
        <w:tc>
          <w:tcPr>
            <w:tcW w:type="dxa" w:w="9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الشكل</w:t>
            </w:r>
          </w:p>
        </w:tc>
        <w:tc>
          <w:tcPr>
            <w:tcW w:type="dxa" w:w="48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‎MfaSecretEnc‎</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غلاف بمفتاح المنصة</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db/model/10-platform.model:69 و72</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‎MfaSecretEnc‎</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غلاف</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db/model/10-platform.model:124 و127</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‎TokenHash‎</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db/model/10-platform.model:221</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‎sec.MfaRecoveryCode‎</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‎CodeHash‎</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db/model/10-platform.model:238</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‎sec.UserToken‎</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‎TokenHash‎</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db/model/10-platform.model:247</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‎sec.UserPasswordHistory‎</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‎PasswordHash‎</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db/model/10-platform.model:262</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‎WrappedKey‎</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ملفوف</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db/model/10-platform.model:281</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‎NumberEnc‎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‎NumberMask‎</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‎NumberHash‎</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غلاف، قناع، HMAC</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db/model/11-organization-party.model:294-296</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‎ValueEnc‎</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غلاف</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db/model/11-organization-party.model:397</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‎pty.PartyCompliance‎</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‎IsPep‎</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‎IsRelatedToPep‎</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‎IsSanctioned‎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‎IsUnderInvestigation‎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‎HasImmunity‎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‎Details‎</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نص صريح</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db/model/11-organization-party.model:455-465</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‎AccountNoEnc/Mask/Hash‎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‎IbanEnc/Mask/Hash‎</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غلاف، قناع، HMAC</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db/model/12-institutions-accounts-catalogs.model:386-392</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‎Attributes‎</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JSON صريح</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db/model/14-collateral-obligations-financials.model:32</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‎BeneficiaryAccountIban‎</w:t>
            </w:r>
            <w:r>
              <w:rPr>
                <w:rFonts w:ascii="Arial" w:cs="Arial" w:eastAsia="Arial" w:hAnsi="Arial"/>
                <w:b w:val="false"/>
                <w:bCs w:val="false"/>
                <w:sz w:val="18"/>
                <w:szCs w:val="18"/>
                <w:rtl/>
              </w:rPr>
              <w:t xml:space="preserve"> بـ Enc وMask وHash</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غلاف، قناع، HMAC</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db/model/16-letters-of-credit.model:186-188</w:t>
            </w:r>
          </w:p>
        </w:tc>
      </w:tr>
    </w:tbl>
    <w:p>
      <w:pPr>
        <w:bidi/>
        <w:spacing w:after="120" w:before="0"/>
      </w:pPr>
    </w:p>
    <w:p>
      <w:pPr>
        <w:bidi/>
        <w:spacing w:after="110" w:before="0" w:line="312"/>
      </w:pPr>
      <w:r>
        <w:rPr>
          <w:rFonts w:ascii="Arial" w:cs="Arial" w:eastAsia="Arial" w:hAnsi="Arial"/>
          <w:b w:val="false"/>
          <w:bCs w:val="false"/>
          <w:sz w:val="21"/>
          <w:szCs w:val="21"/>
          <w:rtl/>
        </w:rPr>
        <w:t xml:space="preserve">السطور المقابلة في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db/generated/tsql/006_sensitive_columns.sql:7-35.</w:t>
      </w:r>
    </w:p>
    <w:p>
      <w:pPr>
        <w:pStyle w:val="Heading1"/>
        <w:bidi/>
      </w:pPr>
      <w:bookmarkStart w:name="_sec6" w:id="6"/>
      <w:r>
        <w:rPr>
          <w:rFonts w:ascii="Arial" w:cs="Arial" w:eastAsia="Arial" w:hAnsi="Arial"/>
          <w:b/>
          <w:bCs/>
          <w:color w:val="1F3A5F"/>
          <w:sz w:val="32"/>
          <w:szCs w:val="32"/>
          <w:rtl/>
        </w:rPr>
        <w:t xml:space="preserve">6. الأعمدة السرّية اليوم (23)</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66"/>
        <w:gridCol w:w="2254"/>
        <w:gridCol w:w="5544"/>
      </w:tblGrid>
      <w:tr>
        <w:trPr>
          <w:cantSplit/>
          <w:tblHeader/>
        </w:trPr>
        <w:tc>
          <w:tcPr>
            <w:tcW w:type="dxa" w:w="2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الأعمدة</w:t>
            </w:r>
          </w:p>
        </w:tc>
        <w:tc>
          <w:tcPr>
            <w:tcW w:type="dxa" w:w="55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‎BirthDate‎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‎BirthDateHijriText‎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‎BirthPlace‎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‎MaritalStatus‎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‎Gender‎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‎EducationLevelId‎</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db/model/11-organization-party.model:267-273</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‎TaxNumber‎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‎VatNumber‎</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db/model/11-organization-party.model:470-471</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‎cat.BaseRateValue‎</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‎ValuePct‎</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db/model/12-institutions-accounts-catalogs.model:236</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‎AccountNoLast4‎</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db/model/12-institutions-accounts-catalogs.model:389</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‎CashWithdrawalLimit‎</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db/model/12-institutions-accounts-catalogs.model:443</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‎MaxPerTransaction‎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‎DailyLimit‎</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db/model/12-institutions-accounts-catalogs.model:466-467</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‎fin.StatementLine‎</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‎EnteredAmount‎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‎ComputedAmount‎</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db/model/14-collateral-obligations-financials.model:441-442</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‎FormDataJson‎</w:t>
            </w:r>
            <w:r>
              <w:rPr>
                <w:rFonts w:ascii="Arial" w:cs="Arial" w:eastAsia="Arial" w:hAnsi="Arial"/>
                <w:b w:val="false"/>
                <w:bCs w:val="false"/>
                <w:sz w:val="18"/>
                <w:szCs w:val="18"/>
                <w:rtl/>
              </w:rPr>
              <w:t xml:space="preserve"> (والحقول المقيّدة داخله مشفّرة)</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db/model/15-workflow-notifications.model:283</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‎wfl.RequestApproval‎</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‎AckWarningsJson‎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‎AvailabilitySnapshotJson‎</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db/model/15-workflow-notifications.model:437-438</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‎wfl.RequestAction‎</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‎SnapshotJson‎</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db/model/15-workflow-notifications.model:469</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‎Phone‎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‎Fax‎</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‎Email‎</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db/model/16-letters-of-credit.model:106-108</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‎CustomerSnapshotJson‎</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db/model/16-letters-of-credit.model:622</w:t>
            </w:r>
          </w:p>
        </w:tc>
      </w:tr>
    </w:tbl>
    <w:p>
      <w:pPr>
        <w:bidi/>
        <w:spacing w:after="120" w:before="0"/>
      </w:pPr>
    </w:p>
    <w:p>
      <w:pPr>
        <w:pStyle w:val="Heading2"/>
        <w:bidi/>
      </w:pPr>
      <w:bookmarkStart w:name="_sec7" w:id="7"/>
      <w:r>
        <w:rPr>
          <w:rFonts w:ascii="Arial" w:cs="Arial" w:eastAsia="Arial" w:hAnsi="Arial"/>
          <w:b/>
          <w:bCs/>
          <w:color w:val="2B5C8A"/>
          <w:sz w:val="26"/>
          <w:szCs w:val="26"/>
          <w:rtl/>
        </w:rPr>
        <w:t xml:space="preserve">6.1 استثناءات المقيّد بنص صريح </w:t>
      </w:r>
      <w:r>
        <w:rPr>
          <w:rFonts w:ascii="Arial" w:cs="Arial" w:eastAsia="Arial" w:hAnsi="Arial"/>
          <w:color w:val="E0A800"/>
          <w:sz w:val="26"/>
          <w:szCs w:val="26"/>
          <w:rtl/>
        </w:rPr>
        <w:t xml:space="preserve">●</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09"/>
        <w:gridCol w:w="6072"/>
        <w:gridCol w:w="1083"/>
      </w:tblGrid>
      <w:tr>
        <w:trPr>
          <w:cantSplit/>
          <w:tblHeader/>
        </w:trPr>
        <w:tc>
          <w:tcPr>
            <w:tcW w:type="dxa" w:w="27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الاستثناء</w:t>
            </w:r>
          </w:p>
        </w:tc>
        <w:tc>
          <w:tcPr>
            <w:tcW w:type="dxa" w:w="60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c>
          <w:tcPr>
            <w:tcW w:type="dxa" w:w="1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r>
      <w:tr>
        <w:trPr>
          <w:cantSplit/>
        </w:trPr>
        <w:tc>
          <w:tcPr>
            <w:tcW w:type="dxa" w:w="27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 أعلام </w:t>
            </w:r>
            <w:r>
              <w:rPr>
                <w:rFonts w:ascii="Courier New" w:cs="Courier New" w:eastAsia="Courier New" w:hAnsi="Courier New"/>
                <w:b w:val="false"/>
                <w:bCs w:val="false"/>
                <w:color w:val="1F2937"/>
                <w:sz w:val="16"/>
                <w:szCs w:val="16"/>
                <w:shd w:fill="F1F3F5" w:color="auto" w:val="clear"/>
                <w:rtl/>
              </w:rPr>
              <w:t xml:space="preserve">‎pty.PartyCompliance‎</w:t>
            </w:r>
            <w:r>
              <w:rPr>
                <w:rFonts w:ascii="Arial" w:cs="Arial" w:eastAsia="Arial" w:hAnsi="Arial"/>
                <w:b w:val="false"/>
                <w:bCs w:val="false"/>
                <w:sz w:val="18"/>
                <w:szCs w:val="18"/>
                <w:rtl/>
              </w:rPr>
              <w:t xml:space="preserve"> المنطقية</w:t>
            </w:r>
          </w:p>
        </w:tc>
        <w:tc>
          <w:tcPr>
            <w:tcW w:type="dxa" w:w="6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نعم/لا يحتاجها الفلترة والتقارير الداخلية</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لدور التقارير + TDE؛ و</w:t>
            </w:r>
            <w:r>
              <w:rPr>
                <w:rFonts w:ascii="Courier New" w:cs="Courier New" w:eastAsia="Courier New" w:hAnsi="Courier New"/>
                <w:b w:val="false"/>
                <w:bCs w:val="false"/>
                <w:color w:val="1F2937"/>
                <w:sz w:val="16"/>
                <w:szCs w:val="16"/>
                <w:shd w:fill="F1F3F5" w:color="auto" w:val="clear"/>
                <w:rtl/>
              </w:rPr>
              <w:t xml:space="preserve">‎Details‎</w:t>
            </w:r>
            <w:r>
              <w:rPr>
                <w:rFonts w:ascii="Arial" w:cs="Arial" w:eastAsia="Arial" w:hAnsi="Arial"/>
                <w:b w:val="false"/>
                <w:bCs w:val="false"/>
                <w:sz w:val="18"/>
                <w:szCs w:val="18"/>
                <w:rtl/>
              </w:rPr>
              <w:t xml:space="preserve"> نص حر يُقترح تشفيره بالغلاف (DQ-S06-3)</w:t>
            </w:r>
          </w:p>
        </w:tc>
      </w:tr>
      <w:tr>
        <w:trPr>
          <w:cantSplit/>
        </w:trPr>
        <w:tc>
          <w:tcPr>
            <w:tcW w:type="dxa" w:w="27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 </w:t>
            </w:r>
            <w:r>
              <w:rPr>
                <w:rFonts w:ascii="Courier New" w:cs="Courier New" w:eastAsia="Courier New" w:hAnsi="Courier New"/>
                <w:b w:val="false"/>
                <w:bCs w:val="false"/>
                <w:color w:val="1F2937"/>
                <w:sz w:val="16"/>
                <w:szCs w:val="16"/>
                <w:shd w:fill="F1F3F5" w:color="auto" w:val="clear"/>
                <w:rtl/>
              </w:rPr>
              <w:t xml:space="preserve">‎col.Collateral.Attributes‎</w:t>
            </w:r>
          </w:p>
        </w:tc>
        <w:tc>
          <w:tcPr>
            <w:tcW w:type="dxa" w:w="60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سمات قالب متغيرة؛ الحساب النقدي صار مرجعًا مُعرَّفًا (db/model/14-collateral-obligations-financials.model:33)</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معرّف هوية ولا رقم حساب داخل JSON؛ تتحقق خدمة الكتابة من ذلك (DR-08)</w:t>
            </w:r>
          </w:p>
        </w:tc>
      </w:tr>
    </w:tbl>
    <w:p>
      <w:pPr>
        <w:bidi/>
        <w:spacing w:after="120" w:before="0"/>
      </w:pPr>
    </w:p>
    <w:p>
      <w:pPr>
        <w:pStyle w:val="Heading1"/>
        <w:bidi/>
      </w:pPr>
      <w:bookmarkStart w:name="_sec8" w:id="8"/>
      <w:r>
        <w:rPr>
          <w:rFonts w:ascii="Arial" w:cs="Arial" w:eastAsia="Arial" w:hAnsi="Arial"/>
          <w:b/>
          <w:bCs/>
          <w:color w:val="1F3A5F"/>
          <w:sz w:val="32"/>
          <w:szCs w:val="32"/>
          <w:rtl/>
        </w:rPr>
        <w:t xml:space="preserve">7. ما لم يُصنَّف بعد</w:t>
      </w:r>
      <w:bookmarkEnd w:id="8"/>
    </w:p>
    <w:p>
      <w:pPr>
        <w:pStyle w:val="Heading2"/>
        <w:bidi/>
      </w:pPr>
      <w:bookmarkStart w:name="_sec9" w:id="9"/>
      <w:r>
        <w:rPr>
          <w:rFonts w:ascii="Arial" w:cs="Arial" w:eastAsia="Arial" w:hAnsi="Arial"/>
          <w:b/>
          <w:bCs/>
          <w:color w:val="2B5C8A"/>
          <w:sz w:val="26"/>
          <w:szCs w:val="26"/>
          <w:rtl/>
        </w:rPr>
        <w:t xml:space="preserve">7.1 نتائج مراجعة التصميم المفتوحة</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6"/>
        <w:gridCol w:w="2962"/>
        <w:gridCol w:w="956"/>
        <w:gridCol w:w="1403"/>
        <w:gridCol w:w="3587"/>
      </w:tblGrid>
      <w:tr>
        <w:trPr>
          <w:cantSplit/>
          <w:tblHeader/>
        </w:trPr>
        <w:tc>
          <w:tcPr>
            <w:tcW w:type="dxa" w:w="9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29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9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w:t>
            </w:r>
          </w:p>
        </w:tc>
        <w:tc>
          <w:tcPr>
            <w:tcW w:type="dxa" w:w="1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 </w:t>
            </w:r>
            <w:r>
              <w:rPr>
                <w:rFonts w:ascii="Arial" w:cs="Arial" w:eastAsia="Arial" w:hAnsi="Arial"/>
                <w:color w:val="E0A800"/>
                <w:sz w:val="18"/>
                <w:szCs w:val="18"/>
                <w:rtl/>
              </w:rPr>
              <w:t xml:space="preserve">●</w:t>
            </w:r>
          </w:p>
        </w:tc>
        <w:tc>
          <w:tcPr>
            <w:tcW w:type="dxa" w:w="35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w:t>
            </w:r>
          </w:p>
        </w:tc>
        <w:tc>
          <w:tcPr>
            <w:tcW w:type="dxa" w:w="2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‎lc.LcTermsComparisonLine.BaselineValue‎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‎ReceivedValue‎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‎lc.LcAmendment.ChangedFieldsJson‎</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المستفيد يُكتب صريحًا في المقارنة والفروق</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تُكتب قيم الحقول المقيّدة في المقارنة؛ يُكتب القناع وبصمة HMAC فقط، ويوسم العمود بأعلى حساسية يحملها</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db/model/16-letters-of-credit.model:691-692 و493؛ docs/review/design-review-2026-10-11.json:486</w:t>
            </w:r>
          </w:p>
        </w:tc>
      </w:tr>
      <w:tr>
        <w:trPr>
          <w:cantSplit/>
        </w:trPr>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w:t>
            </w:r>
          </w:p>
        </w:tc>
        <w:tc>
          <w:tcPr>
            <w:tcW w:type="dxa" w:w="2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‎OriginalText‎</w:t>
            </w:r>
            <w:r>
              <w:rPr>
                <w:rFonts w:ascii="Arial" w:cs="Arial" w:eastAsia="Arial" w:hAnsi="Arial"/>
                <w:b w:val="false"/>
                <w:bCs w:val="false"/>
                <w:sz w:val="18"/>
                <w:szCs w:val="18"/>
                <w:rtl/>
              </w:rPr>
              <w:t xml:space="preserve"> في 11 جدول </w:t>
            </w:r>
            <w:r>
              <w:rPr>
                <w:rFonts w:ascii="Courier New" w:cs="Courier New" w:eastAsia="Courier New" w:hAnsi="Courier New"/>
                <w:b w:val="false"/>
                <w:bCs w:val="false"/>
                <w:color w:val="1F2937"/>
                <w:sz w:val="16"/>
                <w:szCs w:val="16"/>
                <w:shd w:fill="F1F3F5" w:color="auto" w:val="clear"/>
                <w:rtl/>
              </w:rPr>
              <w:t xml:space="preserve">‎src‎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‎CandidateAOriginalText‎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‎CandidateBOriginalText‎</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البند الحرفي قد ينقل رقم حساب أو IBAN</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‎sens=confidential‎</w:t>
            </w:r>
            <w:r>
              <w:rPr>
                <w:rFonts w:ascii="Arial" w:cs="Arial" w:eastAsia="Arial" w:hAnsi="Arial"/>
                <w:b w:val="false"/>
                <w:bCs w:val="false"/>
                <w:sz w:val="18"/>
                <w:szCs w:val="18"/>
                <w:rtl/>
              </w:rPr>
              <w:t xml:space="preserve"> مع حجب عن التقارير، وتنقيح أنماط IBAN والحساب عند الإدخال، والأصل في المستند فقط</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tools/dbgen/dbgen.py:209؛ db/model/13-facilities-pricing-terms.model:335 و341؛ docs/review/design-review-2026-10-11.json:330</w:t>
            </w:r>
          </w:p>
        </w:tc>
      </w:tr>
      <w:tr>
        <w:trPr>
          <w:cantSplit/>
        </w:trPr>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DR-18</w:t>
            </w:r>
          </w:p>
        </w:tc>
        <w:tc>
          <w:tcPr>
            <w:tcW w:type="dxa" w:w="2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‎doc.Document.Sensitivity‎</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الافتراضي </w:t>
            </w:r>
            <w:r>
              <w:rPr>
                <w:rFonts w:ascii="Courier New" w:cs="Courier New" w:eastAsia="Courier New" w:hAnsi="Courier New"/>
                <w:b w:val="false"/>
                <w:bCs w:val="false"/>
                <w:color w:val="1F2937"/>
                <w:sz w:val="16"/>
                <w:szCs w:val="16"/>
                <w:shd w:fill="F1F3F5" w:color="auto" w:val="clear"/>
                <w:rtl/>
              </w:rPr>
              <w:t xml:space="preserve">‎CONFIDENTIAL‎</w:t>
            </w:r>
            <w:r>
              <w:rPr>
                <w:rFonts w:ascii="Arial" w:cs="Arial" w:eastAsia="Arial" w:hAnsi="Arial"/>
                <w:b w:val="false"/>
                <w:bCs w:val="false"/>
                <w:sz w:val="18"/>
                <w:szCs w:val="18"/>
                <w:rtl/>
              </w:rPr>
              <w:t xml:space="preserve"> ويقبل </w:t>
            </w:r>
            <w:r>
              <w:rPr>
                <w:rFonts w:ascii="Courier New" w:cs="Courier New" w:eastAsia="Courier New" w:hAnsi="Courier New"/>
                <w:b w:val="false"/>
                <w:bCs w:val="false"/>
                <w:color w:val="1F2937"/>
                <w:sz w:val="16"/>
                <w:szCs w:val="16"/>
                <w:shd w:fill="F1F3F5" w:color="auto" w:val="clear"/>
                <w:rtl/>
              </w:rPr>
              <w:t xml:space="preserve">‎PUBLIC‎</w:t>
            </w:r>
            <w:r>
              <w:rPr>
                <w:rFonts w:ascii="Arial" w:cs="Arial" w:eastAsia="Arial" w:hAnsi="Arial"/>
                <w:b w:val="false"/>
                <w:bCs w:val="false"/>
                <w:sz w:val="18"/>
                <w:szCs w:val="18"/>
                <w:rtl/>
              </w:rPr>
              <w:t xml:space="preserve"> لوثيقة هوية</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أدنى بمحفّز: </w:t>
            </w:r>
            <w:r>
              <w:rPr>
                <w:rFonts w:ascii="Courier New" w:cs="Courier New" w:eastAsia="Courier New" w:hAnsi="Courier New"/>
                <w:b w:val="false"/>
                <w:bCs w:val="false"/>
                <w:color w:val="1F2937"/>
                <w:sz w:val="16"/>
                <w:szCs w:val="16"/>
                <w:shd w:fill="F1F3F5" w:color="auto" w:val="clear"/>
                <w:rtl/>
              </w:rPr>
              <w:t xml:space="preserve">‎RESTRICTED‎</w:t>
            </w:r>
            <w:r>
              <w:rPr>
                <w:rFonts w:ascii="Arial" w:cs="Arial" w:eastAsia="Arial" w:hAnsi="Arial"/>
                <w:b w:val="false"/>
                <w:bCs w:val="false"/>
                <w:sz w:val="18"/>
                <w:szCs w:val="18"/>
                <w:rtl/>
              </w:rPr>
              <w:t xml:space="preserve"> إذا كان النوع </w:t>
            </w:r>
            <w:r>
              <w:rPr>
                <w:rFonts w:ascii="Courier New" w:cs="Courier New" w:eastAsia="Courier New" w:hAnsi="Courier New"/>
                <w:b w:val="false"/>
                <w:bCs w:val="false"/>
                <w:color w:val="1F2937"/>
                <w:sz w:val="16"/>
                <w:szCs w:val="16"/>
                <w:shd w:fill="F1F3F5" w:color="auto" w:val="clear"/>
                <w:rtl/>
              </w:rPr>
              <w:t xml:space="preserve">‎IsSensitive‎</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db/model/10-platform.model:370؛ docs/review/design-review-2026-10-11.json:200</w:t>
            </w:r>
          </w:p>
        </w:tc>
      </w:tr>
      <w:tr>
        <w:trPr>
          <w:cantSplit/>
        </w:trPr>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DR-25</w:t>
            </w:r>
          </w:p>
        </w:tc>
        <w:tc>
          <w:tcPr>
            <w:tcW w:type="dxa" w:w="2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‎org.Company.TaxNumber‎</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غير موسومة من رقم موسوم سرّيًا</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حُذفت النسخة، والرقم يُقرأ من </w:t>
            </w: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(ADR 0011)</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db/model/11-organization-party.model:26؛ docs/review/design-review-2026-10-11.json:270</w:t>
            </w:r>
          </w:p>
        </w:tc>
      </w:tr>
      <w:tr>
        <w:trPr>
          <w:cantSplit/>
        </w:trPr>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DR-13</w:t>
            </w:r>
          </w:p>
        </w:tc>
        <w:tc>
          <w:tcPr>
            <w:tcW w:type="dxa" w:w="2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التصدير </w:t>
            </w:r>
            <w:r>
              <w:rPr>
                <w:rFonts w:ascii="Courier New" w:cs="Courier New" w:eastAsia="Courier New" w:hAnsi="Courier New"/>
                <w:b w:val="false"/>
                <w:bCs w:val="false"/>
                <w:color w:val="1F2937"/>
                <w:sz w:val="16"/>
                <w:szCs w:val="16"/>
                <w:shd w:fill="F1F3F5" w:color="auto" w:val="clear"/>
                <w:rtl/>
              </w:rPr>
              <w:t xml:space="preserve">‎cfg.DataExportJob.PackageDocumentId‎</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تأخذ </w:t>
            </w:r>
            <w:r>
              <w:rPr>
                <w:rFonts w:ascii="Courier New" w:cs="Courier New" w:eastAsia="Courier New" w:hAnsi="Courier New"/>
                <w:b w:val="false"/>
                <w:bCs w:val="false"/>
                <w:color w:val="1F2937"/>
                <w:sz w:val="16"/>
                <w:szCs w:val="16"/>
                <w:shd w:fill="F1F3F5" w:color="auto" w:val="clear"/>
                <w:rtl/>
              </w:rPr>
              <w:t xml:space="preserve">‎CONFIDENTIAL‎</w:t>
            </w:r>
            <w:r>
              <w:rPr>
                <w:rFonts w:ascii="Arial" w:cs="Arial" w:eastAsia="Arial" w:hAnsi="Arial"/>
                <w:b w:val="false"/>
                <w:bCs w:val="false"/>
                <w:sz w:val="18"/>
                <w:szCs w:val="18"/>
                <w:rtl/>
              </w:rPr>
              <w:t xml:space="preserve"> ولو حملت مقيّدًا</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w:t>
            </w:r>
            <w:r>
              <w:rPr>
                <w:rFonts w:ascii="Arial" w:cs="Arial" w:eastAsia="Arial" w:hAnsi="Arial"/>
                <w:b w:val="false"/>
                <w:bCs w:val="false"/>
                <w:sz w:val="18"/>
                <w:szCs w:val="18"/>
                <w:rtl/>
              </w:rPr>
              <w:t xml:space="preserve"> إذا </w:t>
            </w:r>
            <w:r>
              <w:rPr>
                <w:rFonts w:ascii="Courier New" w:cs="Courier New" w:eastAsia="Courier New" w:hAnsi="Courier New"/>
                <w:b w:val="false"/>
                <w:bCs w:val="false"/>
                <w:color w:val="1F2937"/>
                <w:sz w:val="16"/>
                <w:szCs w:val="16"/>
                <w:shd w:fill="F1F3F5" w:color="auto" w:val="clear"/>
                <w:rtl/>
              </w:rPr>
              <w:t xml:space="preserve">‎IncludesRestricted = 1‎</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db/model/10-platform.model:507 و514؛ docs/review/design-review-2026-10-11.json:150</w:t>
            </w:r>
          </w:p>
        </w:tc>
      </w:tr>
    </w:tbl>
    <w:p>
      <w:pPr>
        <w:bidi/>
        <w:spacing w:after="120" w:before="0"/>
      </w:pPr>
    </w:p>
    <w:p>
      <w:pPr>
        <w:pStyle w:val="Heading2"/>
        <w:bidi/>
      </w:pPr>
      <w:bookmarkStart w:name="_sec10" w:id="10"/>
      <w:r>
        <w:rPr>
          <w:rFonts w:ascii="Arial" w:cs="Arial" w:eastAsia="Arial" w:hAnsi="Arial"/>
          <w:b/>
          <w:bCs/>
          <w:color w:val="2B5C8A"/>
          <w:sz w:val="26"/>
          <w:szCs w:val="26"/>
          <w:rtl/>
        </w:rPr>
        <w:t xml:space="preserve">7.2 بيانات شخصية بلا وسم (لم تذكرها المراجعة)</w:t>
      </w:r>
      <w:bookmarkEnd w:id="10"/>
    </w:p>
    <w:p>
      <w:pPr>
        <w:bidi/>
        <w:spacing w:after="110" w:before="0" w:line="312"/>
      </w:pPr>
      <w:r>
        <w:rPr>
          <w:rFonts w:ascii="Arial" w:cs="Arial" w:eastAsia="Arial" w:hAnsi="Arial"/>
          <w:b w:val="false"/>
          <w:bCs w:val="false"/>
          <w:sz w:val="21"/>
          <w:szCs w:val="21"/>
          <w:rtl/>
        </w:rPr>
        <w:t xml:space="preserve">التحليل يصنّف Party والعناوين ووسائل اتصال الأفراد والمستخدم وسجل التدقيق سرّية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(docs/10-detailed-analysis/10-m0-m1-platform-organization.md:304 و309 و342-345)، والنموذج لا يسمها: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7"/>
        <w:gridCol w:w="1641"/>
        <w:gridCol w:w="998"/>
        <w:gridCol w:w="4818"/>
      </w:tblGrid>
      <w:tr>
        <w:trPr>
          <w:cantSplit/>
          <w:tblHeader/>
        </w:trPr>
        <w:tc>
          <w:tcPr>
            <w:tcW w:type="dxa" w:w="24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6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الأعمدة</w:t>
            </w:r>
          </w:p>
        </w:tc>
        <w:tc>
          <w:tcPr>
            <w:tcW w:type="dxa" w:w="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 المقترح </w:t>
            </w:r>
            <w:r>
              <w:rPr>
                <w:rFonts w:ascii="Arial" w:cs="Arial" w:eastAsia="Arial" w:hAnsi="Arial"/>
                <w:color w:val="E0A800"/>
                <w:sz w:val="18"/>
                <w:szCs w:val="18"/>
                <w:rtl/>
              </w:rPr>
              <w:t xml:space="preserve">●</w:t>
            </w:r>
          </w:p>
        </w:tc>
        <w:tc>
          <w:tcPr>
            <w:tcW w:type="dxa" w:w="4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‎NameAr‎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‎NameEn‎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‎NameNormalized‎</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db/model/11-organization-party.model:262-264</w:t>
            </w:r>
          </w:p>
        </w:tc>
      </w:tr>
      <w:tr>
        <w:trPr>
          <w:cantSplit/>
        </w:trPr>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w:t>
            </w:r>
            <w:r>
              <w:rPr>
                <w:rFonts w:ascii="Courier New" w:cs="Courier New" w:eastAsia="Courier New" w:hAnsi="Courier New"/>
                <w:b w:val="false"/>
                <w:bCs w:val="false"/>
                <w:color w:val="1F2937"/>
                <w:sz w:val="16"/>
                <w:szCs w:val="16"/>
                <w:shd w:fill="F1F3F5" w:color="auto" w:val="clear"/>
                <w:rtl/>
              </w:rPr>
              <w:t xml:space="preserve">‎Region‎</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‎FreeText‎</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(قوس المالك يخلط الأفراد بالمنشآت، فيؤخذ الأشد)</w:t>
            </w:r>
          </w:p>
        </w:tc>
        <w:tc>
          <w:tcPr>
            <w:tcW w:type="dxa" w:w="4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db/model/11-organization-party.model:331-341</w:t>
            </w:r>
          </w:p>
        </w:tc>
      </w:tr>
      <w:tr>
        <w:trPr>
          <w:cantSplit/>
        </w:trPr>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‎pty.ContactMethod‎</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‎NormalizedValue‎</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للسبب نفسه</w:t>
            </w:r>
          </w:p>
        </w:tc>
        <w:tc>
          <w:tcPr>
            <w:tcW w:type="dxa" w:w="4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db/model/11-organization-party.model:360-361</w:t>
            </w:r>
          </w:p>
        </w:tc>
      </w:tr>
      <w:tr>
        <w:trPr>
          <w:cantSplit/>
        </w:trPr>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‎Email‎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‎DisplayNameAr‎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‎DisplayNameEn‎</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db/model/10-platform.model:114-116</w:t>
            </w:r>
          </w:p>
        </w:tc>
      </w:tr>
      <w:tr>
        <w:trPr>
          <w:cantSplit/>
        </w:trPr>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‎LoginName‎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‎IpAddress‎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‎UserAgent‎</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db/model/10-platform.model:201-204</w:t>
            </w:r>
          </w:p>
        </w:tc>
      </w:tr>
      <w:tr>
        <w:trPr>
          <w:cantSplit/>
        </w:trPr>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‎sec.UserToken‎</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‎IpAddress‎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‎UserAgent‎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‎SentTo‎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‎RequestIp‎</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db/model/10-platform.model:226-227 و251 و255</w:t>
            </w:r>
          </w:p>
        </w:tc>
      </w:tr>
      <w:tr>
        <w:trPr>
          <w:cantSplit/>
        </w:trPr>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‎BeforeJson‎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‎AfterJson‎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‎IpAddress‎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‎UserAgent‎</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db/model/10-platform.model:315-319</w:t>
            </w:r>
          </w:p>
        </w:tc>
      </w:tr>
      <w:tr>
        <w:trPr>
          <w:cantSplit/>
        </w:trPr>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‎IpAddress‎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‎UserAgent‎</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db/model/10-platform.model:344-346</w:t>
            </w:r>
          </w:p>
        </w:tc>
      </w:tr>
      <w:tr>
        <w:trPr>
          <w:cantSplit/>
        </w:trPr>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‎CrNumber‎</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db/model/11-organization-party.model:23 و26</w:t>
            </w:r>
          </w:p>
        </w:tc>
      </w:tr>
    </w:tbl>
    <w:p>
      <w:pPr>
        <w:bidi/>
        <w:spacing w:after="120" w:before="0"/>
      </w:pPr>
    </w:p>
    <w:p>
      <w:pPr>
        <w:pStyle w:val="Heading1"/>
        <w:bidi/>
      </w:pPr>
      <w:bookmarkStart w:name="_sec11" w:id="11"/>
      <w:r>
        <w:rPr>
          <w:rFonts w:ascii="Arial" w:cs="Arial" w:eastAsia="Arial" w:hAnsi="Arial"/>
          <w:b/>
          <w:bCs/>
          <w:color w:val="1F3A5F"/>
          <w:sz w:val="32"/>
          <w:szCs w:val="32"/>
          <w:rtl/>
        </w:rPr>
        <w:t xml:space="preserve">8. تصنيف الملفات والصور</w:t>
      </w:r>
      <w:bookmarkEnd w:id="11"/>
    </w:p>
    <w:p>
      <w:pPr>
        <w:pStyle w:val="ListParagraph"/>
        <w:numPr>
          <w:ilvl w:val="0"/>
          <w:numId w:val="2"/>
        </w:numPr>
        <w:bidi/>
        <w:spacing w:after="70" w:before="0" w:line="300"/>
      </w:pPr>
      <w:r>
        <w:rPr>
          <w:rFonts w:ascii="Arial" w:cs="Arial" w:eastAsia="Arial" w:hAnsi="Arial"/>
          <w:b w:val="false"/>
          <w:bCs w:val="false"/>
          <w:sz w:val="21"/>
          <w:szCs w:val="21"/>
          <w:rtl/>
        </w:rPr>
        <w:t xml:space="preserve">كل ملف مستند له </w:t>
      </w:r>
      <w:r>
        <w:rPr>
          <w:rFonts w:ascii="Courier New" w:cs="Courier New" w:eastAsia="Courier New" w:hAnsi="Courier New"/>
          <w:b w:val="false"/>
          <w:bCs w:val="false"/>
          <w:color w:val="1F2937"/>
          <w:sz w:val="18"/>
          <w:szCs w:val="18"/>
          <w:shd w:fill="F1F3F5" w:color="auto" w:val="clear"/>
          <w:rtl/>
        </w:rPr>
        <w:t xml:space="preserve">‎doc.Document.Sensitivity‎</w:t>
      </w:r>
      <w:r>
        <w:rPr>
          <w:rFonts w:ascii="Arial" w:cs="Arial" w:eastAsia="Arial" w:hAnsi="Arial"/>
          <w:b w:val="false"/>
          <w:bCs w:val="false"/>
          <w:sz w:val="21"/>
          <w:szCs w:val="21"/>
          <w:rtl/>
        </w:rPr>
        <w:t xml:space="preserve"> بالقيم الأربع (db/model/10-platform.model:370)، ولنوعه علم </w:t>
      </w:r>
      <w:r>
        <w:rPr>
          <w:rFonts w:ascii="Courier New" w:cs="Courier New" w:eastAsia="Courier New" w:hAnsi="Courier New"/>
          <w:b w:val="false"/>
          <w:bCs w:val="false"/>
          <w:color w:val="1F2937"/>
          <w:sz w:val="18"/>
          <w:szCs w:val="18"/>
          <w:shd w:fill="F1F3F5" w:color="auto" w:val="clear"/>
          <w:rtl/>
        </w:rPr>
        <w:t xml:space="preserve">‎cat.DocumentType.IsSensitive‎</w:t>
      </w:r>
      <w:r>
        <w:rPr>
          <w:rFonts w:ascii="Arial" w:cs="Arial" w:eastAsia="Arial" w:hAnsi="Arial"/>
          <w:b w:val="false"/>
          <w:bCs w:val="false"/>
          <w:sz w:val="21"/>
          <w:szCs w:val="21"/>
          <w:rtl/>
        </w:rPr>
        <w:t xml:space="preserve"> «قيد TM/FO للعرض والتنزيل (صور الهوية، نموذج التوقيع، KYC)» (db/model/12-institutions-accounts-catalogs.model:84).</w:t>
      </w:r>
    </w:p>
    <w:p>
      <w:pPr>
        <w:pStyle w:val="ListParagraph"/>
        <w:numPr>
          <w:ilvl w:val="0"/>
          <w:numId w:val="2"/>
        </w:numPr>
        <w:bidi/>
        <w:spacing w:after="70" w:before="0" w:line="300"/>
      </w:pPr>
      <w:r>
        <w:rPr>
          <w:rFonts w:ascii="Arial" w:cs="Arial" w:eastAsia="Arial" w:hAnsi="Arial"/>
          <w:b/>
          <w:bCs/>
          <w:sz w:val="21"/>
          <w:szCs w:val="21"/>
          <w:rtl/>
        </w:rPr>
        <w:t xml:space="preserve">كل ملف مشفّر</w:t>
      </w:r>
      <w:r>
        <w:rPr>
          <w:rFonts w:ascii="Arial" w:cs="Arial" w:eastAsia="Arial" w:hAnsi="Arial"/>
          <w:b w:val="false"/>
          <w:bCs w:val="false"/>
          <w:sz w:val="21"/>
          <w:szCs w:val="21"/>
          <w:rtl/>
        </w:rPr>
        <w:t xml:space="preserve"> بمفتاح FILE أيًّا كان مستواه، لأن </w:t>
      </w:r>
      <w:r>
        <w:rPr>
          <w:rFonts w:ascii="Courier New" w:cs="Courier New" w:eastAsia="Courier New" w:hAnsi="Courier New"/>
          <w:b w:val="false"/>
          <w:bCs w:val="false"/>
          <w:color w:val="1F2937"/>
          <w:sz w:val="18"/>
          <w:szCs w:val="18"/>
          <w:shd w:fill="F1F3F5" w:color="auto" w:val="clear"/>
          <w:rtl/>
        </w:rPr>
        <w:t xml:space="preserve">‎DocumentVersion.KeyId‎</w:t>
      </w:r>
      <w:r>
        <w:rPr>
          <w:rFonts w:ascii="Arial" w:cs="Arial" w:eastAsia="Arial" w:hAnsi="Arial"/>
          <w:b w:val="false"/>
          <w:bCs w:val="false"/>
          <w:sz w:val="21"/>
          <w:szCs w:val="21"/>
          <w:rtl/>
        </w:rPr>
        <w:t xml:space="preserve"> إلزامي (db/model/10-platform.model:395). المستوى يحدد الوصول لا التشفير.</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2333"/>
        <w:gridCol w:w="5601"/>
      </w:tblGrid>
      <w:tr>
        <w:trPr>
          <w:cantSplit/>
          <w:tblHeader/>
        </w:trPr>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فئة الملف</w:t>
            </w:r>
          </w:p>
        </w:tc>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 </w:t>
            </w:r>
            <w:r>
              <w:rPr>
                <w:rFonts w:ascii="Arial" w:cs="Arial" w:eastAsia="Arial" w:hAnsi="Arial"/>
                <w:color w:val="E0A800"/>
                <w:sz w:val="18"/>
                <w:szCs w:val="18"/>
                <w:rtl/>
              </w:rPr>
              <w:t xml:space="preserve">●</w:t>
            </w:r>
          </w:p>
        </w:tc>
        <w:tc>
          <w:tcPr>
            <w:tcW w:type="dxa" w:w="23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الوصول</w:t>
            </w:r>
          </w:p>
        </w:tc>
        <w:tc>
          <w:tcPr>
            <w:tcW w:type="dxa" w:w="56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وثائق الهوية (وجه وظهر وأخرى)</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23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لـ TM وFO فقط، بلا مصغّرات لغيرهم، وكل عرض في </w:t>
            </w: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5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BR-PTY-010 (docs/10-detailed-analysis/10-m0-m1-platform-organization.md:281)؛ FR-PLT-030 (docs/10-detailed-analysis/10-m0-m1-platform-organization.md:132)</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نماذج التوقيع ونماذج KYC وإقرارات الامتثال</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23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سبق</w:t>
            </w:r>
          </w:p>
        </w:tc>
        <w:tc>
          <w:tcPr>
            <w:tcW w:type="dxa" w:w="5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db/model/12-institutions-accounts-catalogs.model:84؛ db/model/11-organization-party.model:461</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تصدير فيها مقيّد</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23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والموافق فقط، وتنتهي بعد 7 أيام</w:t>
            </w:r>
          </w:p>
        </w:tc>
        <w:tc>
          <w:tcPr>
            <w:tcW w:type="dxa" w:w="5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db/model/10-platform.model:502-521</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 والقوائم المالية ومستندات الطلبات</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23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 ونطاق الشركة</w:t>
            </w:r>
          </w:p>
        </w:tc>
        <w:tc>
          <w:tcPr>
            <w:tcW w:type="dxa" w:w="5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FR-PLT-028 (docs/10-detailed-analysis/10-m0-m1-platform-organization.md:130)</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مستندات الشركة العادية (سجل، رخصة)</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c>
          <w:tcPr>
            <w:tcW w:type="dxa" w:w="23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 ونطاق الشركة</w:t>
            </w:r>
          </w:p>
        </w:tc>
        <w:tc>
          <w:tcPr>
            <w:tcW w:type="dxa" w:w="5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FR-ORG-005 (docs/10-detailed-analysis/10-m0-m1-platform-organization.md:159)</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مستندات منصة عامة (أدلة، قوالب)</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c>
          <w:tcPr>
            <w:tcW w:type="dxa" w:w="23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مستخدم</w:t>
            </w:r>
          </w:p>
        </w:tc>
        <w:tc>
          <w:tcPr>
            <w:tcW w:type="dxa" w:w="5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يأخذ مستند مشترك المستوى </w:t>
      </w:r>
      <w:r>
        <w:rPr>
          <w:rFonts w:ascii="Courier New" w:cs="Courier New" w:eastAsia="Courier New" w:hAnsi="Courier New"/>
          <w:b w:val="false"/>
          <w:bCs w:val="false"/>
          <w:color w:val="1F2937"/>
          <w:sz w:val="18"/>
          <w:szCs w:val="18"/>
          <w:shd w:fill="F1F3F5" w:color="auto" w:val="clear"/>
          <w:rtl/>
        </w:rPr>
        <w:t xml:space="preserve">‎PUBLIC‎</w:t>
      </w:r>
      <w:r>
        <w:rPr>
          <w:rFonts w:ascii="Arial" w:cs="Arial" w:eastAsia="Arial" w:hAnsi="Arial"/>
          <w:b w:val="false"/>
          <w:bCs w:val="false"/>
          <w:sz w:val="21"/>
          <w:szCs w:val="21"/>
          <w:rtl/>
        </w:rPr>
        <w:t xml:space="preserve">؛ القيمة لمستندات المنصة فقط (DQ-S06-5).</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المصغّرات والمعاينات ترث مستوى الأصل (BR-PTY-010).</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التنزيل من نقطة مصرَّحة فقط، بلا روابط مباشرة إلى المخزن (FR-PLT-030).</w:t>
      </w:r>
    </w:p>
    <w:p>
      <w:pPr>
        <w:bidi/>
        <w:spacing w:after="60" w:before="0"/>
      </w:pPr>
    </w:p>
    <w:p>
      <w:pPr>
        <w:pStyle w:val="Heading1"/>
        <w:bidi/>
      </w:pPr>
      <w:bookmarkStart w:name="_sec12" w:id="12"/>
      <w:r>
        <w:rPr>
          <w:rFonts w:ascii="Arial" w:cs="Arial" w:eastAsia="Arial" w:hAnsi="Arial"/>
          <w:b/>
          <w:bCs/>
          <w:color w:val="1F3A5F"/>
          <w:sz w:val="32"/>
          <w:szCs w:val="32"/>
          <w:rtl/>
        </w:rPr>
        <w:t xml:space="preserve">9. كيف يُصنَّف عمود جديد</w:t>
      </w:r>
      <w:bookmarkEnd w:id="12"/>
    </w:p>
    <w:p>
      <w:pPr>
        <w:keepNext/>
        <w:bidi/>
        <w:spacing w:after="60" w:before="160"/>
        <w:jc w:val="center"/>
      </w:pPr>
      <w:r>
        <w:drawing>
          <wp:inline distT="0" distB="0" distL="0" distR="0">
            <wp:extent cx="4800600" cy="81915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00600" cy="8191500"/>
                    </a:xfrm>
                    <a:prstGeom prst="rect">
                      <a:avLst/>
                    </a:prstGeom>
                  </pic:spPr>
                </pic:pic>
              </a:graphicData>
            </a:graphic>
          </wp:inline>
        </w:drawing>
      </w:r>
    </w:p>
    <w:p>
      <w:pPr>
        <w:pStyle w:val="Heading1"/>
        <w:bidi/>
      </w:pPr>
      <w:bookmarkStart w:name="_sec13" w:id="13"/>
      <w:r>
        <w:rPr>
          <w:rFonts w:ascii="Arial" w:cs="Arial" w:eastAsia="Arial" w:hAnsi="Arial"/>
          <w:b/>
          <w:bCs/>
          <w:color w:val="1F3A5F"/>
          <w:sz w:val="32"/>
          <w:szCs w:val="32"/>
          <w:rtl/>
        </w:rPr>
        <w:t xml:space="preserve">10. منع الانحراف </w:t>
      </w:r>
      <w:r>
        <w:rPr>
          <w:rFonts w:ascii="Arial" w:cs="Arial" w:eastAsia="Arial" w:hAnsi="Arial"/>
          <w:color w:val="E0A800"/>
          <w:sz w:val="32"/>
          <w:szCs w:val="32"/>
          <w:rtl/>
        </w:rPr>
        <w:t xml:space="preserve">●</w:t>
      </w:r>
      <w:bookmarkEnd w:id="13"/>
    </w:p>
    <w:p>
      <w:pPr>
        <w:pStyle w:val="ListParagraph"/>
        <w:numPr>
          <w:ilvl w:val="0"/>
          <w:numId w:val="2"/>
        </w:numPr>
        <w:bidi/>
        <w:spacing w:after="70" w:before="0" w:line="300"/>
      </w:pPr>
      <w:r>
        <w:rPr>
          <w:rFonts w:ascii="Arial" w:cs="Arial" w:eastAsia="Arial" w:hAnsi="Arial"/>
          <w:b/>
          <w:bCs/>
          <w:sz w:val="21"/>
          <w:szCs w:val="21"/>
          <w:rtl/>
        </w:rPr>
        <w:t xml:space="preserve">فحص آلي جديد في CI</w:t>
      </w:r>
      <w:r>
        <w:rPr>
          <w:rFonts w:ascii="Arial" w:cs="Arial" w:eastAsia="Arial" w:hAnsi="Arial"/>
          <w:b w:val="false"/>
          <w:bCs w:val="false"/>
          <w:sz w:val="21"/>
          <w:szCs w:val="21"/>
          <w:rtl/>
        </w:rPr>
        <w:t xml:space="preserve"> بجانب </w:t>
      </w:r>
      <w:r>
        <w:rPr>
          <w:rFonts w:ascii="Courier New" w:cs="Courier New" w:eastAsia="Courier New" w:hAnsi="Courier New"/>
          <w:b w:val="false"/>
          <w:bCs w:val="false"/>
          <w:color w:val="1F2937"/>
          <w:sz w:val="18"/>
          <w:szCs w:val="18"/>
          <w:shd w:fill="F1F3F5" w:color="auto" w:val="clear"/>
          <w:rtl/>
        </w:rPr>
        <w:t xml:space="preserve">‎tools/dbgen/check_fk_indexes.py‎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‎tools/dbgen/check_grants.py‎</w:t>
      </w:r>
      <w:r>
        <w:rPr>
          <w:rFonts w:ascii="Arial" w:cs="Arial" w:eastAsia="Arial" w:hAnsi="Arial"/>
          <w:b w:val="false"/>
          <w:bCs w:val="false"/>
          <w:sz w:val="21"/>
          <w:szCs w:val="21"/>
          <w:rtl/>
        </w:rPr>
        <w:t xml:space="preserve"> في الخطوة 3 (tools/ci/db_ci.sh:47-49)، يفشل البناء إذا:</w:t>
      </w:r>
    </w:p>
    <w:p>
      <w:pPr>
        <w:pStyle w:val="ListParagraph"/>
        <w:numPr>
          <w:ilvl w:val="1"/>
          <w:numId w:val="2"/>
        </w:numPr>
        <w:bidi/>
        <w:spacing w:after="70" w:before="0" w:line="300"/>
      </w:pPr>
      <w:r>
        <w:rPr>
          <w:rFonts w:ascii="Arial" w:cs="Arial" w:eastAsia="Arial" w:hAnsi="Arial"/>
          <w:b w:val="false"/>
          <w:bCs w:val="false"/>
          <w:sz w:val="21"/>
          <w:szCs w:val="21"/>
          <w:rtl/>
        </w:rPr>
        <w:t xml:space="preserve">عمود اسمه ينتهي بـ </w:t>
      </w:r>
      <w:r>
        <w:rPr>
          <w:rFonts w:ascii="Courier New" w:cs="Courier New" w:eastAsia="Courier New" w:hAnsi="Courier New"/>
          <w:b w:val="false"/>
          <w:bCs w:val="false"/>
          <w:color w:val="1F2937"/>
          <w:sz w:val="18"/>
          <w:szCs w:val="18"/>
          <w:shd w:fill="F1F3F5" w:color="auto" w:val="clear"/>
          <w:rtl/>
        </w:rPr>
        <w:t xml:space="preserve">‎Enc‎</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‎Hash‎</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‎Mask‎</w:t>
      </w:r>
      <w:r>
        <w:rPr>
          <w:rFonts w:ascii="Arial" w:cs="Arial" w:eastAsia="Arial" w:hAnsi="Arial"/>
          <w:b w:val="false"/>
          <w:bCs w:val="false"/>
          <w:sz w:val="21"/>
          <w:szCs w:val="21"/>
          <w:rtl/>
        </w:rPr>
        <w:t xml:space="preserve"> أو يحوي </w:t>
      </w:r>
      <w:r>
        <w:rPr>
          <w:rFonts w:ascii="Courier New" w:cs="Courier New" w:eastAsia="Courier New" w:hAnsi="Courier New"/>
          <w:b w:val="false"/>
          <w:bCs w:val="false"/>
          <w:color w:val="1F2937"/>
          <w:sz w:val="18"/>
          <w:szCs w:val="18"/>
          <w:shd w:fill="F1F3F5" w:color="auto" w:val="clear"/>
          <w:rtl/>
        </w:rPr>
        <w:t xml:space="preserve">‎Password‎</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‎Token‎</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‎Secret‎</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‎Iban‎</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‎AccountNo‎</w:t>
      </w:r>
      <w:r>
        <w:rPr>
          <w:rFonts w:ascii="Arial" w:cs="Arial" w:eastAsia="Arial" w:hAnsi="Arial"/>
          <w:b w:val="false"/>
          <w:bCs w:val="false"/>
          <w:sz w:val="21"/>
          <w:szCs w:val="21"/>
          <w:rtl/>
        </w:rPr>
        <w:t xml:space="preserve"> بلا </w:t>
      </w:r>
      <w:r>
        <w:rPr>
          <w:rFonts w:ascii="Courier New" w:cs="Courier New" w:eastAsia="Courier New" w:hAnsi="Courier New"/>
          <w:b w:val="false"/>
          <w:bCs w:val="false"/>
          <w:color w:val="1F2937"/>
          <w:sz w:val="18"/>
          <w:szCs w:val="18"/>
          <w:shd w:fill="F1F3F5" w:color="auto" w:val="clear"/>
          <w:rtl/>
        </w:rPr>
        <w:t xml:space="preserve">‎sens=restricted‎</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Arial" w:cs="Arial" w:eastAsia="Arial" w:hAnsi="Arial"/>
          <w:b w:val="false"/>
          <w:bCs w:val="false"/>
          <w:sz w:val="21"/>
          <w:szCs w:val="21"/>
          <w:rtl/>
        </w:rPr>
        <w:t xml:space="preserve">عمود اسمه يحوي </w:t>
      </w:r>
      <w:r>
        <w:rPr>
          <w:rFonts w:ascii="Courier New" w:cs="Courier New" w:eastAsia="Courier New" w:hAnsi="Courier New"/>
          <w:b w:val="false"/>
          <w:bCs w:val="false"/>
          <w:color w:val="1F2937"/>
          <w:sz w:val="18"/>
          <w:szCs w:val="18"/>
          <w:shd w:fill="F1F3F5" w:color="auto" w:val="clear"/>
          <w:rtl/>
        </w:rPr>
        <w:t xml:space="preserve">‎Email‎</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‎Phone‎</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‎IpAddress‎</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‎OriginalText‎</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‎Snapshot‎</w:t>
      </w:r>
      <w:r>
        <w:rPr>
          <w:rFonts w:ascii="Arial" w:cs="Arial" w:eastAsia="Arial" w:hAnsi="Arial"/>
          <w:b w:val="false"/>
          <w:bCs w:val="false"/>
          <w:sz w:val="21"/>
          <w:szCs w:val="21"/>
          <w:rtl/>
        </w:rPr>
        <w:t xml:space="preserve"> بلا وسم ولا استثناء مسجَّل؛</w:t>
      </w:r>
    </w:p>
    <w:p>
      <w:pPr>
        <w:pStyle w:val="ListParagraph"/>
        <w:numPr>
          <w:ilvl w:val="1"/>
          <w:numId w:val="2"/>
        </w:numPr>
        <w:bidi/>
        <w:spacing w:after="70" w:before="0" w:line="300"/>
      </w:pPr>
      <w:r>
        <w:rPr>
          <w:rFonts w:ascii="Arial" w:cs="Arial" w:eastAsia="Arial" w:hAnsi="Arial"/>
          <w:b w:val="false"/>
          <w:bCs w:val="false"/>
          <w:sz w:val="21"/>
          <w:szCs w:val="21"/>
          <w:rtl/>
        </w:rPr>
        <w:t xml:space="preserve">عمود مقيّد بلا سطر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‎006‎</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Arial" w:cs="Arial" w:eastAsia="Arial" w:hAnsi="Arial"/>
          <w:b w:val="false"/>
          <w:bCs w:val="false"/>
          <w:sz w:val="21"/>
          <w:szCs w:val="21"/>
          <w:rtl/>
        </w:rPr>
        <w:t xml:space="preserve">عمود مقيّد بنص صريح خارج الاستثناءات E-n.</w:t>
      </w:r>
    </w:p>
    <w:p>
      <w:pPr>
        <w:pStyle w:val="ListParagraph"/>
        <w:numPr>
          <w:ilvl w:val="0"/>
          <w:numId w:val="2"/>
        </w:numPr>
        <w:bidi/>
        <w:spacing w:after="70" w:before="0" w:line="300"/>
      </w:pPr>
      <w:r>
        <w:rPr>
          <w:rFonts w:ascii="Arial" w:cs="Arial" w:eastAsia="Arial" w:hAnsi="Arial"/>
          <w:b/>
          <w:bCs/>
          <w:sz w:val="21"/>
          <w:szCs w:val="21"/>
          <w:rtl/>
        </w:rPr>
        <w:t xml:space="preserve">سجل الاستثناءات</w:t>
      </w:r>
      <w:r>
        <w:rPr>
          <w:rFonts w:ascii="Arial" w:cs="Arial" w:eastAsia="Arial" w:hAnsi="Arial"/>
          <w:b w:val="false"/>
          <w:bCs w:val="false"/>
          <w:sz w:val="21"/>
          <w:szCs w:val="21"/>
          <w:rtl/>
        </w:rPr>
        <w:t xml:space="preserve"> ملف واحد في المستودع، لكل استثناء سبب ومالك وتاريخ مراجعة.</w:t>
      </w:r>
    </w:p>
    <w:p>
      <w:pPr>
        <w:pStyle w:val="ListParagraph"/>
        <w:numPr>
          <w:ilvl w:val="0"/>
          <w:numId w:val="2"/>
        </w:numPr>
        <w:bidi/>
        <w:spacing w:after="70" w:before="0" w:line="300"/>
      </w:pPr>
      <w:r>
        <w:rPr>
          <w:rFonts w:ascii="Arial" w:cs="Arial" w:eastAsia="Arial" w:hAnsi="Arial"/>
          <w:b/>
          <w:bCs/>
          <w:sz w:val="21"/>
          <w:szCs w:val="21"/>
          <w:rtl/>
        </w:rPr>
        <w:t xml:space="preserve">فحص الاستجابات:</w:t>
      </w:r>
      <w:r>
        <w:rPr>
          <w:rFonts w:ascii="Arial" w:cs="Arial" w:eastAsia="Arial" w:hAnsi="Arial"/>
          <w:b w:val="false"/>
          <w:bCs w:val="false"/>
          <w:sz w:val="21"/>
          <w:szCs w:val="21"/>
          <w:rtl/>
        </w:rPr>
        <w:t xml:space="preserve"> اختبار API يمسح كل استجابة بحثًا عن قيم مقيّدة كاملة، عدا نقطة الكشف (DOC-S13).</w:t>
      </w:r>
    </w:p>
    <w:p>
      <w:pPr>
        <w:pStyle w:val="ListParagraph"/>
        <w:numPr>
          <w:ilvl w:val="0"/>
          <w:numId w:val="2"/>
        </w:numPr>
        <w:bidi/>
        <w:spacing w:after="70" w:before="0" w:line="300"/>
      </w:pPr>
      <w:r>
        <w:rPr>
          <w:rFonts w:ascii="Arial" w:cs="Arial" w:eastAsia="Arial" w:hAnsi="Arial"/>
          <w:b/>
          <w:bCs/>
          <w:sz w:val="21"/>
          <w:szCs w:val="21"/>
          <w:rtl/>
        </w:rPr>
        <w:t xml:space="preserve">فحص السجلات:</w:t>
      </w:r>
      <w:r>
        <w:rPr>
          <w:rFonts w:ascii="Arial" w:cs="Arial" w:eastAsia="Arial" w:hAnsi="Arial"/>
          <w:b w:val="false"/>
          <w:bCs w:val="false"/>
          <w:sz w:val="21"/>
          <w:szCs w:val="21"/>
          <w:rtl/>
        </w:rPr>
        <w:t xml:space="preserve"> اختبار يكتب قيمة مقيّدة معروفة في سيناريو كامل، ثم يبحث عنها في سجلات التطبيق وفي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وفي </w:t>
      </w:r>
      <w:r>
        <w:rPr>
          <w:rFonts w:ascii="Courier New" w:cs="Courier New" w:eastAsia="Courier New" w:hAnsi="Courier New"/>
          <w:b w:val="false"/>
          <w:bCs w:val="false"/>
          <w:color w:val="1F2937"/>
          <w:sz w:val="18"/>
          <w:szCs w:val="18"/>
          <w:shd w:fill="F1F3F5" w:color="auto" w:val="clear"/>
          <w:rtl/>
        </w:rPr>
        <w:t xml:space="preserve">‎cfg.OutboxEvent.PayloadJson‎</w:t>
      </w:r>
      <w:r>
        <w:rPr>
          <w:rFonts w:ascii="Arial" w:cs="Arial" w:eastAsia="Arial" w:hAnsi="Arial"/>
          <w:b w:val="false"/>
          <w:bCs w:val="false"/>
          <w:sz w:val="21"/>
          <w:szCs w:val="21"/>
          <w:rtl/>
        </w:rPr>
        <w:t xml:space="preserve">، ويفشل إن وجدها.</w:t>
      </w:r>
    </w:p>
    <w:p>
      <w:pPr>
        <w:pStyle w:val="ListParagraph"/>
        <w:numPr>
          <w:ilvl w:val="0"/>
          <w:numId w:val="2"/>
        </w:numPr>
        <w:bidi/>
        <w:spacing w:after="70" w:before="0" w:line="300"/>
      </w:pPr>
      <w:r>
        <w:rPr>
          <w:rFonts w:ascii="Arial" w:cs="Arial" w:eastAsia="Arial" w:hAnsi="Arial"/>
          <w:b/>
          <w:bCs/>
          <w:sz w:val="21"/>
          <w:szCs w:val="21"/>
          <w:rtl/>
        </w:rPr>
        <w:t xml:space="preserve">أي عمود ينسخ قيمًا</w:t>
      </w:r>
      <w:r>
        <w:rPr>
          <w:rFonts w:ascii="Arial" w:cs="Arial" w:eastAsia="Arial" w:hAnsi="Arial"/>
          <w:b w:val="false"/>
          <w:bCs w:val="false"/>
          <w:sz w:val="21"/>
          <w:szCs w:val="21"/>
          <w:rtl/>
        </w:rPr>
        <w:t xml:space="preserve"> (مقارنة، لقطة، فرق، JSON) يرث أعلى مستوى بين مصادره. هذه القاعدة كانت ستمنع DR-46 وDR-31.</w:t>
      </w:r>
    </w:p>
    <w:p>
      <w:pPr>
        <w:bidi/>
        <w:spacing w:after="60" w:before="0"/>
      </w:pPr>
    </w:p>
    <w:p>
      <w:pPr>
        <w:pStyle w:val="Heading1"/>
        <w:bidi/>
      </w:pPr>
      <w:bookmarkStart w:name="_sec14" w:id="14"/>
      <w:r>
        <w:rPr>
          <w:rFonts w:ascii="Arial" w:cs="Arial" w:eastAsia="Arial" w:hAnsi="Arial"/>
          <w:b/>
          <w:bCs/>
          <w:color w:val="1F3A5F"/>
          <w:sz w:val="32"/>
          <w:szCs w:val="32"/>
          <w:rtl/>
        </w:rPr>
        <w:t xml:space="preserve">11. القرارات المطلوبة</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2509"/>
        <w:gridCol w:w="1637"/>
        <w:gridCol w:w="1766"/>
        <w:gridCol w:w="2976"/>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5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16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7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DQ-S06-1</w:t>
            </w:r>
          </w:p>
        </w:tc>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يُحجب السرّي عن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كالمقيّد؟</w:t>
            </w:r>
          </w:p>
        </w:tc>
        <w:tc>
          <w:tcPr>
            <w:tcW w:type="dxa" w:w="1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بتوليد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للسرّي أيضًا، والتقارير عبر عروض مجمّعة</w:t>
            </w:r>
          </w:p>
        </w:tc>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 مع المالك</w:t>
            </w:r>
          </w:p>
        </w:tc>
        <w:tc>
          <w:tcPr>
            <w:tcW w:type="dxa" w:w="2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DDL قبل S0</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DQ-S06-2</w:t>
            </w:r>
          </w:p>
        </w:tc>
        <w:tc>
          <w:tcPr>
            <w:tcW w:type="dxa" w:w="25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الحساب وIBAN مقيّدان أم سرّيان؟</w:t>
            </w:r>
          </w:p>
        </w:tc>
        <w:tc>
          <w:tcPr>
            <w:tcW w:type="dxa" w:w="1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مقيّدان، كما في النموذج وFR-REQ-024</w:t>
            </w:r>
          </w:p>
        </w:tc>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توحيد 11-m2-m4 §12</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DQ-S06-3</w:t>
            </w:r>
          </w:p>
        </w:tc>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w:t>
            </w:r>
            <w:r>
              <w:rPr>
                <w:rFonts w:ascii="Courier New" w:cs="Courier New" w:eastAsia="Courier New" w:hAnsi="Courier New"/>
                <w:b w:val="false"/>
                <w:bCs w:val="false"/>
                <w:color w:val="1F2937"/>
                <w:sz w:val="16"/>
                <w:szCs w:val="16"/>
                <w:shd w:fill="F1F3F5" w:color="auto" w:val="clear"/>
                <w:rtl/>
              </w:rPr>
              <w:t xml:space="preserve">‎pty.PartyCompliance.Details‎</w:t>
            </w:r>
          </w:p>
        </w:tc>
        <w:tc>
          <w:tcPr>
            <w:tcW w:type="dxa" w:w="1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بالغلاف؛ الأعلام المنطقية استثناء E-1</w:t>
            </w:r>
          </w:p>
        </w:tc>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2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DQ-S06-4</w:t>
            </w:r>
          </w:p>
        </w:tc>
        <w:tc>
          <w:tcPr>
            <w:tcW w:type="dxa" w:w="25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البيانات الشخصية في القسم 7.2</w:t>
            </w:r>
          </w:p>
        </w:tc>
        <w:tc>
          <w:tcPr>
            <w:tcW w:type="dxa" w:w="1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الجدول</w:t>
            </w:r>
          </w:p>
        </w:tc>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w:t>
            </w:r>
          </w:p>
        </w:tc>
        <w:tc>
          <w:tcPr>
            <w:tcW w:type="dxa" w:w="2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DDL قبل S0</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DQ-S06-5</w:t>
            </w:r>
          </w:p>
        </w:tc>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w:t>
            </w:r>
            <w:r>
              <w:rPr>
                <w:rFonts w:ascii="Courier New" w:cs="Courier New" w:eastAsia="Courier New" w:hAnsi="Courier New"/>
                <w:b w:val="false"/>
                <w:bCs w:val="false"/>
                <w:color w:val="1F2937"/>
                <w:sz w:val="16"/>
                <w:szCs w:val="16"/>
                <w:shd w:fill="F1F3F5" w:color="auto" w:val="clear"/>
                <w:rtl/>
              </w:rPr>
              <w:t xml:space="preserve">‎PUBLIC‎</w:t>
            </w:r>
            <w:r>
              <w:rPr>
                <w:rFonts w:ascii="Arial" w:cs="Arial" w:eastAsia="Arial" w:hAnsi="Arial"/>
                <w:b w:val="false"/>
                <w:bCs w:val="false"/>
                <w:sz w:val="18"/>
                <w:szCs w:val="18"/>
                <w:rtl/>
              </w:rPr>
              <w:t xml:space="preserve"> لمستندات المشترك</w:t>
            </w:r>
          </w:p>
        </w:tc>
        <w:tc>
          <w:tcPr>
            <w:tcW w:type="dxa" w:w="1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DR-18): قيد </w:t>
            </w:r>
            <w:r>
              <w:rPr>
                <w:rFonts w:ascii="Courier New" w:cs="Courier New" w:eastAsia="Courier New" w:hAnsi="Courier New"/>
                <w:b w:val="false"/>
                <w:bCs w:val="false"/>
                <w:color w:val="1F2937"/>
                <w:sz w:val="16"/>
                <w:szCs w:val="16"/>
                <w:shd w:fill="F1F3F5" w:color="auto" w:val="clear"/>
                <w:rtl/>
              </w:rPr>
              <w:t xml:space="preserve">‎Sensitivity &lt;&gt; 'PUBLIC'‎</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‎doc.Document‎</w:t>
            </w:r>
            <w:r>
              <w:rPr>
                <w:rFonts w:ascii="Arial" w:cs="Arial" w:eastAsia="Arial" w:hAnsi="Arial"/>
                <w:b w:val="false"/>
                <w:bCs w:val="false"/>
                <w:sz w:val="18"/>
                <w:szCs w:val="18"/>
                <w:rtl/>
              </w:rPr>
              <w:t xml:space="preserve">، وحد أدنى RESTRICTED لنوع حساس بقادح. المقترح: نعم، بقيد CHECK أو محفّز</w:t>
            </w:r>
          </w:p>
        </w:tc>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w:t>
            </w:r>
          </w:p>
        </w:tc>
        <w:tc>
          <w:tcPr>
            <w:tcW w:type="dxa" w:w="2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DR-18</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DQ-S06-6</w:t>
            </w:r>
          </w:p>
        </w:tc>
        <w:tc>
          <w:tcPr>
            <w:tcW w:type="dxa" w:w="25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فحص الانحراف في CI</w:t>
            </w:r>
          </w:p>
        </w:tc>
        <w:tc>
          <w:tcPr>
            <w:tcW w:type="dxa" w:w="1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2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O-15 (20-database-design)</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DQ-S06-7</w:t>
            </w:r>
          </w:p>
        </w:tc>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تنقيح IBAN والحساب في النصوص الحرة عند الإدخال</w:t>
            </w:r>
          </w:p>
        </w:tc>
        <w:tc>
          <w:tcPr>
            <w:tcW w:type="dxa" w:w="1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2026-10-13): التطبيق يقنّع عند الإدخال، وقيد على كل </w:t>
            </w:r>
            <w:r>
              <w:rPr>
                <w:rFonts w:ascii="Courier New" w:cs="Courier New" w:eastAsia="Courier New" w:hAnsi="Courier New"/>
                <w:b w:val="false"/>
                <w:bCs w:val="false"/>
                <w:color w:val="1F2937"/>
                <w:sz w:val="16"/>
                <w:szCs w:val="16"/>
                <w:shd w:fill="F1F3F5" w:color="auto" w:val="clear"/>
                <w:rtl/>
              </w:rPr>
              <w:t xml:space="preserve">‎OriginalText‎</w:t>
            </w:r>
            <w:r>
              <w:rPr>
                <w:rFonts w:ascii="Arial" w:cs="Arial" w:eastAsia="Arial" w:hAnsi="Arial"/>
                <w:b w:val="false"/>
                <w:bCs w:val="false"/>
                <w:sz w:val="18"/>
                <w:szCs w:val="18"/>
                <w:rtl/>
              </w:rPr>
              <w:t xml:space="preserve"> ونصي التعارض و</w:t>
            </w:r>
            <w:r>
              <w:rPr>
                <w:rFonts w:ascii="Courier New" w:cs="Courier New" w:eastAsia="Courier New" w:hAnsi="Courier New"/>
                <w:b w:val="false"/>
                <w:bCs w:val="false"/>
                <w:color w:val="1F2937"/>
                <w:sz w:val="16"/>
                <w:szCs w:val="16"/>
                <w:shd w:fill="F1F3F5" w:color="auto" w:val="clear"/>
                <w:rtl/>
              </w:rPr>
              <w:t xml:space="preserve">‎ClauseText‎</w:t>
            </w:r>
            <w:r>
              <w:rPr>
                <w:rFonts w:ascii="Arial" w:cs="Arial" w:eastAsia="Arial" w:hAnsi="Arial"/>
                <w:b w:val="false"/>
                <w:bCs w:val="false"/>
                <w:sz w:val="18"/>
                <w:szCs w:val="18"/>
                <w:rtl/>
              </w:rPr>
              <w:t xml:space="preserve"> يرفض عشرة أرقام متتالية أو IBAN بمجموعات أربعة أرقام (وسم </w:t>
            </w:r>
            <w:r>
              <w:rPr>
                <w:rFonts w:ascii="Courier New" w:cs="Courier New" w:eastAsia="Courier New" w:hAnsi="Courier New"/>
                <w:b w:val="false"/>
                <w:bCs w:val="false"/>
                <w:color w:val="1F2937"/>
                <w:sz w:val="16"/>
                <w:szCs w:val="16"/>
                <w:shd w:fill="F1F3F5" w:color="auto" w:val="clear"/>
                <w:rtl/>
              </w:rPr>
              <w:t xml:space="preserve">‎redact‎</w:t>
            </w:r>
            <w:r>
              <w:rPr>
                <w:rFonts w:ascii="Arial" w:cs="Arial" w:eastAsia="Arial" w:hAnsi="Arial"/>
                <w:b w:val="false"/>
                <w:bCs w:val="false"/>
                <w:sz w:val="18"/>
                <w:szCs w:val="18"/>
                <w:rtl/>
              </w:rPr>
              <w:t xml:space="preserve"> في المولّد؛ RF25). واعتمد المالك القيد كما هو (2026-10-14): المبالغ في النص تُكتب بفواصل. المقترح: نعم، بنمط IBAN وطول الحساب، مع إبقاء الأصل في المستند</w:t>
            </w:r>
          </w:p>
        </w:tc>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 مع مسؤول الأمن</w:t>
            </w:r>
          </w:p>
        </w:tc>
        <w:tc>
          <w:tcPr>
            <w:tcW w:type="dxa" w:w="2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 S2</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DQ-S06-8</w:t>
            </w:r>
          </w:p>
        </w:tc>
        <w:tc>
          <w:tcPr>
            <w:tcW w:type="dxa" w:w="25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الإعاقة وأي فئة صحية</w:t>
            </w:r>
          </w:p>
        </w:tc>
        <w:tc>
          <w:tcPr>
            <w:tcW w:type="dxa" w:w="1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تُجمع إلا بطلب نموذج بنك، حقلًا مخصصًا مقيّدًا، بعد رأي قانوني</w:t>
            </w:r>
          </w:p>
        </w:tc>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 القانوني</w:t>
            </w:r>
          </w:p>
        </w:tc>
        <w:tc>
          <w:tcPr>
            <w:tcW w:type="dxa" w:w="2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docs/05-kyc-forms-analysis.md:73</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 DR-31، DR-18، DR-25، DR-13</w:t>
            </w:r>
          </w:p>
        </w:tc>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نتائج المراجعة</w:t>
            </w:r>
          </w:p>
        </w:tc>
        <w:tc>
          <w:tcPr>
            <w:tcW w:type="dxa" w:w="1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اعتمدها المالك 2026-10-13 ونُفّذ ما يخص القاعدة (ADR 0011): DR-13 وDR-18 كاملين، والوسم والمنع في DR-25 وDR-31 وDR-46؛ ونُفّذت شروط الدخول في القاعدة: حذف الرقم الضريبي وقراءته من </w:t>
            </w: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(S1، RF21)، وقيد يرفض IBAN والحساب غير المقنَّعين في نص الاتفاقيات (S2، RF25)، ولا نسخ لقيمة مقيّدة في المقارنة والتعديل (S3، RF33، SR3). ويبقى للتطبيق الحجب عند الإدخال وخدمة المقارنة</w:t>
            </w:r>
          </w:p>
        </w:tc>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(O-15، 20-database-design)</w:t>
            </w:r>
          </w:p>
        </w:tc>
        <w:tc>
          <w:tcPr>
            <w:tcW w:type="dxa" w:w="2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DDL قبل S0</w:t>
            </w:r>
          </w:p>
        </w:tc>
      </w:tr>
    </w:tbl>
    <w:p>
      <w:pPr>
        <w:bidi/>
        <w:spacing w:after="120" w:before="0"/>
      </w:pPr>
    </w:p>
    <w:p>
      <w:pPr>
        <w:pStyle w:val="Heading1"/>
        <w:bidi/>
      </w:pPr>
      <w:bookmarkStart w:name="_sec15" w:id="15"/>
      <w:r>
        <w:rPr>
          <w:rFonts w:ascii="Arial" w:cs="Arial" w:eastAsia="Arial" w:hAnsi="Arial"/>
          <w:b/>
          <w:bCs/>
          <w:color w:val="1F3A5F"/>
          <w:sz w:val="32"/>
          <w:szCs w:val="32"/>
          <w:rtl/>
        </w:rPr>
        <w:t xml:space="preserve">12. تعارضات وفجوات في المصادر</w:t>
      </w:r>
      <w:bookmarkEnd w:id="15"/>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docs/10-detailed-analysis/11-m2-m4-institutions-accounts-catalogs.md:581 يصنّف رقم الحساب وIBAN «سري»، بينما النموذج يسمهما مقيّدين ويشفّرهما (db/model/12-institutions-accounts-catalogs.model:386-392)، وFR-REQ-024 يسمّي IBAN «حقلًا مقيّدًا» (docs/10-detailed-analysis/13-m6-workflow-engine-notifications.md:191). تعريف المقيّدة في docs/10-detailed-analysis/10-m0-m1-platform-organization.md:581 لا يذكر الحسابات أصلًا.</w:t>
      </w:r>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docs/10-detailed-analysis/10-m0-m1-platform-organization.md:581 يقول إن المقيّدة «تُشفَّر»، بينما </w:t>
      </w:r>
      <w:r>
        <w:rPr>
          <w:rFonts w:ascii="Courier New" w:cs="Courier New" w:eastAsia="Courier New" w:hAnsi="Courier New"/>
          <w:b w:val="false"/>
          <w:bCs w:val="false"/>
          <w:color w:val="1F2937"/>
          <w:sz w:val="18"/>
          <w:szCs w:val="18"/>
          <w:shd w:fill="F1F3F5" w:color="auto" w:val="clear"/>
          <w:rtl/>
        </w:rPr>
        <w:t xml:space="preserve">‎pty.PartyCompliance‎</w:t>
      </w:r>
      <w:r>
        <w:rPr>
          <w:rFonts w:ascii="Arial" w:cs="Arial" w:eastAsia="Arial" w:hAnsi="Arial"/>
          <w:b w:val="false"/>
          <w:bCs w:val="false"/>
          <w:sz w:val="21"/>
          <w:szCs w:val="21"/>
          <w:rtl/>
        </w:rPr>
        <w:t xml:space="preserve"> (db/model/11-organization-party.model:455-465) و</w:t>
      </w:r>
      <w:r>
        <w:rPr>
          <w:rFonts w:ascii="Courier New" w:cs="Courier New" w:eastAsia="Courier New" w:hAnsi="Courier New"/>
          <w:b w:val="false"/>
          <w:bCs w:val="false"/>
          <w:color w:val="1F2937"/>
          <w:sz w:val="18"/>
          <w:szCs w:val="18"/>
          <w:shd w:fill="F1F3F5" w:color="auto" w:val="clear"/>
          <w:rtl/>
        </w:rPr>
        <w:t xml:space="preserve">‎col.Collateral.Attributes‎</w:t>
      </w:r>
      <w:r>
        <w:rPr>
          <w:rFonts w:ascii="Arial" w:cs="Arial" w:eastAsia="Arial" w:hAnsi="Arial"/>
          <w:b w:val="false"/>
          <w:bCs w:val="false"/>
          <w:sz w:val="21"/>
          <w:szCs w:val="21"/>
          <w:rtl/>
        </w:rPr>
        <w:t xml:space="preserve"> (db/model/14-collateral-obligations-financials.model:32) مقيّدة بنص صريح.</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التحليل يصنّف Party والعناوين ووسائل الاتصال والمستخدم وسجل التدقيق سرّية (docs/10-detailed-analysis/10-m0-m1-platform-organization.md:304 و309 و342-345)، والنموذج لا يسم أعمدتها (القسم 7.2).</w:t>
      </w:r>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docs/10-detailed-analysis/10-m0-m1-platform-organization.md:581 يقول إن السرّية «تُحمى بالصلاحية والنطاق والتدقيق»، بينما دور التقارير يقرؤها كلها (db/static/020_roles_and_grants.sql:41-53).</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‎doc.Document.Sensitivity‎</w:t>
      </w:r>
      <w:r>
        <w:rPr>
          <w:rFonts w:ascii="Arial" w:cs="Arial" w:eastAsia="Arial" w:hAnsi="Arial"/>
          <w:b w:val="false"/>
          <w:bCs w:val="false"/>
          <w:sz w:val="21"/>
          <w:szCs w:val="21"/>
          <w:rtl/>
        </w:rPr>
        <w:t xml:space="preserve"> افتراضيه </w:t>
      </w:r>
      <w:r>
        <w:rPr>
          <w:rFonts w:ascii="Courier New" w:cs="Courier New" w:eastAsia="Courier New" w:hAnsi="Courier New"/>
          <w:b w:val="false"/>
          <w:bCs w:val="false"/>
          <w:color w:val="1F2937"/>
          <w:sz w:val="18"/>
          <w:szCs w:val="18"/>
          <w:shd w:fill="F1F3F5" w:color="auto" w:val="clear"/>
          <w:rtl/>
        </w:rPr>
        <w:t xml:space="preserve">‎CONFIDENTIAL‎</w:t>
      </w:r>
      <w:r>
        <w:rPr>
          <w:rFonts w:ascii="Arial" w:cs="Arial" w:eastAsia="Arial" w:hAnsi="Arial"/>
          <w:b w:val="false"/>
          <w:bCs w:val="false"/>
          <w:sz w:val="21"/>
          <w:szCs w:val="21"/>
          <w:rtl/>
        </w:rPr>
        <w:t xml:space="preserve"> بلا حد أدنى (db/model/10-platform.model:370)، والتحليل يجعل المستند «مقيّدًا إن كان النوع IsSensitive» (docs/10-detailed-analysis/10-m0-m1-platform-organization.md:313).</w:t>
      </w:r>
    </w:p>
    <w:p>
      <w:pPr>
        <w:pStyle w:val="ListParagraph"/>
        <w:numPr>
          <w:ilvl w:val="0"/>
          <w:numId w:val="2"/>
        </w:numPr>
        <w:bidi/>
        <w:spacing w:after="70" w:before="0" w:line="300"/>
      </w:pPr>
      <w:r>
        <w:rPr>
          <w:rFonts w:ascii="Arial" w:cs="Arial" w:eastAsia="Arial" w:hAnsi="Arial"/>
          <w:b w:val="false"/>
          <w:bCs w:val="false"/>
          <w:sz w:val="21"/>
          <w:szCs w:val="21"/>
          <w:rtl/>
        </w:rPr>
        <w:t xml:space="preserve">اسم العلامة </w:t>
      </w:r>
      <w:r>
        <w:rPr>
          <w:rFonts w:ascii="Courier New" w:cs="Courier New" w:eastAsia="Courier New" w:hAnsi="Courier New"/>
          <w:b w:val="false"/>
          <w:bCs w:val="false"/>
          <w:color w:val="1F2937"/>
          <w:sz w:val="18"/>
          <w:szCs w:val="18"/>
          <w:shd w:fill="F1F3F5" w:color="auto" w:val="clear"/>
          <w:rtl/>
        </w:rPr>
        <w:t xml:space="preserve">‎public‎</w:t>
      </w:r>
      <w:r>
        <w:rPr>
          <w:rFonts w:ascii="Arial" w:cs="Arial" w:eastAsia="Arial" w:hAnsi="Arial"/>
          <w:b w:val="false"/>
          <w:bCs w:val="false"/>
          <w:sz w:val="21"/>
          <w:szCs w:val="21"/>
          <w:rtl/>
        </w:rPr>
        <w:t xml:space="preserve"> في لغة النموذج (tools/dbgen/README.md:39) يلتبس بالمستوى «عامة».</w:t>
      </w:r>
    </w:p>
    <w:p>
      <w:pPr>
        <w:bidi/>
        <w:spacing w:after="60" w:before="0"/>
      </w:pPr>
    </w:p>
    <w:p>
      <w:pPr>
        <w:pStyle w:val="Heading1"/>
        <w:bidi/>
      </w:pPr>
      <w:bookmarkStart w:name="_sec16" w:id="16"/>
      <w:r>
        <w:rPr>
          <w:rFonts w:ascii="Arial" w:cs="Arial" w:eastAsia="Arial" w:hAnsi="Arial"/>
          <w:b/>
          <w:bCs/>
          <w:color w:val="1F3A5F"/>
          <w:sz w:val="32"/>
          <w:szCs w:val="32"/>
          <w:rtl/>
        </w:rPr>
        <w:t xml:space="preserve">13. التتبع</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9"/>
        <w:gridCol w:w="2218"/>
        <w:gridCol w:w="6657"/>
      </w:tblGrid>
      <w:tr>
        <w:trPr>
          <w:cantSplit/>
          <w:tblHeader/>
        </w:trPr>
        <w:tc>
          <w:tcPr>
            <w:tcW w:type="dxa" w:w="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2</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«تصنيف البيانات»، عمود الحساسية في §6</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docs/10-detailed-analysis/10-m0-m1-platform-organization.md:581 و294</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3</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‎006‎</w:t>
            </w:r>
            <w:r>
              <w:rPr>
                <w:rFonts w:ascii="Arial" w:cs="Arial" w:eastAsia="Arial" w:hAnsi="Arial"/>
                <w:b w:val="false"/>
                <w:bCs w:val="false"/>
                <w:sz w:val="18"/>
                <w:szCs w:val="18"/>
                <w:rtl/>
              </w:rPr>
              <w:t xml:space="preserve">، T21 وT23</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db/generated/tsql/006_sensitive_columns.sql:7-35؛ db/tests/tenant_isolation_tests.sql:704-731</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X-SEC-3، BR-PTY-008، BR-PTY-009، FR-PLT-023، BR-PLT-016، FR-PLT-042</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docs/10-detailed-analysis/00-overview-and-cross-cutting.md:138؛ docs/10-detailed-analysis/10-m0-m1-platform-organization.md:279-280 و125 و242 و144</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 FR-PLT-037</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docs/10-detailed-analysis/10-m0-m1-platform-organization.md:196 و139</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6.1</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DR-08</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docs/review/design-review-2026-10-11.json:95</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7.1</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 DR-31، DR-18، DR-25، DR-13، O-15 (20-database-design)</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docs/review/design-review-2026-10-11.json:486 و330 و200 و270 و150؛ docs/20-database-design.md:543</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8</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FR-PLT-028، FR-PLT-030، BR-PTY-010، FR-PTY-009</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docs/10-detailed-analysis/10-m0-m1-platform-organization.md:130 و132 و281 و199</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10</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O-15 (20-database-design)</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docs/20-database-design.md:543</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11، DQ-S06-8</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BR-PTY-019، G-12</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docs/10-detailed-analysis/10-m0-m1-platform-organization.md:290؛ docs/05-kyc-forms-analysis.md:73</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DOC-S06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cd0d4836280f9ed039828c3ba67165f25b80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DOC-S06 — معيار تصنيف البيانات وحمايتها على مستوى الأعمدة والملفات</dc:title>
  <dc:creator>Claude</dc:creator>
  <dc:description>BankFas database design document</dc:description>
  <cp:lastModifiedBy>Un-named</cp:lastModifiedBy>
  <cp:revision>1</cp:revision>
  <dcterms:created xsi:type="dcterms:W3CDTF">2026-10-20T20:48:37.962Z</dcterms:created>
  <dcterms:modified xsi:type="dcterms:W3CDTF">2026-10-20T20:48:37.962Z</dcterms:modified>
</cp:coreProperties>
</file>

<file path=docProps/custom.xml><?xml version="1.0" encoding="utf-8"?>
<Properties xmlns="http://schemas.openxmlformats.org/officeDocument/2006/custom-properties" xmlns:vt="http://schemas.openxmlformats.org/officeDocument/2006/docPropsVTypes"/>
</file>