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pPr>
      <w:r>
        <w:rPr>
          <w:rFonts w:ascii="Arial" w:cs="Arial" w:eastAsia="Arial" w:hAnsi="Arial"/>
          <w:b/>
          <w:bCs/>
          <w:color w:val="1F3A5F"/>
          <w:sz w:val="48"/>
          <w:szCs w:val="48"/>
          <w:rtl/>
        </w:rPr>
        <w:t xml:space="preserve">حزمة المراجعة الخارجية: قاعدة بيانات منصة الخزينة ومستندات الجاهزية</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54"/>
        <w:gridCol w:w="7610"/>
      </w:tblGrid>
      <w:tr>
        <w:trPr>
          <w:cantSplit/>
          <w:tblHeader/>
        </w:trPr>
        <w:tc>
          <w:tcPr>
            <w:tcW w:type="dxa" w:w="22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761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القيمة</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المنتج</w:t>
            </w:r>
          </w:p>
        </w:tc>
        <w:tc>
          <w:tcPr>
            <w:tcW w:type="dxa" w:w="7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منصة إدارة الخزينة متعددة المشتركين (BankFas)</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الحالة</w:t>
            </w:r>
          </w:p>
        </w:tc>
        <w:tc>
          <w:tcPr>
            <w:tcW w:type="dxa" w:w="7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البيانات ومستندات الجاهزية جاهزة للمراجعة المستقلة بعد مراجعة ذاتية شاملة (2026-10-18)، ومعها وحدة الميزانية والتقييم الائتماني للقوائم؛ لم يُكتب كود التطبيق بعد</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التاريخ</w:t>
            </w:r>
          </w:p>
        </w:tc>
        <w:tc>
          <w:tcPr>
            <w:tcW w:type="dxa" w:w="7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2026-10-18</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المستودع والفرع</w:t>
            </w:r>
          </w:p>
        </w:tc>
        <w:tc>
          <w:tcPr>
            <w:tcW w:type="dxa" w:w="7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‎thawrasy/smartlines‎</w:t>
            </w:r>
            <w:r>
              <w:rPr>
                <w:rFonts w:ascii="Arial" w:cs="Arial" w:eastAsia="Arial" w:hAnsi="Arial"/>
                <w:b w:val="false"/>
                <w:bCs w:val="false"/>
                <w:sz w:val="18"/>
                <w:szCs w:val="18"/>
                <w:rtl/>
              </w:rPr>
              <w:t xml:space="preserve">، الفرع </w:t>
            </w:r>
            <w:r>
              <w:rPr>
                <w:rFonts w:ascii="Courier New" w:cs="Courier New" w:eastAsia="Courier New" w:hAnsi="Courier New"/>
                <w:b w:val="false"/>
                <w:bCs w:val="false"/>
                <w:color w:val="1F2937"/>
                <w:sz w:val="16"/>
                <w:szCs w:val="16"/>
                <w:shd w:fill="F1F3F5" w:color="auto" w:val="clear"/>
                <w:rtl/>
              </w:rPr>
              <w:t xml:space="preserve">‎claude/quirky-gauss-z7hyro‎</w:t>
            </w:r>
            <w:r>
              <w:rPr>
                <w:rFonts w:ascii="Arial" w:cs="Arial" w:eastAsia="Arial" w:hAnsi="Arial"/>
                <w:b w:val="false"/>
                <w:bCs w:val="false"/>
                <w:sz w:val="18"/>
                <w:szCs w:val="18"/>
                <w:rtl/>
              </w:rPr>
              <w:t xml:space="preserve">، المجلد </w:t>
            </w:r>
            <w:r>
              <w:rPr>
                <w:rFonts w:ascii="Courier New" w:cs="Courier New" w:eastAsia="Courier New" w:hAnsi="Courier New"/>
                <w:b w:val="false"/>
                <w:bCs w:val="false"/>
                <w:color w:val="1F2937"/>
                <w:sz w:val="16"/>
                <w:szCs w:val="16"/>
                <w:shd w:fill="F1F3F5" w:color="auto" w:val="clear"/>
                <w:rtl/>
              </w:rPr>
              <w:t xml:space="preserve">‎treasury-platform/‎</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المراجِع المقصود</w:t>
            </w:r>
          </w:p>
        </w:tc>
        <w:tc>
          <w:tcPr>
            <w:tcW w:type="dxa" w:w="761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معماري قواعد بيانات أو مراجع أمني مستقل لم يشارك في التصميم</w:t>
            </w:r>
          </w:p>
        </w:tc>
      </w:tr>
      <w:tr>
        <w:trPr>
          <w:cantSplit/>
        </w:trPr>
        <w:tc>
          <w:tcPr>
            <w:tcW w:type="dxa" w:w="2254"/>
            <w:tcBorders>
              <w:top w:val="single" w:color="BFC9D6" w:sz="4"/>
              <w:left w:val="single" w:color="BFC9D6" w:sz="4"/>
              <w:bottom w:val="single" w:color="BFC9D6" w:sz="4"/>
              <w:right w:val="single" w:color="BFC9D6" w:sz="4"/>
            </w:tcBorders>
            <w:shd w:fill="E8EEF6"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اللغة</w:t>
            </w:r>
          </w:p>
        </w:tc>
        <w:tc>
          <w:tcPr>
            <w:tcW w:type="dxa" w:w="761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المستندات بالعربية، والنموذج والـSQL والسكربتات وسجلات القرار المعمارية (ADR) بالإنجليزية</w:t>
            </w:r>
          </w:p>
        </w:tc>
      </w:tr>
    </w:tbl>
    <w:p>
      <w:pPr>
        <w:bidi/>
        <w:spacing w:after="120" w:before="0"/>
      </w:pPr>
    </w:p>
    <w:p>
      <w:pPr>
        <w:pBdr>
          <w:bottom w:val="single" w:color="1F3A5F" w:sz="8" w:space="4"/>
        </w:pBdr>
        <w:bidi/>
        <w:spacing w:after="100" w:before="280"/>
      </w:pPr>
      <w:r>
        <w:rPr>
          <w:rFonts w:ascii="Arial" w:cs="Arial" w:eastAsia="Arial" w:hAnsi="Arial"/>
          <w:b/>
          <w:bCs/>
          <w:color w:val="1F3A5F"/>
          <w:sz w:val="32"/>
          <w:szCs w:val="32"/>
          <w:rtl/>
        </w:rPr>
        <w:t xml:space="preserve">المحتويات</w:t>
      </w:r>
    </w:p>
    <w:p>
      <w:pPr>
        <w:bidi/>
        <w:spacing w:after="50" w:before="0"/>
        <w:ind w:left="0"/>
      </w:pPr>
      <w:hyperlink w:history="1" w:anchor="_sec1">
        <w:r>
          <w:rPr>
            <w:rFonts w:ascii="Arial" w:cs="Arial" w:eastAsia="Arial" w:hAnsi="Arial"/>
            <w:b/>
            <w:bCs/>
            <w:color w:val="1F3A5F"/>
            <w:sz w:val="20"/>
            <w:szCs w:val="20"/>
            <w:rtl/>
          </w:rPr>
          <w:t xml:space="preserve">1. الغرض</w:t>
        </w:r>
      </w:hyperlink>
    </w:p>
    <w:p>
      <w:pPr>
        <w:bidi/>
        <w:spacing w:after="50" w:before="0"/>
        <w:ind w:left="0"/>
      </w:pPr>
      <w:hyperlink w:history="1" w:anchor="_sec2">
        <w:r>
          <w:rPr>
            <w:rFonts w:ascii="Arial" w:cs="Arial" w:eastAsia="Arial" w:hAnsi="Arial"/>
            <w:b/>
            <w:bCs/>
            <w:color w:val="1F3A5F"/>
            <w:sz w:val="20"/>
            <w:szCs w:val="20"/>
            <w:rtl/>
          </w:rPr>
          <w:t xml:space="preserve">2. ما الذي تغيّر منذ المراجعة السابقة</w:t>
        </w:r>
      </w:hyperlink>
    </w:p>
    <w:p>
      <w:pPr>
        <w:bidi/>
        <w:spacing w:after="50" w:before="0"/>
        <w:ind w:left="0"/>
      </w:pPr>
      <w:hyperlink w:history="1" w:anchor="_sec3">
        <w:r>
          <w:rPr>
            <w:rFonts w:ascii="Arial" w:cs="Arial" w:eastAsia="Arial" w:hAnsi="Arial"/>
            <w:b/>
            <w:bCs/>
            <w:color w:val="1F3A5F"/>
            <w:sz w:val="20"/>
            <w:szCs w:val="20"/>
            <w:rtl/>
          </w:rPr>
          <w:t xml:space="preserve">3. خريطة المواد</w:t>
        </w:r>
      </w:hyperlink>
    </w:p>
    <w:p>
      <w:pPr>
        <w:bidi/>
        <w:spacing w:after="50" w:before="0"/>
        <w:ind w:left="0"/>
      </w:pPr>
      <w:hyperlink w:history="1" w:anchor="_sec8">
        <w:r>
          <w:rPr>
            <w:rFonts w:ascii="Arial" w:cs="Arial" w:eastAsia="Arial" w:hAnsi="Arial"/>
            <w:b/>
            <w:bCs/>
            <w:color w:val="1F3A5F"/>
            <w:sz w:val="20"/>
            <w:szCs w:val="20"/>
            <w:rtl/>
          </w:rPr>
          <w:t xml:space="preserve">4. إعادة إنتاج النتيجة</w:t>
        </w:r>
      </w:hyperlink>
    </w:p>
    <w:p>
      <w:pPr>
        <w:bidi/>
        <w:spacing w:after="50" w:before="0"/>
        <w:ind w:left="0"/>
      </w:pPr>
      <w:hyperlink w:history="1" w:anchor="_sec12">
        <w:r>
          <w:rPr>
            <w:rFonts w:ascii="Arial" w:cs="Arial" w:eastAsia="Arial" w:hAnsi="Arial"/>
            <w:b/>
            <w:bCs/>
            <w:color w:val="1F3A5F"/>
            <w:sz w:val="20"/>
            <w:szCs w:val="20"/>
            <w:rtl/>
          </w:rPr>
          <w:t xml:space="preserve">5. الأدلة</w:t>
        </w:r>
      </w:hyperlink>
    </w:p>
    <w:p>
      <w:pPr>
        <w:bidi/>
        <w:spacing w:after="50" w:before="0"/>
        <w:ind w:left="0"/>
      </w:pPr>
      <w:hyperlink w:history="1" w:anchor="_sec13">
        <w:r>
          <w:rPr>
            <w:rFonts w:ascii="Arial" w:cs="Arial" w:eastAsia="Arial" w:hAnsi="Arial"/>
            <w:b/>
            <w:bCs/>
            <w:color w:val="1F3A5F"/>
            <w:sz w:val="20"/>
            <w:szCs w:val="20"/>
            <w:rtl/>
          </w:rPr>
          <w:t xml:space="preserve">6. أنماط تصميم يحسن أن يعرفها المراجع</w:t>
        </w:r>
      </w:hyperlink>
    </w:p>
    <w:p>
      <w:pPr>
        <w:bidi/>
        <w:spacing w:after="50" w:before="0"/>
        <w:ind w:left="0"/>
      </w:pPr>
      <w:hyperlink w:history="1" w:anchor="_sec14">
        <w:r>
          <w:rPr>
            <w:rFonts w:ascii="Arial" w:cs="Arial" w:eastAsia="Arial" w:hAnsi="Arial"/>
            <w:b/>
            <w:bCs/>
            <w:color w:val="1F3A5F"/>
            <w:sz w:val="20"/>
            <w:szCs w:val="20"/>
            <w:rtl/>
          </w:rPr>
          <w:t xml:space="preserve">7. الحدود المعروفة والمؤجل</w:t>
        </w:r>
      </w:hyperlink>
    </w:p>
    <w:p>
      <w:pPr>
        <w:bidi/>
        <w:spacing w:after="50" w:before="0"/>
        <w:ind w:left="0"/>
      </w:pPr>
      <w:hyperlink w:history="1" w:anchor="_sec15">
        <w:r>
          <w:rPr>
            <w:rFonts w:ascii="Arial" w:cs="Arial" w:eastAsia="Arial" w:hAnsi="Arial"/>
            <w:b/>
            <w:bCs/>
            <w:color w:val="1F3A5F"/>
            <w:sz w:val="20"/>
            <w:szCs w:val="20"/>
            <w:rtl/>
          </w:rPr>
          <w:t xml:space="preserve">8. أسئلة نطلب رأي المراجع فيها</w:t>
        </w:r>
      </w:hyperlink>
    </w:p>
    <w:p>
      <w:pPr>
        <w:bidi/>
        <w:spacing w:after="50" w:before="0"/>
        <w:ind w:left="0"/>
      </w:pPr>
      <w:hyperlink w:history="1" w:anchor="_sec16">
        <w:r>
          <w:rPr>
            <w:rFonts w:ascii="Arial" w:cs="Arial" w:eastAsia="Arial" w:hAnsi="Arial"/>
            <w:b/>
            <w:bCs/>
            <w:color w:val="1F3A5F"/>
            <w:sz w:val="20"/>
            <w:szCs w:val="20"/>
            <w:rtl/>
          </w:rPr>
          <w:t xml:space="preserve">9. طريقة إرسال النتائج</w:t>
        </w:r>
      </w:hyperlink>
    </w:p>
    <w:p>
      <w:r>
        <w:br w:type="page"/>
      </w:r>
    </w:p>
    <w:p>
      <w:pPr>
        <w:pStyle w:val="Heading1"/>
        <w:bidi/>
      </w:pPr>
      <w:bookmarkStart w:name="_sec1" w:id="1"/>
      <w:r>
        <w:rPr>
          <w:rFonts w:ascii="Arial" w:cs="Arial" w:eastAsia="Arial" w:hAnsi="Arial"/>
          <w:b/>
          <w:bCs/>
          <w:color w:val="1F3A5F"/>
          <w:sz w:val="32"/>
          <w:szCs w:val="32"/>
          <w:rtl/>
        </w:rPr>
        <w:t xml:space="preserve">1. الغرض</w:t>
      </w:r>
      <w:bookmarkEnd w:id="1"/>
    </w:p>
    <w:p>
      <w:pPr>
        <w:bidi/>
        <w:spacing w:after="110" w:before="0" w:line="312"/>
      </w:pPr>
      <w:r>
        <w:rPr>
          <w:rFonts w:ascii="Arial" w:cs="Arial" w:eastAsia="Arial" w:hAnsi="Arial"/>
          <w:b w:val="false"/>
          <w:bCs w:val="false"/>
          <w:sz w:val="21"/>
          <w:szCs w:val="21"/>
          <w:rtl/>
        </w:rPr>
        <w:t xml:space="preserve">تسلّم هذه الحزمة إلى مراجع خارجي قبل بدء كود الشريحة S0. وتجيب عن أربعة أسئلة:</w:t>
      </w:r>
    </w:p>
    <w:p>
      <w:pPr>
        <w:pStyle w:val="ListParagraph"/>
        <w:numPr>
          <w:ilvl w:val="0"/>
          <w:numId w:val="2"/>
        </w:numPr>
        <w:bidi/>
        <w:spacing w:after="70" w:before="0" w:line="300"/>
      </w:pPr>
      <w:r>
        <w:rPr>
          <w:rFonts w:ascii="Arial" w:cs="Arial" w:eastAsia="Arial" w:hAnsi="Arial"/>
          <w:b/>
          <w:bCs/>
          <w:sz w:val="21"/>
          <w:szCs w:val="21"/>
          <w:rtl/>
        </w:rPr>
        <w:t xml:space="preserve">ما الذي يُراجَع؟</w:t>
      </w:r>
      <w:r>
        <w:rPr>
          <w:rFonts w:ascii="Arial" w:cs="Arial" w:eastAsia="Arial" w:hAnsi="Arial"/>
          <w:b w:val="false"/>
          <w:bCs w:val="false"/>
          <w:sz w:val="21"/>
          <w:szCs w:val="21"/>
          <w:rtl/>
        </w:rPr>
        <w:t xml:space="preserve"> خريطة المواد في القسم 3.</w:t>
      </w:r>
    </w:p>
    <w:p>
      <w:pPr>
        <w:pStyle w:val="ListParagraph"/>
        <w:numPr>
          <w:ilvl w:val="0"/>
          <w:numId w:val="2"/>
        </w:numPr>
        <w:bidi/>
        <w:spacing w:after="70" w:before="0" w:line="300"/>
      </w:pPr>
      <w:r>
        <w:rPr>
          <w:rFonts w:ascii="Arial" w:cs="Arial" w:eastAsia="Arial" w:hAnsi="Arial"/>
          <w:b/>
          <w:bCs/>
          <w:sz w:val="21"/>
          <w:szCs w:val="21"/>
          <w:rtl/>
        </w:rPr>
        <w:t xml:space="preserve">كيف يُعاد إنتاج النتيجة؟</w:t>
      </w:r>
      <w:r>
        <w:rPr>
          <w:rFonts w:ascii="Arial" w:cs="Arial" w:eastAsia="Arial" w:hAnsi="Arial"/>
          <w:b w:val="false"/>
          <w:bCs w:val="false"/>
          <w:sz w:val="21"/>
          <w:szCs w:val="21"/>
          <w:rtl/>
        </w:rPr>
        <w:t xml:space="preserve"> الأوامر والنتائج المتوقعة في القسم 4.</w:t>
      </w:r>
    </w:p>
    <w:p>
      <w:pPr>
        <w:pStyle w:val="ListParagraph"/>
        <w:numPr>
          <w:ilvl w:val="0"/>
          <w:numId w:val="2"/>
        </w:numPr>
        <w:bidi/>
        <w:spacing w:after="70" w:before="0" w:line="300"/>
      </w:pPr>
      <w:r>
        <w:rPr>
          <w:rFonts w:ascii="Arial" w:cs="Arial" w:eastAsia="Arial" w:hAnsi="Arial"/>
          <w:b/>
          <w:bCs/>
          <w:sz w:val="21"/>
          <w:szCs w:val="21"/>
          <w:rtl/>
        </w:rPr>
        <w:t xml:space="preserve">ما الأدلة الموجودة؟</w:t>
      </w:r>
      <w:r>
        <w:rPr>
          <w:rFonts w:ascii="Arial" w:cs="Arial" w:eastAsia="Arial" w:hAnsi="Arial"/>
          <w:b w:val="false"/>
          <w:bCs w:val="false"/>
          <w:sz w:val="21"/>
          <w:szCs w:val="21"/>
          <w:rtl/>
        </w:rPr>
        <w:t xml:space="preserve"> القسم 5.</w:t>
      </w:r>
    </w:p>
    <w:p>
      <w:pPr>
        <w:pStyle w:val="ListParagraph"/>
        <w:numPr>
          <w:ilvl w:val="0"/>
          <w:numId w:val="2"/>
        </w:numPr>
        <w:bidi/>
        <w:spacing w:after="70" w:before="0" w:line="300"/>
      </w:pPr>
      <w:r>
        <w:rPr>
          <w:rFonts w:ascii="Arial" w:cs="Arial" w:eastAsia="Arial" w:hAnsi="Arial"/>
          <w:b/>
          <w:bCs/>
          <w:sz w:val="21"/>
          <w:szCs w:val="21"/>
          <w:rtl/>
        </w:rPr>
        <w:t xml:space="preserve">أين نطلب رأي المراجع تحديدًا؟</w:t>
      </w:r>
      <w:r>
        <w:rPr>
          <w:rFonts w:ascii="Arial" w:cs="Arial" w:eastAsia="Arial" w:hAnsi="Arial"/>
          <w:b w:val="false"/>
          <w:bCs w:val="false"/>
          <w:sz w:val="21"/>
          <w:szCs w:val="21"/>
          <w:rtl/>
        </w:rPr>
        <w:t xml:space="preserve"> الأسئلة في القسم 8.</w:t>
      </w:r>
    </w:p>
    <w:p>
      <w:pPr>
        <w:bidi/>
        <w:spacing w:after="60" w:before="0"/>
      </w:pPr>
    </w:p>
    <w:p>
      <w:pPr>
        <w:bidi/>
        <w:spacing w:after="110" w:before="0" w:line="312"/>
      </w:pPr>
      <w:r>
        <w:rPr>
          <w:rFonts w:ascii="Arial" w:cs="Arial" w:eastAsia="Arial" w:hAnsi="Arial"/>
          <w:b w:val="false"/>
          <w:bCs w:val="false"/>
          <w:sz w:val="21"/>
          <w:szCs w:val="21"/>
          <w:rtl/>
        </w:rPr>
        <w:t xml:space="preserve">ولا تدّعي الحزمة أن التصميم خالٍ من العيوب. فالقسم 7 يسرد الحدود المعروفة والبنود المؤجلة كما هي.</w:t>
      </w:r>
    </w:p>
    <w:p>
      <w:pPr>
        <w:pStyle w:val="Heading1"/>
        <w:bidi/>
      </w:pPr>
      <w:bookmarkStart w:name="_sec2" w:id="2"/>
      <w:r>
        <w:rPr>
          <w:rFonts w:ascii="Arial" w:cs="Arial" w:eastAsia="Arial" w:hAnsi="Arial"/>
          <w:b/>
          <w:bCs/>
          <w:color w:val="1F3A5F"/>
          <w:sz w:val="32"/>
          <w:szCs w:val="32"/>
          <w:rtl/>
        </w:rPr>
        <w:t xml:space="preserve">2. ما الذي تغيّر منذ المراجعة السابقة</w:t>
      </w:r>
      <w:bookmarkEnd w:id="2"/>
    </w:p>
    <w:p>
      <w:pPr>
        <w:bidi/>
        <w:spacing w:after="110" w:before="0" w:line="312"/>
      </w:pPr>
      <w:r>
        <w:rPr>
          <w:rFonts w:ascii="Arial" w:cs="Arial" w:eastAsia="Arial" w:hAnsi="Arial"/>
          <w:b w:val="false"/>
          <w:bCs w:val="false"/>
          <w:sz w:val="21"/>
          <w:szCs w:val="21"/>
          <w:rtl/>
        </w:rPr>
        <w:t xml:space="preserve">راجع خمسة مراجعين التصميمَ في 2026-10-11، ووجدوا 50 نتيجة: 10 حرجة و36 رئيسية و4 طفيفة (</w:t>
      </w:r>
      <w:r>
        <w:rPr>
          <w:rFonts w:ascii="Courier New" w:cs="Courier New" w:eastAsia="Courier New" w:hAnsi="Courier New"/>
          <w:b w:val="false"/>
          <w:bCs w:val="false"/>
          <w:color w:val="1F2937"/>
          <w:sz w:val="18"/>
          <w:szCs w:val="18"/>
          <w:shd w:fill="F1F3F5" w:color="auto" w:val="clear"/>
          <w:rtl/>
        </w:rPr>
        <w:t xml:space="preserve">‎docs/review/design-review-2026-10-11.json‎</w:t>
      </w:r>
      <w:r>
        <w:rPr>
          <w:rFonts w:ascii="Arial" w:cs="Arial" w:eastAsia="Arial" w:hAnsi="Arial"/>
          <w:b w:val="false"/>
          <w:bCs w:val="false"/>
          <w:sz w:val="21"/>
          <w:szCs w:val="21"/>
          <w:rtl/>
        </w:rPr>
        <w:t xml:space="preserve">).</w:t>
      </w:r>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62"/>
        <w:gridCol w:w="3338"/>
        <w:gridCol w:w="5464"/>
      </w:tblGrid>
      <w:tr>
        <w:trPr>
          <w:cantSplit/>
          <w:tblHeader/>
        </w:trPr>
        <w:tc>
          <w:tcPr>
            <w:tcW w:type="dxa" w:w="106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المرحلة</w:t>
            </w:r>
          </w:p>
        </w:tc>
        <w:tc>
          <w:tcPr>
            <w:tcW w:type="dxa" w:w="333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طُبّق</w:t>
            </w:r>
          </w:p>
        </w:tc>
        <w:tc>
          <w:tcPr>
            <w:tcW w:type="dxa" w:w="54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الحرجة العشر</w:t>
            </w:r>
          </w:p>
        </w:tc>
        <w:tc>
          <w:tcPr>
            <w:tcW w:type="dxa" w:w="3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مُطبَّقة في النموذج والـDDL</w:t>
            </w:r>
          </w:p>
        </w:tc>
        <w:tc>
          <w:tcPr>
            <w:tcW w:type="dxa" w:w="5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C-12</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الدفعة (أ)</w:t>
            </w:r>
          </w:p>
        </w:tc>
        <w:tc>
          <w:tcPr>
            <w:tcW w:type="dxa" w:w="3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33 نتيجة كلها أو جزئيًا: المولّد والنموذج و</w:t>
            </w:r>
            <w:r>
              <w:rPr>
                <w:rFonts w:ascii="Courier New" w:cs="Courier New" w:eastAsia="Courier New" w:hAnsi="Courier New"/>
                <w:b w:val="false"/>
                <w:bCs w:val="false"/>
                <w:color w:val="1F2937"/>
                <w:sz w:val="16"/>
                <w:szCs w:val="16"/>
                <w:shd w:fill="F1F3F5" w:color="auto" w:val="clear"/>
                <w:rtl/>
              </w:rPr>
              <w:t xml:space="preserve">‎043_review_guards.sql‎</w:t>
            </w:r>
          </w:p>
        </w:tc>
        <w:tc>
          <w:tcPr>
            <w:tcW w:type="dxa" w:w="5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0011؛ RF1 إلى RF18</w:t>
            </w:r>
          </w:p>
        </w:tc>
      </w:tr>
      <w:tr>
        <w:trPr>
          <w:cantSplit/>
        </w:trPr>
        <w:tc>
          <w:tcPr>
            <w:tcW w:type="dxa" w:w="106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الدفعة (ب): شروط دخول الشرائح S1 إلى S4</w:t>
            </w:r>
          </w:p>
        </w:tc>
        <w:tc>
          <w:tcPr>
            <w:tcW w:type="dxa" w:w="333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البنود، في النموذج و</w:t>
            </w:r>
            <w:r>
              <w:rPr>
                <w:rFonts w:ascii="Courier New" w:cs="Courier New" w:eastAsia="Courier New" w:hAnsi="Courier New"/>
                <w:b w:val="false"/>
                <w:bCs w:val="false"/>
                <w:color w:val="1F2937"/>
                <w:sz w:val="16"/>
                <w:szCs w:val="16"/>
                <w:shd w:fill="F1F3F5" w:color="auto" w:val="clear"/>
                <w:rtl/>
              </w:rPr>
              <w:t xml:space="preserve">‎044_entry_guards.sql‎</w:t>
            </w:r>
          </w:p>
        </w:tc>
        <w:tc>
          <w:tcPr>
            <w:tcW w:type="dxa" w:w="54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تعديلات ADR 0011؛ RF19 إلى RF34</w:t>
            </w:r>
          </w:p>
        </w:tc>
      </w:tr>
      <w:tr>
        <w:trPr>
          <w:cantSplit/>
        </w:trPr>
        <w:tc>
          <w:tcPr>
            <w:tcW w:type="dxa" w:w="106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النتيجة</w:t>
            </w:r>
          </w:p>
        </w:tc>
        <w:tc>
          <w:tcPr>
            <w:tcW w:type="dxa" w:w="333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49 مُطبَّقة وواحدة محلولة بنتيجة أخرى (DR-20 بـ DR-02)</w:t>
            </w:r>
          </w:p>
        </w:tc>
        <w:tc>
          <w:tcPr>
            <w:tcW w:type="dxa" w:w="54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‎docs/32-review-findings-decisions.md‎</w:t>
            </w:r>
            <w:r>
              <w:rPr>
                <w:rFonts w:ascii="Arial" w:cs="Arial" w:eastAsia="Arial" w:hAnsi="Arial"/>
                <w:b w:val="false"/>
                <w:bCs w:val="false"/>
                <w:sz w:val="18"/>
                <w:szCs w:val="18"/>
                <w:rtl/>
              </w:rPr>
              <w:t xml:space="preserve"> §5</w:t>
            </w:r>
          </w:p>
        </w:tc>
      </w:tr>
    </w:tbl>
    <w:p>
      <w:pPr>
        <w:bidi/>
        <w:spacing w:after="120" w:before="0"/>
      </w:pPr>
    </w:p>
    <w:p>
      <w:pPr>
        <w:bidi/>
        <w:spacing w:after="110" w:before="0" w:line="312"/>
      </w:pPr>
      <w:r>
        <w:rPr>
          <w:rFonts w:ascii="Arial" w:cs="Arial" w:eastAsia="Arial" w:hAnsi="Arial"/>
          <w:b w:val="false"/>
          <w:bCs w:val="false"/>
          <w:sz w:val="21"/>
          <w:szCs w:val="21"/>
          <w:rtl/>
        </w:rPr>
        <w:t xml:space="preserve">وأُضيف بعد المراجعة أيضًا:</w:t>
      </w:r>
    </w:p>
    <w:p>
      <w:pPr>
        <w:pStyle w:val="ListParagraph"/>
        <w:numPr>
          <w:ilvl w:val="0"/>
          <w:numId w:val="3"/>
        </w:numPr>
        <w:bidi/>
        <w:spacing w:after="70" w:before="0" w:line="300"/>
      </w:pPr>
      <w:r>
        <w:rPr>
          <w:rFonts w:ascii="Arial" w:cs="Arial" w:eastAsia="Arial" w:hAnsi="Arial"/>
          <w:b w:val="false"/>
          <w:bCs w:val="false"/>
          <w:sz w:val="21"/>
          <w:szCs w:val="21"/>
          <w:rtl/>
        </w:rPr>
        <w:t xml:space="preserve">تدقيق خادم SQL Server ونوافذ الصيانة المعلنة وقواعد التنبيه AL-18 (ADR 0012).</w:t>
      </w:r>
    </w:p>
    <w:p>
      <w:pPr>
        <w:pStyle w:val="ListParagraph"/>
        <w:numPr>
          <w:ilvl w:val="0"/>
          <w:numId w:val="3"/>
        </w:numPr>
        <w:bidi/>
        <w:spacing w:after="70" w:before="0" w:line="300"/>
      </w:pPr>
      <w:r>
        <w:rPr>
          <w:rFonts w:ascii="Arial" w:cs="Arial" w:eastAsia="Arial" w:hAnsi="Arial"/>
          <w:b w:val="false"/>
          <w:bCs w:val="false"/>
          <w:sz w:val="21"/>
          <w:szCs w:val="21"/>
          <w:rtl/>
        </w:rPr>
        <w:t xml:space="preserve">حساب مراقبة بصلاحيات العرض وحدها، وفحص ما بعد النشر يعمل به (ADR 0013).</w:t>
      </w:r>
    </w:p>
    <w:p>
      <w:pPr>
        <w:pStyle w:val="ListParagraph"/>
        <w:numPr>
          <w:ilvl w:val="0"/>
          <w:numId w:val="3"/>
        </w:numPr>
        <w:bidi/>
        <w:spacing w:after="70" w:before="0" w:line="300"/>
      </w:pPr>
      <w:r>
        <w:rPr>
          <w:rFonts w:ascii="Arial" w:cs="Arial" w:eastAsia="Arial" w:hAnsi="Arial"/>
          <w:b w:val="false"/>
          <w:bCs w:val="false"/>
          <w:sz w:val="21"/>
          <w:szCs w:val="21"/>
          <w:rtl/>
        </w:rPr>
        <w:t xml:space="preserve">الفحص التمهيدي للنشر، وسجل الإصدارات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 وبوابة الإصدارات G4 (ADR 0014).</w:t>
      </w:r>
    </w:p>
    <w:p>
      <w:pPr>
        <w:bidi/>
        <w:spacing w:after="60" w:before="0"/>
      </w:pPr>
    </w:p>
    <w:p>
      <w:pPr>
        <w:bidi/>
        <w:spacing w:after="110" w:before="0" w:line="312"/>
      </w:pPr>
      <w:r>
        <w:rPr>
          <w:rFonts w:ascii="Arial" w:cs="Arial" w:eastAsia="Arial" w:hAnsi="Arial"/>
          <w:b/>
          <w:bCs/>
          <w:sz w:val="21"/>
          <w:szCs w:val="21"/>
          <w:rtl/>
        </w:rPr>
        <w:t xml:space="preserve">المراجعة الذاتية (2026-10-18).</w:t>
      </w:r>
      <w:r>
        <w:rPr>
          <w:rFonts w:ascii="Arial" w:cs="Arial" w:eastAsia="Arial" w:hAnsi="Arial"/>
          <w:b w:val="false"/>
          <w:bCs w:val="false"/>
          <w:sz w:val="21"/>
          <w:szCs w:val="21"/>
          <w:rtl/>
        </w:rPr>
        <w:t xml:space="preserve"> قبل إرسال الحزمة أعدنا تقييمها كاملة بخمس عدسات، فوجدنا 63 ملاحظة. أُصلح منها 51، وأُكملت 8 مع وحدة الميزانية، وبقيت 4 بحدودها. ومن أهمها:</w:t>
      </w:r>
    </w:p>
    <w:p>
      <w:pPr>
        <w:pStyle w:val="ListParagraph"/>
        <w:numPr>
          <w:ilvl w:val="0"/>
          <w:numId w:val="3"/>
        </w:numPr>
        <w:bidi/>
        <w:spacing w:after="70" w:before="0" w:line="300"/>
      </w:pPr>
      <w:r>
        <w:rPr>
          <w:rFonts w:ascii="Arial" w:cs="Arial" w:eastAsia="Arial" w:hAnsi="Arial"/>
          <w:b w:val="false"/>
          <w:bCs w:val="false"/>
          <w:sz w:val="21"/>
          <w:szCs w:val="21"/>
          <w:rtl/>
        </w:rPr>
        <w:t xml:space="preserve">تجميد صفوف المراجعة المعتمدة للتسهيل في القاعدة؛</w:t>
      </w:r>
    </w:p>
    <w:p>
      <w:pPr>
        <w:pStyle w:val="ListParagraph"/>
        <w:numPr>
          <w:ilvl w:val="0"/>
          <w:numId w:val="3"/>
        </w:numPr>
        <w:bidi/>
        <w:spacing w:after="70" w:before="0" w:line="300"/>
      </w:pPr>
      <w:r>
        <w:rPr>
          <w:rFonts w:ascii="Arial" w:cs="Arial" w:eastAsia="Arial" w:hAnsi="Arial"/>
          <w:b w:val="false"/>
          <w:bCs w:val="false"/>
          <w:sz w:val="21"/>
          <w:szCs w:val="21"/>
          <w:rtl/>
        </w:rPr>
        <w:t xml:space="preserve">عتبة التعهد نفسها في كل تقييم؛</w:t>
      </w:r>
    </w:p>
    <w:p>
      <w:pPr>
        <w:pStyle w:val="ListParagraph"/>
        <w:numPr>
          <w:ilvl w:val="0"/>
          <w:numId w:val="3"/>
        </w:numPr>
        <w:bidi/>
        <w:spacing w:after="70" w:before="0" w:line="300"/>
      </w:pPr>
      <w:r>
        <w:rPr>
          <w:rFonts w:ascii="Arial" w:cs="Arial" w:eastAsia="Arial" w:hAnsi="Arial"/>
          <w:b w:val="false"/>
          <w:bCs w:val="false"/>
          <w:sz w:val="21"/>
          <w:szCs w:val="21"/>
          <w:rtl/>
        </w:rPr>
        <w:t xml:space="preserve">منع نسخ الحقل المقيّد بأي صيغة؛</w:t>
      </w:r>
    </w:p>
    <w:p>
      <w:pPr>
        <w:pStyle w:val="ListParagraph"/>
        <w:numPr>
          <w:ilvl w:val="0"/>
          <w:numId w:val="3"/>
        </w:numPr>
        <w:bidi/>
        <w:spacing w:after="70" w:before="0" w:line="300"/>
      </w:pPr>
      <w:r>
        <w:rPr>
          <w:rFonts w:ascii="Arial" w:cs="Arial" w:eastAsia="Arial" w:hAnsi="Arial"/>
          <w:b w:val="false"/>
          <w:bCs w:val="false"/>
          <w:sz w:val="21"/>
          <w:szCs w:val="21"/>
          <w:rtl/>
        </w:rPr>
        <w:t xml:space="preserve">منع أدوار القراءة من الدوال الداخلية؛</w:t>
      </w:r>
    </w:p>
    <w:p>
      <w:pPr>
        <w:pStyle w:val="ListParagraph"/>
        <w:numPr>
          <w:ilvl w:val="0"/>
          <w:numId w:val="3"/>
        </w:numPr>
        <w:bidi/>
        <w:spacing w:after="70" w:before="0" w:line="300"/>
      </w:pPr>
      <w:r>
        <w:rPr>
          <w:rFonts w:ascii="Arial" w:cs="Arial" w:eastAsia="Arial" w:hAnsi="Arial"/>
          <w:b w:val="false"/>
          <w:bCs w:val="false"/>
          <w:sz w:val="21"/>
          <w:szCs w:val="21"/>
          <w:rtl/>
        </w:rPr>
        <w:t xml:space="preserve">جذر العقدة في الاختبارات والأجندة والخروقات؛</w:t>
      </w:r>
    </w:p>
    <w:p>
      <w:pPr>
        <w:pStyle w:val="ListParagraph"/>
        <w:numPr>
          <w:ilvl w:val="0"/>
          <w:numId w:val="3"/>
        </w:numPr>
        <w:bidi/>
        <w:spacing w:after="70" w:before="0" w:line="300"/>
      </w:pPr>
      <w:r>
        <w:rPr>
          <w:rFonts w:ascii="Arial" w:cs="Arial" w:eastAsia="Arial" w:hAnsi="Arial"/>
          <w:b w:val="false"/>
          <w:bCs w:val="false"/>
          <w:sz w:val="21"/>
          <w:szCs w:val="21"/>
          <w:rtl/>
        </w:rPr>
        <w:t xml:space="preserve">إعلان النافذة لا يُحتسب بلا دليل؛</w:t>
      </w:r>
    </w:p>
    <w:p>
      <w:pPr>
        <w:pStyle w:val="ListParagraph"/>
        <w:numPr>
          <w:ilvl w:val="0"/>
          <w:numId w:val="3"/>
        </w:numPr>
        <w:bidi/>
        <w:spacing w:after="70" w:before="0" w:line="300"/>
      </w:pPr>
      <w:r>
        <w:rPr>
          <w:rFonts w:ascii="Arial" w:cs="Arial" w:eastAsia="Arial" w:hAnsi="Arial"/>
          <w:b w:val="false"/>
          <w:bCs w:val="false"/>
          <w:sz w:val="21"/>
          <w:szCs w:val="21"/>
          <w:rtl/>
        </w:rPr>
        <w:t xml:space="preserve">قاعدة يحضّرها غيرنا تُرفض؛</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‎deploy.sql‎</w:t>
      </w:r>
      <w:r>
        <w:rPr>
          <w:rFonts w:ascii="Arial" w:cs="Arial" w:eastAsia="Arial" w:hAnsi="Arial"/>
          <w:b w:val="false"/>
          <w:bCs w:val="false"/>
          <w:sz w:val="21"/>
          <w:szCs w:val="21"/>
          <w:rtl/>
        </w:rPr>
        <w:t xml:space="preserve"> لا يعمل بلا الفحص التمهيدي.</w:t>
      </w:r>
    </w:p>
    <w:p>
      <w:pPr>
        <w:bidi/>
        <w:spacing w:after="60" w:before="0"/>
      </w:pPr>
    </w:p>
    <w:p>
      <w:pPr>
        <w:bidi/>
        <w:spacing w:after="110" w:before="0" w:line="312"/>
      </w:pPr>
      <w:r>
        <w:rPr>
          <w:rFonts w:ascii="Arial" w:cs="Arial" w:eastAsia="Arial" w:hAnsi="Arial"/>
          <w:b w:val="false"/>
          <w:bCs w:val="false"/>
          <w:sz w:val="21"/>
          <w:szCs w:val="21"/>
          <w:rtl/>
        </w:rPr>
        <w:t xml:space="preserve">والسجل </w:t>
      </w:r>
      <w:r>
        <w:rPr>
          <w:rFonts w:ascii="Courier New" w:cs="Courier New" w:eastAsia="Courier New" w:hAnsi="Courier New"/>
          <w:b w:val="false"/>
          <w:bCs w:val="false"/>
          <w:color w:val="1F2937"/>
          <w:sz w:val="18"/>
          <w:szCs w:val="18"/>
          <w:shd w:fill="F1F3F5" w:color="auto" w:val="clear"/>
          <w:rtl/>
        </w:rPr>
        <w:t xml:space="preserve">‎docs/34-self-review-2026-10-18.md‎</w:t>
      </w:r>
      <w:r>
        <w:rPr>
          <w:rFonts w:ascii="Arial" w:cs="Arial" w:eastAsia="Arial" w:hAnsi="Arial"/>
          <w:b w:val="false"/>
          <w:bCs w:val="false"/>
          <w:sz w:val="21"/>
          <w:szCs w:val="21"/>
          <w:rtl/>
        </w:rPr>
        <w:t xml:space="preserve">، والقرار ADR 0015.</w:t>
      </w:r>
    </w:p>
    <w:p>
      <w:pPr>
        <w:bidi/>
        <w:spacing w:after="110" w:before="0" w:line="312"/>
      </w:pPr>
      <w:r>
        <w:rPr>
          <w:rFonts w:ascii="Arial" w:cs="Arial" w:eastAsia="Arial" w:hAnsi="Arial"/>
          <w:b/>
          <w:bCs/>
          <w:sz w:val="21"/>
          <w:szCs w:val="21"/>
          <w:rtl/>
        </w:rPr>
        <w:t xml:space="preserve">وحدة الميزانية (طلب المالك 2026-10-18).</w:t>
      </w:r>
      <w:r>
        <w:rPr>
          <w:rFonts w:ascii="Arial" w:cs="Arial" w:eastAsia="Arial" w:hAnsi="Arial"/>
          <w:b w:val="false"/>
          <w:bCs w:val="false"/>
          <w:sz w:val="21"/>
          <w:szCs w:val="21"/>
          <w:rtl/>
        </w:rPr>
        <w:t xml:space="preserve"> في قسم التسهيلات تحفظ الوحدة:</w:t>
      </w:r>
    </w:p>
    <w:p>
      <w:pPr>
        <w:pStyle w:val="ListParagraph"/>
        <w:numPr>
          <w:ilvl w:val="0"/>
          <w:numId w:val="3"/>
        </w:numPr>
        <w:bidi/>
        <w:spacing w:after="70" w:before="0" w:line="300"/>
      </w:pPr>
      <w:r>
        <w:rPr>
          <w:rFonts w:ascii="Arial" w:cs="Arial" w:eastAsia="Arial" w:hAnsi="Arial"/>
          <w:b w:val="false"/>
          <w:bCs w:val="false"/>
          <w:sz w:val="21"/>
          <w:szCs w:val="21"/>
          <w:rtl/>
        </w:rPr>
        <w:t xml:space="preserve">قوائم الشركة المستقلة؛</w:t>
      </w:r>
    </w:p>
    <w:p>
      <w:pPr>
        <w:pStyle w:val="ListParagraph"/>
        <w:numPr>
          <w:ilvl w:val="0"/>
          <w:numId w:val="3"/>
        </w:numPr>
        <w:bidi/>
        <w:spacing w:after="70" w:before="0" w:line="300"/>
      </w:pPr>
      <w:r>
        <w:rPr>
          <w:rFonts w:ascii="Arial" w:cs="Arial" w:eastAsia="Arial" w:hAnsi="Arial"/>
          <w:b w:val="false"/>
          <w:bCs w:val="false"/>
          <w:sz w:val="21"/>
          <w:szCs w:val="21"/>
          <w:rtl/>
        </w:rPr>
        <w:t xml:space="preserve">قوائم القابضة الموحدة بكامل وحداتها وقوائمها المنفردة؛</w:t>
      </w:r>
    </w:p>
    <w:p>
      <w:pPr>
        <w:pStyle w:val="ListParagraph"/>
        <w:numPr>
          <w:ilvl w:val="0"/>
          <w:numId w:val="3"/>
        </w:numPr>
        <w:bidi/>
        <w:spacing w:after="70" w:before="0" w:line="300"/>
      </w:pPr>
      <w:r>
        <w:rPr>
          <w:rFonts w:ascii="Arial" w:cs="Arial" w:eastAsia="Arial" w:hAnsi="Arial"/>
          <w:b w:val="false"/>
          <w:bCs w:val="false"/>
          <w:sz w:val="21"/>
          <w:szCs w:val="21"/>
          <w:rtl/>
        </w:rPr>
        <w:t xml:space="preserve">مقاييس دراسة الميزانية؛</w:t>
      </w:r>
    </w:p>
    <w:p>
      <w:pPr>
        <w:pStyle w:val="ListParagraph"/>
        <w:numPr>
          <w:ilvl w:val="0"/>
          <w:numId w:val="3"/>
        </w:numPr>
        <w:bidi/>
        <w:spacing w:after="70" w:before="0" w:line="300"/>
      </w:pPr>
      <w:r>
        <w:rPr>
          <w:rFonts w:ascii="Arial" w:cs="Arial" w:eastAsia="Arial" w:hAnsi="Arial"/>
          <w:b w:val="false"/>
          <w:bCs w:val="false"/>
          <w:sz w:val="21"/>
          <w:szCs w:val="21"/>
          <w:rtl/>
        </w:rPr>
        <w:t xml:space="preserve">تقريرًا بكل خرق ناشئ عن القوائم في ظل التعهدات؛</w:t>
      </w:r>
    </w:p>
    <w:p>
      <w:pPr>
        <w:pStyle w:val="ListParagraph"/>
        <w:numPr>
          <w:ilvl w:val="0"/>
          <w:numId w:val="3"/>
        </w:numPr>
        <w:bidi/>
        <w:spacing w:after="70" w:before="0" w:line="300"/>
      </w:pPr>
      <w:r>
        <w:rPr>
          <w:rFonts w:ascii="Arial" w:cs="Arial" w:eastAsia="Arial" w:hAnsi="Arial"/>
          <w:b w:val="false"/>
          <w:bCs w:val="false"/>
          <w:sz w:val="21"/>
          <w:szCs w:val="21"/>
          <w:rtl/>
        </w:rPr>
        <w:t xml:space="preserve">قياس أداء الشركة بالسيولة المحوَّلة إلى البنك.</w:t>
      </w:r>
    </w:p>
    <w:p>
      <w:pPr>
        <w:bidi/>
        <w:spacing w:after="60" w:before="0"/>
      </w:pPr>
    </w:p>
    <w:p>
      <w:pPr>
        <w:bidi/>
        <w:spacing w:after="110" w:before="0" w:line="312"/>
      </w:pPr>
      <w:r>
        <w:rPr>
          <w:rFonts w:ascii="Arial" w:cs="Arial" w:eastAsia="Arial" w:hAnsi="Arial"/>
          <w:b w:val="false"/>
          <w:bCs w:val="false"/>
          <w:sz w:val="21"/>
          <w:szCs w:val="21"/>
          <w:rtl/>
        </w:rPr>
        <w:t xml:space="preserve">والربط بنظام تقييم ائتماني خارجي مرحلة لاحقة لم تُبنَ. المراجع: المواصفة 12 (FR-FIN-015 إلى FR-FIN-019)، و</w:t>
      </w:r>
      <w:r>
        <w:rPr>
          <w:rFonts w:ascii="Courier New" w:cs="Courier New" w:eastAsia="Courier New" w:hAnsi="Courier New"/>
          <w:b w:val="false"/>
          <w:bCs w:val="false"/>
          <w:color w:val="1F2937"/>
          <w:sz w:val="18"/>
          <w:szCs w:val="18"/>
          <w:shd w:fill="F1F3F5" w:color="auto" w:val="clear"/>
          <w:rtl/>
        </w:rPr>
        <w:t xml:space="preserve">‎docs/03‎</w:t>
      </w:r>
      <w:r>
        <w:rPr>
          <w:rFonts w:ascii="Arial" w:cs="Arial" w:eastAsia="Arial" w:hAnsi="Arial"/>
          <w:b w:val="false"/>
          <w:bCs w:val="false"/>
          <w:sz w:val="21"/>
          <w:szCs w:val="21"/>
          <w:rtl/>
        </w:rPr>
        <w:t xml:space="preserve"> §10، و</w:t>
      </w:r>
      <w:r>
        <w:rPr>
          <w:rFonts w:ascii="Courier New" w:cs="Courier New" w:eastAsia="Courier New" w:hAnsi="Courier New"/>
          <w:b w:val="false"/>
          <w:bCs w:val="false"/>
          <w:color w:val="1F2937"/>
          <w:sz w:val="18"/>
          <w:szCs w:val="18"/>
          <w:shd w:fill="F1F3F5" w:color="auto" w:val="clear"/>
          <w:rtl/>
        </w:rPr>
        <w:t xml:space="preserve">‎db/static/045_financial_statements.sql‎</w:t>
      </w:r>
      <w:r>
        <w:rPr>
          <w:rFonts w:ascii="Arial" w:cs="Arial" w:eastAsia="Arial" w:hAnsi="Arial"/>
          <w:b w:val="false"/>
          <w:bCs w:val="false"/>
          <w:sz w:val="21"/>
          <w:szCs w:val="21"/>
          <w:rtl/>
        </w:rPr>
        <w:t xml:space="preserve">، وADR 0016. واعتمد المالك قاعدة نافذة أداء التحويلات BR-FIN-016 كما هي (2026-10-18).</w:t>
      </w:r>
    </w:p>
    <w:p>
      <w:pPr>
        <w:bidi/>
        <w:spacing w:after="110" w:before="0" w:line="312"/>
      </w:pPr>
      <w:r>
        <w:rPr>
          <w:rFonts w:ascii="Arial" w:cs="Arial" w:eastAsia="Arial" w:hAnsi="Arial"/>
          <w:b/>
          <w:bCs/>
          <w:sz w:val="21"/>
          <w:szCs w:val="21"/>
          <w:rtl/>
        </w:rPr>
        <w:t xml:space="preserve">التقييم الائتماني للقوائم (طلب المالك 2026-10-18).</w:t>
      </w:r>
      <w:r>
        <w:rPr>
          <w:rFonts w:ascii="Arial" w:cs="Arial" w:eastAsia="Arial" w:hAnsi="Arial"/>
          <w:b w:val="false"/>
          <w:bCs w:val="false"/>
          <w:sz w:val="21"/>
          <w:szCs w:val="21"/>
          <w:rtl/>
        </w:rPr>
        <w:t xml:space="preserve"> يقيّم النظام القائمة المعتمدة على مقياس موديز الطويل الأجل (21 درجة):</w:t>
      </w:r>
    </w:p>
    <w:p>
      <w:pPr>
        <w:pStyle w:val="ListParagraph"/>
        <w:numPr>
          <w:ilvl w:val="0"/>
          <w:numId w:val="3"/>
        </w:numPr>
        <w:bidi/>
        <w:spacing w:after="70" w:before="0" w:line="300"/>
      </w:pPr>
      <w:r>
        <w:rPr>
          <w:rFonts w:ascii="Arial" w:cs="Arial" w:eastAsia="Arial" w:hAnsi="Arial"/>
          <w:b w:val="false"/>
          <w:bCs w:val="false"/>
          <w:sz w:val="21"/>
          <w:szCs w:val="21"/>
          <w:rtl/>
        </w:rPr>
        <w:t xml:space="preserve">36 مقياسًا، وثلاث بطاقات للقطاعات (الشركات العامة، والتجارة والتوزيع، والمقاولات)، لكل مقياس وزن وشبكة عتبات من تسع حدود؛</w:t>
      </w:r>
    </w:p>
    <w:p>
      <w:pPr>
        <w:pStyle w:val="ListParagraph"/>
        <w:numPr>
          <w:ilvl w:val="0"/>
          <w:numId w:val="3"/>
        </w:numPr>
        <w:bidi/>
        <w:spacing w:after="70" w:before="0" w:line="300"/>
      </w:pPr>
      <w:r>
        <w:rPr>
          <w:rFonts w:ascii="Arial" w:cs="Arial" w:eastAsia="Arial" w:hAnsi="Arial"/>
          <w:b w:val="false"/>
          <w:bCs w:val="false"/>
          <w:sz w:val="21"/>
          <w:szCs w:val="21"/>
          <w:rtl/>
        </w:rPr>
        <w:t xml:space="preserve">23 قاعدة لبنود الميزانية بأربعة مستويات خطر، و17 تعديلًا (درجات تُخصم، وسقوف للدرجة المستقلة، وسقوف مطلقة منها سقف السيادة Aa3)، وسقف قطاعي للمقاولات؛</w:t>
      </w:r>
    </w:p>
    <w:p>
      <w:pPr>
        <w:pStyle w:val="ListParagraph"/>
        <w:numPr>
          <w:ilvl w:val="0"/>
          <w:numId w:val="3"/>
        </w:numPr>
        <w:bidi/>
        <w:spacing w:after="70" w:before="0" w:line="300"/>
      </w:pPr>
      <w:r>
        <w:rPr>
          <w:rFonts w:ascii="Arial" w:cs="Arial" w:eastAsia="Arial" w:hAnsi="Arial"/>
          <w:b w:val="false"/>
          <w:bCs w:val="false"/>
          <w:sz w:val="21"/>
          <w:szCs w:val="21"/>
          <w:rtl/>
        </w:rPr>
        <w:t xml:space="preserve">تقريرًا من ستة عروض: الدرجة ومكوّناتها، ونقاط القوة والمتابعة والضعف والمخاطر الحرجة، والتحليل الأفقي والرأسي لكل بند، ومدى التوافق مع التعهدات، وأداء التحويلات، ودرجات وحدات المجموعة.</w:t>
      </w:r>
    </w:p>
    <w:p>
      <w:pPr>
        <w:bidi/>
        <w:spacing w:after="60" w:before="0"/>
      </w:pPr>
    </w:p>
    <w:p>
      <w:pPr>
        <w:bidi/>
        <w:spacing w:after="110" w:before="0" w:line="312"/>
      </w:pPr>
      <w:r>
        <w:rPr>
          <w:rFonts w:ascii="Arial" w:cs="Arial" w:eastAsia="Arial" w:hAnsi="Arial"/>
          <w:b w:val="false"/>
          <w:bCs w:val="false"/>
          <w:sz w:val="21"/>
          <w:szCs w:val="21"/>
          <w:rtl/>
        </w:rPr>
        <w:t xml:space="preserve">والقاعدة تحسب كل شيء في </w:t>
      </w:r>
      <w:r>
        <w:rPr>
          <w:rFonts w:ascii="Courier New" w:cs="Courier New" w:eastAsia="Courier New" w:hAnsi="Courier New"/>
          <w:b w:val="false"/>
          <w:bCs w:val="false"/>
          <w:color w:val="1F2937"/>
          <w:sz w:val="18"/>
          <w:szCs w:val="18"/>
          <w:shd w:fill="F1F3F5" w:color="auto" w:val="clear"/>
          <w:rtl/>
        </w:rPr>
        <w:t xml:space="preserve">‎fin.usp_ComputeCreditAssessment‎</w:t>
      </w:r>
      <w:r>
        <w:rPr>
          <w:rFonts w:ascii="Arial" w:cs="Arial" w:eastAsia="Arial" w:hAnsi="Arial"/>
          <w:b w:val="false"/>
          <w:bCs w:val="false"/>
          <w:sz w:val="21"/>
          <w:szCs w:val="21"/>
          <w:rtl/>
        </w:rPr>
        <w:t xml:space="preserve">، وتطابق أرقامها تنفيذًا مستقلًا بلغة Python. وراجع المعايرة الأولى وكيل ذكاء اصطناعي منفصل في دور محلل ائتمان أول، لا محلل بشري، فوجدها بعيدة 3 إلى 8 درجات في حالات عادية، فأُعيد بناؤها، وتقع الآن الحالات الست عشرة لاختبار الضغط كلها في المدى الذي يتوقعه. والشبكات معايرة خبير على منهجية موديز، لا شبكات موديز نفسها. المراجع: </w:t>
      </w:r>
      <w:r>
        <w:rPr>
          <w:rFonts w:ascii="Courier New" w:cs="Courier New" w:eastAsia="Courier New" w:hAnsi="Courier New"/>
          <w:b w:val="false"/>
          <w:bCs w:val="false"/>
          <w:color w:val="1F2937"/>
          <w:sz w:val="18"/>
          <w:szCs w:val="18"/>
          <w:shd w:fill="F1F3F5" w:color="auto" w:val="clear"/>
          <w:rtl/>
        </w:rPr>
        <w:t xml:space="preserve">‎docs/35-credit-assessment-methodology.md‎</w:t>
      </w:r>
      <w:r>
        <w:rPr>
          <w:rFonts w:ascii="Arial" w:cs="Arial" w:eastAsia="Arial" w:hAnsi="Arial"/>
          <w:b w:val="false"/>
          <w:bCs w:val="false"/>
          <w:sz w:val="21"/>
          <w:szCs w:val="21"/>
          <w:rtl/>
        </w:rPr>
        <w:t xml:space="preserve">، والمواصفة 12 (FR-FIN-020 إلى FR-FIN-024)، و</w:t>
      </w:r>
      <w:r>
        <w:rPr>
          <w:rFonts w:ascii="Courier New" w:cs="Courier New" w:eastAsia="Courier New" w:hAnsi="Courier New"/>
          <w:b w:val="false"/>
          <w:bCs w:val="false"/>
          <w:color w:val="1F2937"/>
          <w:sz w:val="18"/>
          <w:szCs w:val="18"/>
          <w:shd w:fill="F1F3F5" w:color="auto" w:val="clear"/>
          <w:rtl/>
        </w:rPr>
        <w:t xml:space="preserve">‎db/static/046_credit_assessment.sql‎</w:t>
      </w:r>
      <w:r>
        <w:rPr>
          <w:rFonts w:ascii="Arial" w:cs="Arial" w:eastAsia="Arial" w:hAnsi="Arial"/>
          <w:b w:val="false"/>
          <w:bCs w:val="false"/>
          <w:sz w:val="21"/>
          <w:szCs w:val="21"/>
          <w:rtl/>
        </w:rPr>
        <w:t xml:space="preserve">، وADR 0017.</w:t>
      </w:r>
    </w:p>
    <w:p>
      <w:pPr>
        <w:bidi/>
        <w:spacing w:after="110" w:before="0" w:line="312"/>
      </w:pPr>
      <w:r>
        <w:rPr>
          <w:rFonts w:ascii="Arial" w:cs="Arial" w:eastAsia="Arial" w:hAnsi="Arial"/>
          <w:b/>
          <w:bCs/>
          <w:sz w:val="21"/>
          <w:szCs w:val="21"/>
          <w:rtl/>
        </w:rPr>
        <w:t xml:space="preserve">النسخة الثانية من التقييم (طلبات المالك 2026-10-19، ADR 0018).</w:t>
      </w:r>
      <w:r>
        <w:rPr>
          <w:rFonts w:ascii="Arial" w:cs="Arial" w:eastAsia="Arial" w:hAnsi="Arial"/>
          <w:b w:val="false"/>
          <w:bCs w:val="false"/>
          <w:sz w:val="21"/>
          <w:szCs w:val="21"/>
          <w:rtl/>
        </w:rPr>
        <w:t xml:space="preserve"> وجد المالك النسخة الأولى سطحية، فأُعيد بناؤها:</w:t>
      </w:r>
    </w:p>
    <w:p>
      <w:pPr>
        <w:pStyle w:val="ListParagraph"/>
        <w:numPr>
          <w:ilvl w:val="0"/>
          <w:numId w:val="3"/>
        </w:numPr>
        <w:bidi/>
        <w:spacing w:after="70" w:before="0" w:line="300"/>
      </w:pPr>
      <w:r>
        <w:rPr>
          <w:rFonts w:ascii="Arial" w:cs="Arial" w:eastAsia="Arial" w:hAnsi="Arial"/>
          <w:b w:val="false"/>
          <w:bCs w:val="false"/>
          <w:sz w:val="21"/>
          <w:szCs w:val="21"/>
          <w:rtl/>
        </w:rPr>
        <w:t xml:space="preserve">157 بندًا معياريًا تُدرس بندًا بندًا: خطر البند وأثره على النقد وعلى ملاءة الشركاء ووزنه، وإعادة تبويبه بسبب مكتوب (</w:t>
      </w:r>
      <w:r>
        <w:rPr>
          <w:rFonts w:ascii="Courier New" w:cs="Courier New" w:eastAsia="Courier New" w:hAnsi="Courier New"/>
          <w:b w:val="false"/>
          <w:bCs w:val="false"/>
          <w:color w:val="1F2937"/>
          <w:sz w:val="18"/>
          <w:szCs w:val="18"/>
          <w:shd w:fill="F1F3F5" w:color="auto" w:val="clear"/>
          <w:rtl/>
        </w:rPr>
        <w:t xml:space="preserve">‎fin.CreditAssessmentReclass‎</w:t>
      </w:r>
      <w:r>
        <w:rPr>
          <w:rFonts w:ascii="Arial" w:cs="Arial" w:eastAsia="Arial" w:hAnsi="Arial"/>
          <w:b w:val="false"/>
          <w:bCs w:val="false"/>
          <w:sz w:val="21"/>
          <w:szCs w:val="21"/>
          <w:rtl/>
        </w:rPr>
        <w:t xml:space="preserve">)، و112 مقياسًا؛</w:t>
      </w:r>
    </w:p>
    <w:p>
      <w:pPr>
        <w:pStyle w:val="ListParagraph"/>
        <w:numPr>
          <w:ilvl w:val="0"/>
          <w:numId w:val="3"/>
        </w:numPr>
        <w:bidi/>
        <w:spacing w:after="70" w:before="0" w:line="300"/>
      </w:pPr>
      <w:r>
        <w:rPr>
          <w:rFonts w:ascii="Arial" w:cs="Arial" w:eastAsia="Arial" w:hAnsi="Arial"/>
          <w:b w:val="false"/>
          <w:bCs w:val="false"/>
          <w:sz w:val="21"/>
          <w:szCs w:val="21"/>
          <w:rtl/>
        </w:rPr>
        <w:t xml:space="preserve">الربط بتسهيلات الشركة وضماناتها المسجلة في المنصة على تاريخ التقييم، ودرجة للتسهيل بالخسارة عند التعثر ونسبة الاسترداد، ومقارنة بتقرير سمة؛</w:t>
      </w:r>
    </w:p>
    <w:p>
      <w:pPr>
        <w:pStyle w:val="ListParagraph"/>
        <w:numPr>
          <w:ilvl w:val="0"/>
          <w:numId w:val="3"/>
        </w:numPr>
        <w:bidi/>
        <w:spacing w:after="70" w:before="0" w:line="300"/>
      </w:pPr>
      <w:r>
        <w:rPr>
          <w:rFonts w:ascii="Arial" w:cs="Arial" w:eastAsia="Arial" w:hAnsi="Arial"/>
          <w:b w:val="false"/>
          <w:bCs w:val="false"/>
          <w:sz w:val="21"/>
          <w:szCs w:val="21"/>
          <w:rtl/>
        </w:rPr>
        <w:t xml:space="preserve">61 نشاطًا بمدى الدرجة المتوقع للقطاع، و15 فئة منتجات تقرأ جودة التدفقات وسيولة المخزون، وسيناريو السوق الراكد وسيناريو الأزمة؛</w:t>
      </w:r>
    </w:p>
    <w:p>
      <w:pPr>
        <w:pStyle w:val="ListParagraph"/>
        <w:numPr>
          <w:ilvl w:val="0"/>
          <w:numId w:val="3"/>
        </w:numPr>
        <w:bidi/>
        <w:spacing w:after="70" w:before="0" w:line="300"/>
      </w:pPr>
      <w:r>
        <w:rPr>
          <w:rFonts w:ascii="Arial" w:cs="Arial" w:eastAsia="Arial" w:hAnsi="Arial"/>
          <w:b w:val="false"/>
          <w:bCs w:val="false"/>
          <w:sz w:val="21"/>
          <w:szCs w:val="21"/>
          <w:rtl/>
        </w:rPr>
        <w:t xml:space="preserve">39 علاجًا و10 خطط تقوية (8 حزم جاهزة وخطتان مثلى) تُحسب عند طلب العميل، وكل خطوة قيد مزدوج لا يخلّ بتوازن الميزانية؛</w:t>
      </w:r>
    </w:p>
    <w:p>
      <w:pPr>
        <w:pStyle w:val="ListParagraph"/>
        <w:numPr>
          <w:ilvl w:val="0"/>
          <w:numId w:val="3"/>
        </w:numPr>
        <w:bidi/>
        <w:spacing w:after="70" w:before="0" w:line="300"/>
      </w:pPr>
      <w:r>
        <w:rPr>
          <w:rFonts w:ascii="Arial" w:cs="Arial" w:eastAsia="Arial" w:hAnsi="Arial"/>
          <w:b w:val="false"/>
          <w:bCs w:val="false"/>
          <w:sz w:val="21"/>
          <w:szCs w:val="21"/>
          <w:rtl/>
        </w:rPr>
        <w:t xml:space="preserve">النظرة المستقبلية (مستقرة، إيجابية، سلبية، متطورة) بقواعد مكتوبة، ومحفّزات رفع الدرجة وخفضها.</w:t>
      </w:r>
    </w:p>
    <w:p>
      <w:pPr>
        <w:bidi/>
        <w:spacing w:after="60" w:before="0"/>
      </w:pPr>
    </w:p>
    <w:p>
      <w:pPr>
        <w:bidi/>
        <w:spacing w:after="110" w:before="0" w:line="312"/>
      </w:pPr>
      <w:r>
        <w:rPr>
          <w:rFonts w:ascii="Arial" w:cs="Arial" w:eastAsia="Arial" w:hAnsi="Arial"/>
          <w:b w:val="false"/>
          <w:bCs w:val="false"/>
          <w:sz w:val="21"/>
          <w:szCs w:val="21"/>
          <w:rtl/>
        </w:rPr>
        <w:t xml:space="preserve">والحساب في </w:t>
      </w:r>
      <w:r>
        <w:rPr>
          <w:rFonts w:ascii="Courier New" w:cs="Courier New" w:eastAsia="Courier New" w:hAnsi="Courier New"/>
          <w:b w:val="false"/>
          <w:bCs w:val="false"/>
          <w:color w:val="1F2937"/>
          <w:sz w:val="18"/>
          <w:szCs w:val="18"/>
          <w:shd w:fill="F1F3F5" w:color="auto" w:val="clear"/>
          <w:rtl/>
        </w:rPr>
        <w:t xml:space="preserve">‎db/static/047_credit_engine.sql‎</w:t>
      </w:r>
      <w:r>
        <w:rPr>
          <w:rFonts w:ascii="Arial" w:cs="Arial" w:eastAsia="Arial" w:hAnsi="Arial"/>
          <w:b w:val="false"/>
          <w:bCs w:val="false"/>
          <w:sz w:val="21"/>
          <w:szCs w:val="21"/>
          <w:rtl/>
        </w:rPr>
        <w:t xml:space="preserve">، ويطابق مرجع Python رقمًا برقم في 94 حالة مولَّدة. صاغ المحتوى وراجعه وكلاء ذكاء اصطناعي في دور محللين أوائل لا محللون بشريون. ودُرست وثائق موديز الخمس التي أرفقها المالك، ولم يُنقل منها رقم ولا جدول ولا نص لأن بعضها يمنع صراحة استعماله في بناء نموذج أو قاعدة بيانات (</w:t>
      </w:r>
      <w:r>
        <w:rPr>
          <w:rFonts w:ascii="Courier New" w:cs="Courier New" w:eastAsia="Courier New" w:hAnsi="Courier New"/>
          <w:b w:val="false"/>
          <w:bCs w:val="false"/>
          <w:color w:val="1F2937"/>
          <w:sz w:val="18"/>
          <w:szCs w:val="18"/>
          <w:shd w:fill="F1F3F5" w:color="auto" w:val="clear"/>
          <w:rtl/>
        </w:rPr>
        <w:t xml:space="preserve">‎docs/35‎</w:t>
      </w:r>
      <w:r>
        <w:rPr>
          <w:rFonts w:ascii="Arial" w:cs="Arial" w:eastAsia="Arial" w:hAnsi="Arial"/>
          <w:b w:val="false"/>
          <w:bCs w:val="false"/>
          <w:sz w:val="21"/>
          <w:szCs w:val="21"/>
          <w:rtl/>
        </w:rPr>
        <w:t xml:space="preserve"> §23). المراجع: </w:t>
      </w:r>
      <w:r>
        <w:rPr>
          <w:rFonts w:ascii="Courier New" w:cs="Courier New" w:eastAsia="Courier New" w:hAnsi="Courier New"/>
          <w:b w:val="false"/>
          <w:bCs w:val="false"/>
          <w:color w:val="1F2937"/>
          <w:sz w:val="18"/>
          <w:szCs w:val="18"/>
          <w:shd w:fill="F1F3F5" w:color="auto" w:val="clear"/>
          <w:rtl/>
        </w:rPr>
        <w:t xml:space="preserve">‎docs/35‎</w:t>
      </w:r>
      <w:r>
        <w:rPr>
          <w:rFonts w:ascii="Arial" w:cs="Arial" w:eastAsia="Arial" w:hAnsi="Arial"/>
          <w:b w:val="false"/>
          <w:bCs w:val="false"/>
          <w:sz w:val="21"/>
          <w:szCs w:val="21"/>
          <w:rtl/>
        </w:rPr>
        <w:t xml:space="preserve"> الإصدار 2.0، والمواصفة 12 (FR-FIN-025 إلى FR-FIN-030)، وADR 0018.</w:t>
      </w:r>
    </w:p>
    <w:p>
      <w:pPr>
        <w:bidi/>
        <w:spacing w:after="110" w:before="0" w:line="312"/>
      </w:pPr>
      <w:r>
        <w:rPr>
          <w:rFonts w:ascii="Arial" w:cs="Arial" w:eastAsia="Arial" w:hAnsi="Arial"/>
          <w:b/>
          <w:bCs/>
          <w:sz w:val="21"/>
          <w:szCs w:val="21"/>
          <w:rtl/>
        </w:rPr>
        <w:t xml:space="preserve">الإصدار 2.1 (إجابات المالك 2026-10-19، ADR 0019): الممارسة المعيارية لوكالات التصنيف.</w:t>
      </w:r>
    </w:p>
    <w:p>
      <w:pPr>
        <w:pStyle w:val="ListParagraph"/>
        <w:numPr>
          <w:ilvl w:val="0"/>
          <w:numId w:val="3"/>
        </w:numPr>
        <w:bidi/>
        <w:spacing w:after="70" w:before="0" w:line="300"/>
      </w:pPr>
      <w:r>
        <w:rPr>
          <w:rFonts w:ascii="Arial" w:cs="Arial" w:eastAsia="Arial" w:hAnsi="Arial"/>
          <w:b w:val="false"/>
          <w:bCs w:val="false"/>
          <w:sz w:val="21"/>
          <w:szCs w:val="21"/>
          <w:rtl/>
        </w:rPr>
        <w:t xml:space="preserve">16 بطاقة لعائلات قطاعية (صناعة مواد البناء وتجارتها، والتجزئة، ووكالات السيارات، والتطوير العقاري، والعقار المؤجَّر، والضيافة والسياحة، والمطاعم، والنقل، والطيران، والصحة والأدوية، والأغذية، والخدمات، مع البطاقات الثلاث الأولى)، لكل منها مقاييسها وأوزانها وعوامل ملف أعمالها؛</w:t>
      </w:r>
    </w:p>
    <w:p>
      <w:pPr>
        <w:pStyle w:val="ListParagraph"/>
        <w:numPr>
          <w:ilvl w:val="0"/>
          <w:numId w:val="3"/>
        </w:numPr>
        <w:bidi/>
        <w:spacing w:after="70" w:before="0" w:line="300"/>
      </w:pPr>
      <w:r>
        <w:rPr>
          <w:rFonts w:ascii="Arial" w:cs="Arial" w:eastAsia="Arial" w:hAnsi="Arial"/>
          <w:b w:val="false"/>
          <w:bCs w:val="false"/>
          <w:sz w:val="21"/>
          <w:szCs w:val="21"/>
          <w:rtl/>
        </w:rPr>
        <w:t xml:space="preserve">282 نشاطًا تفصيليًا بمخاطرها (1 إلى 6) وحساسيتها لسبعة محركات ضغط؛</w:t>
      </w:r>
    </w:p>
    <w:p>
      <w:pPr>
        <w:pStyle w:val="ListParagraph"/>
        <w:numPr>
          <w:ilvl w:val="0"/>
          <w:numId w:val="3"/>
        </w:numPr>
        <w:bidi/>
        <w:spacing w:after="70" w:before="0" w:line="300"/>
      </w:pPr>
      <w:r>
        <w:rPr>
          <w:rFonts w:ascii="Arial" w:cs="Arial" w:eastAsia="Arial" w:hAnsi="Arial"/>
          <w:b w:val="false"/>
          <w:bCs w:val="false"/>
          <w:sz w:val="21"/>
          <w:szCs w:val="21"/>
          <w:rtl/>
        </w:rPr>
        <w:t xml:space="preserve">22 بلدًا عربيًا بمخاطرها وتصنيفها السيادي المنشور وسقفها وتعرضها و127 مدينة ومنطقة، ومرتكز يجمع مخاطر البلد والنشاط؛</w:t>
      </w:r>
    </w:p>
    <w:p>
      <w:pPr>
        <w:pStyle w:val="ListParagraph"/>
        <w:numPr>
          <w:ilvl w:val="0"/>
          <w:numId w:val="3"/>
        </w:numPr>
        <w:bidi/>
        <w:spacing w:after="70" w:before="0" w:line="300"/>
      </w:pPr>
      <w:r>
        <w:rPr>
          <w:rFonts w:ascii="Arial" w:cs="Arial" w:eastAsia="Arial" w:hAnsi="Arial"/>
          <w:b w:val="false"/>
          <w:bCs w:val="false"/>
          <w:sz w:val="21"/>
          <w:szCs w:val="21"/>
          <w:rtl/>
        </w:rPr>
        <w:t xml:space="preserve">ستة سيناريوهات اقتصادية بضغط يحسبه النظام من النشاط والبلد والمدينة، وسابع للحدث الجاري في الإصدار 2.2 (نزاع الخليج وممرات الملاحة، ADR 0020)؛ وشبكات حجم على إيرادات من 10 ملايين إلى 10 مليارات؛ وتتحقق إدارة الخزينة من المعايرة.</w:t>
      </w:r>
    </w:p>
    <w:p>
      <w:pPr>
        <w:bidi/>
        <w:spacing w:after="60" w:before="0"/>
      </w:pPr>
    </w:p>
    <w:p>
      <w:pPr>
        <w:bidi/>
        <w:spacing w:after="110" w:before="0" w:line="312"/>
      </w:pPr>
      <w:r>
        <w:rPr>
          <w:rFonts w:ascii="Arial" w:cs="Arial" w:eastAsia="Arial" w:hAnsi="Arial"/>
          <w:b w:val="false"/>
          <w:bCs w:val="false"/>
          <w:sz w:val="21"/>
          <w:szCs w:val="21"/>
          <w:rtl/>
        </w:rPr>
        <w:t xml:space="preserve">راجعه وكيل ذكاء اصطناعي مستقل في دور مراجع تصنيف أول، فوجد مشكلات صُحّحت (منها مقياسا مخزون ثابتان، وشبكة حجم تجارية سخية، وتصنيف سيادي متعثر خارج مدى الدرجة، وخطأ في جدول الاستحقاق)، وكتب 16 حالة جديدة بمداها قبل تشغيل النموذج؛ وتقع الحالات الإحدى والخمسون في مداه، مع 24 خلية قبلها خارجه بسبب مكتوب. المراجع: </w:t>
      </w:r>
      <w:r>
        <w:rPr>
          <w:rFonts w:ascii="Courier New" w:cs="Courier New" w:eastAsia="Courier New" w:hAnsi="Courier New"/>
          <w:b w:val="false"/>
          <w:bCs w:val="false"/>
          <w:color w:val="1F2937"/>
          <w:sz w:val="18"/>
          <w:szCs w:val="18"/>
          <w:shd w:fill="F1F3F5" w:color="auto" w:val="clear"/>
          <w:rtl/>
        </w:rPr>
        <w:t xml:space="preserve">‎docs/35‎</w:t>
      </w:r>
      <w:r>
        <w:rPr>
          <w:rFonts w:ascii="Arial" w:cs="Arial" w:eastAsia="Arial" w:hAnsi="Arial"/>
          <w:b w:val="false"/>
          <w:bCs w:val="false"/>
          <w:sz w:val="21"/>
          <w:szCs w:val="21"/>
          <w:rtl/>
        </w:rPr>
        <w:t xml:space="preserve"> الإصدار 2.1، والمواصفة 12 (FR-FIN-031 إلى FR-FIN-033)، وADR 0019.</w:t>
      </w:r>
    </w:p>
    <w:p>
      <w:pPr>
        <w:bidi/>
        <w:spacing w:after="110" w:before="0" w:line="312"/>
      </w:pPr>
      <w:r>
        <w:rPr>
          <w:rFonts w:ascii="Arial" w:cs="Arial" w:eastAsia="Arial" w:hAnsi="Arial"/>
          <w:b w:val="false"/>
          <w:bCs w:val="false"/>
          <w:sz w:val="21"/>
          <w:szCs w:val="21"/>
          <w:rtl/>
        </w:rPr>
        <w:t xml:space="preserve">واعتمد المالك في 2026-10-14 القرارات الأربعة التي اتُّخذت أثناء تنفيذ الدفعة (ب) (السجل §3.3):</w:t>
      </w:r>
    </w:p>
    <w:p>
      <w:pPr>
        <w:pStyle w:val="ListParagraph"/>
        <w:numPr>
          <w:ilvl w:val="0"/>
          <w:numId w:val="3"/>
        </w:numPr>
        <w:bidi/>
        <w:spacing w:after="70" w:before="0" w:line="300"/>
      </w:pPr>
      <w:r>
        <w:rPr>
          <w:rFonts w:ascii="Arial" w:cs="Arial" w:eastAsia="Arial" w:hAnsi="Arial"/>
          <w:b w:val="false"/>
          <w:bCs w:val="false"/>
          <w:sz w:val="21"/>
          <w:szCs w:val="21"/>
          <w:rtl/>
        </w:rPr>
        <w:t xml:space="preserve">عمود الحساسية في تعريف حقول الشروط (DR-46)؛</w:t>
      </w:r>
    </w:p>
    <w:p>
      <w:pPr>
        <w:pStyle w:val="ListParagraph"/>
        <w:numPr>
          <w:ilvl w:val="0"/>
          <w:numId w:val="3"/>
        </w:numPr>
        <w:bidi/>
        <w:spacing w:after="70" w:before="0" w:line="300"/>
      </w:pPr>
      <w:r>
        <w:rPr>
          <w:rFonts w:ascii="Arial" w:cs="Arial" w:eastAsia="Arial" w:hAnsi="Arial"/>
          <w:b w:val="false"/>
          <w:bCs w:val="false"/>
          <w:sz w:val="21"/>
          <w:szCs w:val="21"/>
          <w:rtl/>
        </w:rPr>
        <w:t xml:space="preserve">مهمة المطابقة الليلية، وحالة LOST للفك المنتهي أو اليدوي (DR-44)؛</w:t>
      </w:r>
    </w:p>
    <w:p>
      <w:pPr>
        <w:pStyle w:val="ListParagraph"/>
        <w:numPr>
          <w:ilvl w:val="0"/>
          <w:numId w:val="3"/>
        </w:numPr>
        <w:bidi/>
        <w:spacing w:after="70" w:before="0" w:line="300"/>
      </w:pPr>
      <w:r>
        <w:rPr>
          <w:rFonts w:ascii="Arial" w:cs="Arial" w:eastAsia="Arial" w:hAnsi="Arial"/>
          <w:b w:val="false"/>
          <w:bCs w:val="false"/>
          <w:sz w:val="21"/>
          <w:szCs w:val="21"/>
          <w:rtl/>
        </w:rPr>
        <w:t xml:space="preserve">شرط ACTIVE في الطلب؛</w:t>
      </w:r>
    </w:p>
    <w:p>
      <w:pPr>
        <w:pStyle w:val="ListParagraph"/>
        <w:numPr>
          <w:ilvl w:val="0"/>
          <w:numId w:val="3"/>
        </w:numPr>
        <w:bidi/>
        <w:spacing w:after="70" w:before="0" w:line="300"/>
      </w:pPr>
      <w:r>
        <w:rPr>
          <w:rFonts w:ascii="Arial" w:cs="Arial" w:eastAsia="Arial" w:hAnsi="Arial"/>
          <w:b w:val="false"/>
          <w:bCs w:val="false"/>
          <w:sz w:val="21"/>
          <w:szCs w:val="21"/>
          <w:rtl/>
        </w:rPr>
        <w:t xml:space="preserve">قيد الحجب كما هو (DR-31).</w:t>
      </w:r>
    </w:p>
    <w:p>
      <w:pPr>
        <w:bidi/>
        <w:spacing w:after="60" w:before="0"/>
      </w:pPr>
    </w:p>
    <w:p>
      <w:pPr>
        <w:pStyle w:val="Heading1"/>
        <w:bidi/>
      </w:pPr>
      <w:bookmarkStart w:name="_sec3" w:id="3"/>
      <w:r>
        <w:rPr>
          <w:rFonts w:ascii="Arial" w:cs="Arial" w:eastAsia="Arial" w:hAnsi="Arial"/>
          <w:b/>
          <w:bCs/>
          <w:color w:val="1F3A5F"/>
          <w:sz w:val="32"/>
          <w:szCs w:val="32"/>
          <w:rtl/>
        </w:rPr>
        <w:t xml:space="preserve">3. خريطة المواد</w:t>
      </w:r>
      <w:bookmarkEnd w:id="3"/>
    </w:p>
    <w:p>
      <w:pPr>
        <w:pStyle w:val="Heading2"/>
        <w:bidi/>
      </w:pPr>
      <w:bookmarkStart w:name="_sec4" w:id="4"/>
      <w:r>
        <w:rPr>
          <w:rFonts w:ascii="Arial" w:cs="Arial" w:eastAsia="Arial" w:hAnsi="Arial"/>
          <w:b/>
          <w:bCs/>
          <w:color w:val="2B5C8A"/>
          <w:sz w:val="26"/>
          <w:szCs w:val="26"/>
          <w:rtl/>
        </w:rPr>
        <w:t xml:space="preserve">3.1 التحليل والمواصفات</w:t>
      </w:r>
      <w:bookmarkEnd w:id="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200"/>
        <w:gridCol w:w="7664"/>
      </w:tblGrid>
      <w:tr>
        <w:trPr>
          <w:cantSplit/>
          <w:tblHeader/>
        </w:trPr>
        <w:tc>
          <w:tcPr>
            <w:tcW w:type="dxa" w:w="2200"/>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المادة</w:t>
            </w:r>
          </w:p>
        </w:tc>
        <w:tc>
          <w:tcPr>
            <w:tcW w:type="dxa" w:w="766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r>
      <w:tr>
        <w:trPr>
          <w:cantSplit/>
        </w:trPr>
        <w:tc>
          <w:tcPr>
            <w:tcW w:type="dxa" w:w="2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التحليلات الأولية: النماذج وUCP 600 والتعهدات المالية واتفاقيات التسهيلات وKYC</w:t>
            </w:r>
          </w:p>
        </w:tc>
        <w:tc>
          <w:tcPr>
            <w:tcW w:type="dxa" w:w="7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‎docs/01‎</w:t>
            </w:r>
            <w:r>
              <w:rPr>
                <w:rFonts w:ascii="Arial" w:cs="Arial" w:eastAsia="Arial" w:hAnsi="Arial"/>
                <w:b w:val="false"/>
                <w:bCs w:val="false"/>
                <w:sz w:val="18"/>
                <w:szCs w:val="18"/>
                <w:rtl/>
              </w:rPr>
              <w:t xml:space="preserve"> إلى </w:t>
            </w:r>
            <w:r>
              <w:rPr>
                <w:rFonts w:ascii="Courier New" w:cs="Courier New" w:eastAsia="Courier New" w:hAnsi="Courier New"/>
                <w:b w:val="false"/>
                <w:bCs w:val="false"/>
                <w:color w:val="1F2937"/>
                <w:sz w:val="16"/>
                <w:szCs w:val="16"/>
                <w:shd w:fill="F1F3F5" w:color="auto" w:val="clear"/>
                <w:rtl/>
              </w:rPr>
              <w:t xml:space="preserve">‎docs/05‎</w:t>
            </w:r>
          </w:p>
        </w:tc>
      </w:tr>
      <w:tr>
        <w:trPr>
          <w:cantSplit/>
        </w:trPr>
        <w:tc>
          <w:tcPr>
            <w:tcW w:type="dxa" w:w="2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التحليل التفصيلية: الإطار العام والوحدات م0 إلى م8 والأسئلة المفتوحة وفهرس المتطلبات</w:t>
            </w:r>
          </w:p>
        </w:tc>
        <w:tc>
          <w:tcPr>
            <w:tcW w:type="dxa" w:w="7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‎docs/10-detailed-analysis/‎</w:t>
            </w:r>
            <w:r>
              <w:rPr>
                <w:rFonts w:ascii="Arial" w:cs="Arial" w:eastAsia="Arial" w:hAnsi="Arial"/>
                <w:b w:val="false"/>
                <w:bCs w:val="false"/>
                <w:sz w:val="18"/>
                <w:szCs w:val="18"/>
                <w:rtl/>
              </w:rPr>
              <w:t xml:space="preserve">؛ Word: </w:t>
            </w:r>
            <w:r>
              <w:rPr>
                <w:rFonts w:ascii="Courier New" w:cs="Courier New" w:eastAsia="Courier New" w:hAnsi="Courier New"/>
                <w:b w:val="false"/>
                <w:bCs w:val="false"/>
                <w:color w:val="1F2937"/>
                <w:sz w:val="16"/>
                <w:szCs w:val="16"/>
                <w:shd w:fill="F1F3F5" w:color="auto" w:val="clear"/>
                <w:rtl/>
              </w:rPr>
              <w:t xml:space="preserve">‎docs/10-DETAILED-ANALYSIS.docx‎</w:t>
            </w:r>
          </w:p>
        </w:tc>
      </w:tr>
      <w:tr>
        <w:trPr>
          <w:cantSplit/>
        </w:trPr>
        <w:tc>
          <w:tcPr>
            <w:tcW w:type="dxa" w:w="2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قرارات المالك</w:t>
            </w:r>
          </w:p>
        </w:tc>
        <w:tc>
          <w:tcPr>
            <w:tcW w:type="dxa" w:w="7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‎docs/31-owner-decisions.md‎</w:t>
            </w:r>
            <w:r>
              <w:rPr>
                <w:rFonts w:ascii="Arial" w:cs="Arial" w:eastAsia="Arial" w:hAnsi="Arial"/>
                <w:b w:val="false"/>
                <w:bCs w:val="false"/>
                <w:sz w:val="18"/>
                <w:szCs w:val="18"/>
                <w:rtl/>
              </w:rPr>
              <w:t xml:space="preserve">؛ Word: </w:t>
            </w:r>
            <w:r>
              <w:rPr>
                <w:rFonts w:ascii="Courier New" w:cs="Courier New" w:eastAsia="Courier New" w:hAnsi="Courier New"/>
                <w:b w:val="false"/>
                <w:bCs w:val="false"/>
                <w:color w:val="1F2937"/>
                <w:sz w:val="16"/>
                <w:szCs w:val="16"/>
                <w:shd w:fill="F1F3F5" w:color="auto" w:val="clear"/>
                <w:rtl/>
              </w:rPr>
              <w:t xml:space="preserve">‎docs/31-OWNER-DECISIONS.docx‎</w:t>
            </w:r>
          </w:p>
        </w:tc>
      </w:tr>
      <w:tr>
        <w:trPr>
          <w:cantSplit/>
        </w:trPr>
        <w:tc>
          <w:tcPr>
            <w:tcW w:type="dxa" w:w="2200"/>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قرارات نتائج المراجعة</w:t>
            </w:r>
          </w:p>
        </w:tc>
        <w:tc>
          <w:tcPr>
            <w:tcW w:type="dxa" w:w="766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‎docs/32-review-findings-decisions.md‎</w:t>
            </w:r>
            <w:r>
              <w:rPr>
                <w:rFonts w:ascii="Arial" w:cs="Arial" w:eastAsia="Arial" w:hAnsi="Arial"/>
                <w:b w:val="false"/>
                <w:bCs w:val="false"/>
                <w:sz w:val="18"/>
                <w:szCs w:val="18"/>
                <w:rtl/>
              </w:rPr>
              <w:t xml:space="preserve">؛ Word: </w:t>
            </w:r>
            <w:r>
              <w:rPr>
                <w:rFonts w:ascii="Courier New" w:cs="Courier New" w:eastAsia="Courier New" w:hAnsi="Courier New"/>
                <w:b w:val="false"/>
                <w:bCs w:val="false"/>
                <w:color w:val="1F2937"/>
                <w:sz w:val="16"/>
                <w:szCs w:val="16"/>
                <w:shd w:fill="F1F3F5" w:color="auto" w:val="clear"/>
                <w:rtl/>
              </w:rPr>
              <w:t xml:space="preserve">‎docs/32-REVIEW-FINDINGS-DECISIONS.docx‎</w:t>
            </w:r>
          </w:p>
        </w:tc>
      </w:tr>
      <w:tr>
        <w:trPr>
          <w:cantSplit/>
        </w:trPr>
        <w:tc>
          <w:tcPr>
            <w:tcW w:type="dxa" w:w="2200"/>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 المراجعة الذاتية</w:t>
            </w:r>
          </w:p>
        </w:tc>
        <w:tc>
          <w:tcPr>
            <w:tcW w:type="dxa" w:w="766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‎docs/34-self-review-2026-10-18.md‎</w:t>
            </w:r>
            <w:r>
              <w:rPr>
                <w:rFonts w:ascii="Arial" w:cs="Arial" w:eastAsia="Arial" w:hAnsi="Arial"/>
                <w:b w:val="false"/>
                <w:bCs w:val="false"/>
                <w:sz w:val="18"/>
                <w:szCs w:val="18"/>
                <w:rtl/>
              </w:rPr>
              <w:t xml:space="preserve">؛ Word: </w:t>
            </w:r>
            <w:r>
              <w:rPr>
                <w:rFonts w:ascii="Courier New" w:cs="Courier New" w:eastAsia="Courier New" w:hAnsi="Courier New"/>
                <w:b w:val="false"/>
                <w:bCs w:val="false"/>
                <w:color w:val="1F2937"/>
                <w:sz w:val="16"/>
                <w:szCs w:val="16"/>
                <w:shd w:fill="F1F3F5" w:color="auto" w:val="clear"/>
                <w:rtl/>
              </w:rPr>
              <w:t xml:space="preserve">‎docs/34-SELF-REVIEW.docx‎</w:t>
            </w:r>
          </w:p>
        </w:tc>
      </w:tr>
    </w:tbl>
    <w:p>
      <w:pPr>
        <w:bidi/>
        <w:spacing w:after="120" w:before="0"/>
      </w:pPr>
    </w:p>
    <w:p>
      <w:pPr>
        <w:pStyle w:val="Heading2"/>
        <w:bidi/>
      </w:pPr>
      <w:bookmarkStart w:name="_sec5" w:id="5"/>
      <w:r>
        <w:rPr>
          <w:rFonts w:ascii="Arial" w:cs="Arial" w:eastAsia="Arial" w:hAnsi="Arial"/>
          <w:b/>
          <w:bCs/>
          <w:color w:val="2B5C8A"/>
          <w:sz w:val="26"/>
          <w:szCs w:val="26"/>
          <w:rtl/>
        </w:rPr>
        <w:t xml:space="preserve">3.2 قاعدة البيانات</w:t>
      </w:r>
      <w:bookmarkEnd w:id="5"/>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056"/>
        <w:gridCol w:w="4933"/>
        <w:gridCol w:w="3875"/>
      </w:tblGrid>
      <w:tr>
        <w:trPr>
          <w:cantSplit/>
          <w:tblHeader/>
        </w:trPr>
        <w:tc>
          <w:tcPr>
            <w:tcW w:type="dxa" w:w="105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المادة</w:t>
            </w:r>
          </w:p>
        </w:tc>
        <w:tc>
          <w:tcPr>
            <w:tcW w:type="dxa" w:w="4933"/>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الملف</w:t>
            </w:r>
          </w:p>
        </w:tc>
        <w:tc>
          <w:tcPr>
            <w:tcW w:type="dxa" w:w="387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ملاحظة</w:t>
            </w:r>
          </w:p>
        </w:tc>
      </w:tr>
      <w:tr>
        <w:trPr>
          <w:cantSplit/>
        </w:trPr>
        <w:tc>
          <w:tcPr>
            <w:tcW w:type="dxa" w:w="1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bCs/>
                <w:sz w:val="18"/>
                <w:szCs w:val="18"/>
                <w:rtl/>
              </w:rPr>
              <w:t xml:space="preserve">المصدر الوحيد للحقيقة: النموذج</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‎db/model/10-…16-*.model‎</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بلغة وصف (DSL) يقرؤها المولّد</w:t>
            </w:r>
          </w:p>
        </w:tc>
      </w:tr>
      <w:tr>
        <w:trPr>
          <w:cantSplit/>
        </w:trPr>
        <w:tc>
          <w:tcPr>
            <w:tcW w:type="dxa" w:w="1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المولّد</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‎tools/dbgen/dbgen.py‎</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‎README.md‎</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يولّد T-SQL ونسخة PostgreSQL للتحقق البنيوي</w:t>
            </w:r>
          </w:p>
        </w:tc>
      </w:tr>
      <w:tr>
        <w:trPr>
          <w:cantSplit/>
        </w:trPr>
        <w:tc>
          <w:tcPr>
            <w:tcW w:type="dxa" w:w="1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الـDDL المولَّد</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‎db/generated/tsql/000…007‎</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يُعدَّل يدويًا؛ الخطوة 2 في CI تفشل إن خالف النموذج</w:t>
            </w:r>
          </w:p>
        </w:tc>
      </w:tr>
      <w:tr>
        <w:trPr>
          <w:cantSplit/>
        </w:trPr>
        <w:tc>
          <w:tcPr>
            <w:tcW w:type="dxa" w:w="1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السكربتات الثابتة</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‎db/static/010…090‎</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الأمن على مستوى الصف (RLS)، والأدوار، والدخول والجلسات، والترقيم، والحراس (043، 044)، ووحدة الميزانية (045)، وقاعدة الحصص (050)، ومنع أدوار القراءة من الدوال الداخلية (090)</w:t>
            </w:r>
          </w:p>
        </w:tc>
      </w:tr>
      <w:tr>
        <w:trPr>
          <w:cantSplit/>
        </w:trPr>
        <w:tc>
          <w:tcPr>
            <w:tcW w:type="dxa" w:w="1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البذور العالمية</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‎db/seed/100…103‎</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الإعدادات والمهام والدول والعملات والصلاحيات وIncoterms ومواد UCP</w:t>
            </w:r>
          </w:p>
        </w:tc>
      </w:tr>
      <w:tr>
        <w:trPr>
          <w:cantSplit/>
        </w:trPr>
        <w:tc>
          <w:tcPr>
            <w:tcW w:type="dxa" w:w="1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سكربتات التشغيل</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‎db/ops/*.sql‎</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‎tools/deploy/*.sh‎</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التحضير والنشر وحسابات الخدمة والتدقيق والمراقبة والفحص التمهيدي</w:t>
            </w:r>
          </w:p>
        </w:tc>
      </w:tr>
      <w:tr>
        <w:trPr>
          <w:cantSplit/>
        </w:trPr>
        <w:tc>
          <w:tcPr>
            <w:tcW w:type="dxa" w:w="1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النشر</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‎db/deploy.sql‎</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يُنشر على قاعدة فارغة فقط</w:t>
            </w:r>
          </w:p>
        </w:tc>
      </w:tr>
      <w:tr>
        <w:trPr>
          <w:cantSplit/>
        </w:trPr>
        <w:tc>
          <w:tcPr>
            <w:tcW w:type="dxa" w:w="1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وثيقة التصميم</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‎docs/20-database-design.md‎</w:t>
            </w:r>
            <w:r>
              <w:rPr>
                <w:rFonts w:ascii="Arial" w:cs="Arial" w:eastAsia="Arial" w:hAnsi="Arial"/>
                <w:b w:val="false"/>
                <w:bCs w:val="false"/>
                <w:sz w:val="18"/>
                <w:szCs w:val="18"/>
                <w:rtl/>
              </w:rPr>
              <w:t xml:space="preserve">؛ Word: </w:t>
            </w:r>
            <w:r>
              <w:rPr>
                <w:rFonts w:ascii="Courier New" w:cs="Courier New" w:eastAsia="Courier New" w:hAnsi="Courier New"/>
                <w:b w:val="false"/>
                <w:bCs w:val="false"/>
                <w:color w:val="1F2937"/>
                <w:sz w:val="16"/>
                <w:szCs w:val="16"/>
                <w:shd w:fill="F1F3F5" w:color="auto" w:val="clear"/>
                <w:rtl/>
              </w:rPr>
              <w:t xml:space="preserve">‎docs/20-database-design.docx‎</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القرارات وحدودها، والقسمان 14 و16 للأدلة والحدود</w:t>
            </w:r>
          </w:p>
        </w:tc>
      </w:tr>
      <w:tr>
        <w:trPr>
          <w:cantSplit/>
        </w:trPr>
        <w:tc>
          <w:tcPr>
            <w:tcW w:type="dxa" w:w="1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التصميم والمخططات</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‎docs/20-database-design-and-erd.md‎</w:t>
            </w:r>
            <w:r>
              <w:rPr>
                <w:rFonts w:ascii="Arial" w:cs="Arial" w:eastAsia="Arial" w:hAnsi="Arial"/>
                <w:b w:val="false"/>
                <w:bCs w:val="false"/>
                <w:sz w:val="18"/>
                <w:szCs w:val="18"/>
                <w:rtl/>
              </w:rPr>
              <w:t xml:space="preserve">؛ Word: </w:t>
            </w:r>
            <w:r>
              <w:rPr>
                <w:rFonts w:ascii="Courier New" w:cs="Courier New" w:eastAsia="Courier New" w:hAnsi="Courier New"/>
                <w:b w:val="false"/>
                <w:bCs w:val="false"/>
                <w:color w:val="1F2937"/>
                <w:sz w:val="16"/>
                <w:szCs w:val="16"/>
                <w:shd w:fill="F1F3F5" w:color="auto" w:val="clear"/>
                <w:rtl/>
              </w:rPr>
              <w:t xml:space="preserve">‎docs/20-DATABASE-DESIGN-AND-ERD.docx‎</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يُولَّد بـ </w:t>
            </w:r>
            <w:r>
              <w:rPr>
                <w:rFonts w:ascii="Courier New" w:cs="Courier New" w:eastAsia="Courier New" w:hAnsi="Courier New"/>
                <w:b w:val="false"/>
                <w:bCs w:val="false"/>
                <w:color w:val="1F2937"/>
                <w:sz w:val="16"/>
                <w:szCs w:val="16"/>
                <w:shd w:fill="F1F3F5" w:color="auto" w:val="clear"/>
                <w:rtl/>
              </w:rPr>
              <w:t xml:space="preserve">‎tools/dbgen/build_erd_doc.py‎</w:t>
            </w:r>
          </w:p>
        </w:tc>
      </w:tr>
      <w:tr>
        <w:trPr>
          <w:cantSplit/>
        </w:trPr>
        <w:tc>
          <w:tcPr>
            <w:tcW w:type="dxa" w:w="1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مخططات العلاقات</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‎docs/diagrams/erd-en/*.png‎</w:t>
            </w:r>
            <w:r>
              <w:rPr>
                <w:rFonts w:ascii="Arial" w:cs="Arial" w:eastAsia="Arial" w:hAnsi="Arial"/>
                <w:b w:val="false"/>
                <w:bCs w:val="false"/>
                <w:sz w:val="18"/>
                <w:szCs w:val="18"/>
                <w:rtl/>
              </w:rPr>
              <w:t xml:space="preserve">؛ Word: </w:t>
            </w:r>
            <w:r>
              <w:rPr>
                <w:rFonts w:ascii="Courier New" w:cs="Courier New" w:eastAsia="Courier New" w:hAnsi="Courier New"/>
                <w:b w:val="false"/>
                <w:bCs w:val="false"/>
                <w:color w:val="1F2937"/>
                <w:sz w:val="16"/>
                <w:szCs w:val="16"/>
                <w:shd w:fill="F1F3F5" w:color="auto" w:val="clear"/>
                <w:rtl/>
              </w:rPr>
              <w:t xml:space="preserve">‎docs/20-DATABASE-RELATIONSHIPS-ERD.docx‎</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تُولَّد من النموذج</w:t>
            </w:r>
          </w:p>
        </w:tc>
      </w:tr>
      <w:tr>
        <w:trPr>
          <w:cantSplit/>
        </w:trPr>
        <w:tc>
          <w:tcPr>
            <w:tcW w:type="dxa" w:w="1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قاموس البيانات والمخطط لكل مخطط</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‎docs/21-data-dictionary.md‎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‎docs/22-erd-by-schema.md‎</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يولّدهما المولّد</w:t>
            </w:r>
          </w:p>
        </w:tc>
      </w:tr>
      <w:tr>
        <w:trPr>
          <w:cantSplit/>
        </w:trPr>
        <w:tc>
          <w:tcPr>
            <w:tcW w:type="dxa" w:w="1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منهجية التقييم الائتماني</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‎docs/35-credit-assessment-methodology.md‎</w:t>
            </w:r>
            <w:r>
              <w:rPr>
                <w:rFonts w:ascii="Arial" w:cs="Arial" w:eastAsia="Arial" w:hAnsi="Arial"/>
                <w:b w:val="false"/>
                <w:bCs w:val="false"/>
                <w:sz w:val="18"/>
                <w:szCs w:val="18"/>
                <w:rtl/>
              </w:rPr>
              <w:t xml:space="preserve">؛ Word: </w:t>
            </w:r>
            <w:r>
              <w:rPr>
                <w:rFonts w:ascii="Courier New" w:cs="Courier New" w:eastAsia="Courier New" w:hAnsi="Courier New"/>
                <w:b w:val="false"/>
                <w:bCs w:val="false"/>
                <w:color w:val="1F2937"/>
                <w:sz w:val="16"/>
                <w:szCs w:val="16"/>
                <w:shd w:fill="F1F3F5" w:color="auto" w:val="clear"/>
                <w:rtl/>
              </w:rPr>
              <w:t xml:space="preserve">‎docs/35-CREDIT-ASSESSMENT-METHODOLOGY.docx‎</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جداولها تُولَّد من </w:t>
            </w:r>
            <w:r>
              <w:rPr>
                <w:rFonts w:ascii="Courier New" w:cs="Courier New" w:eastAsia="Courier New" w:hAnsi="Courier New"/>
                <w:b w:val="false"/>
                <w:bCs w:val="false"/>
                <w:color w:val="1F2937"/>
                <w:sz w:val="16"/>
                <w:szCs w:val="16"/>
                <w:shd w:fill="F1F3F5" w:color="auto" w:val="clear"/>
                <w:rtl/>
              </w:rPr>
              <w:t xml:space="preserve">‎tools/dbgen/credit_scorecard.json‎</w:t>
            </w:r>
            <w:r>
              <w:rPr>
                <w:rFonts w:ascii="Arial" w:cs="Arial" w:eastAsia="Arial" w:hAnsi="Arial"/>
                <w:b w:val="false"/>
                <w:bCs w:val="false"/>
                <w:sz w:val="18"/>
                <w:szCs w:val="18"/>
                <w:rtl/>
              </w:rPr>
              <w:t xml:space="preserve"> بـ </w:t>
            </w:r>
            <w:r>
              <w:rPr>
                <w:rFonts w:ascii="Courier New" w:cs="Courier New" w:eastAsia="Courier New" w:hAnsi="Courier New"/>
                <w:b w:val="false"/>
                <w:bCs w:val="false"/>
                <w:color w:val="1F2937"/>
                <w:sz w:val="16"/>
                <w:szCs w:val="16"/>
                <w:shd w:fill="F1F3F5" w:color="auto" w:val="clear"/>
                <w:rtl/>
              </w:rPr>
              <w:t xml:space="preserve">‎gen_credit_seed.py --doc‎</w:t>
            </w:r>
          </w:p>
        </w:tc>
      </w:tr>
      <w:tr>
        <w:trPr>
          <w:cantSplit/>
        </w:trPr>
        <w:tc>
          <w:tcPr>
            <w:tcW w:type="dxa" w:w="105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سجلات القرار المعمارية</w:t>
            </w:r>
          </w:p>
        </w:tc>
        <w:tc>
          <w:tcPr>
            <w:tcW w:type="dxa" w:w="4933"/>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‎docs/adr/0001…0030‎</w:t>
            </w:r>
          </w:p>
        </w:tc>
        <w:tc>
          <w:tcPr>
            <w:tcW w:type="dxa" w:w="387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انظر 3.4</w:t>
            </w:r>
          </w:p>
        </w:tc>
      </w:tr>
      <w:tr>
        <w:trPr>
          <w:cantSplit/>
        </w:trPr>
        <w:tc>
          <w:tcPr>
            <w:tcW w:type="dxa" w:w="105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أرقام القاعدة</w:t>
            </w:r>
          </w:p>
        </w:tc>
        <w:tc>
          <w:tcPr>
            <w:tcW w:type="dxa" w:w="4933"/>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‎python3 tools/dbgen/ddl_metrics.py‎</w:t>
            </w:r>
          </w:p>
        </w:tc>
        <w:tc>
          <w:tcPr>
            <w:tcW w:type="dxa" w:w="387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عدد تذكره المستندات، من النموذج والـDDL</w:t>
            </w:r>
          </w:p>
        </w:tc>
      </w:tr>
    </w:tbl>
    <w:p>
      <w:pPr>
        <w:bidi/>
        <w:spacing w:after="120" w:before="0"/>
      </w:pPr>
    </w:p>
    <w:p>
      <w:pPr>
        <w:pStyle w:val="Heading2"/>
        <w:bidi/>
      </w:pPr>
      <w:bookmarkStart w:name="_sec6" w:id="6"/>
      <w:r>
        <w:rPr>
          <w:rFonts w:ascii="Arial" w:cs="Arial" w:eastAsia="Arial" w:hAnsi="Arial"/>
          <w:b/>
          <w:bCs/>
          <w:color w:val="2B5C8A"/>
          <w:sz w:val="26"/>
          <w:szCs w:val="26"/>
          <w:rtl/>
        </w:rPr>
        <w:t xml:space="preserve">3.3 مستندات الجاهزية</w:t>
      </w:r>
      <w:bookmarkEnd w:id="6"/>
    </w:p>
    <w:p>
      <w:pPr>
        <w:bidi/>
        <w:spacing w:after="110" w:before="0" w:line="312"/>
      </w:pPr>
      <w:r>
        <w:rPr>
          <w:rFonts w:ascii="Arial" w:cs="Arial" w:eastAsia="Arial" w:hAnsi="Arial"/>
          <w:b w:val="false"/>
          <w:bCs w:val="false"/>
          <w:sz w:val="21"/>
          <w:szCs w:val="21"/>
          <w:rtl/>
        </w:rPr>
        <w:t xml:space="preserve">43 مستندًا في </w:t>
      </w:r>
      <w:r>
        <w:rPr>
          <w:rFonts w:ascii="Courier New" w:cs="Courier New" w:eastAsia="Courier New" w:hAnsi="Courier New"/>
          <w:b w:val="false"/>
          <w:bCs w:val="false"/>
          <w:color w:val="1F2937"/>
          <w:sz w:val="18"/>
          <w:szCs w:val="18"/>
          <w:shd w:fill="F1F3F5" w:color="auto" w:val="clear"/>
          <w:rtl/>
        </w:rPr>
        <w:t xml:space="preserve">‎docs/30-readiness/‎</w:t>
      </w:r>
      <w:r>
        <w:rPr>
          <w:rFonts w:ascii="Arial" w:cs="Arial" w:eastAsia="Arial" w:hAnsi="Arial"/>
          <w:b w:val="false"/>
          <w:bCs w:val="false"/>
          <w:sz w:val="21"/>
          <w:szCs w:val="21"/>
          <w:rtl/>
        </w:rPr>
        <w:t xml:space="preserve"> (DOC-F وDOC-S وDOC-B)، وسجلها في </w:t>
      </w:r>
      <w:r>
        <w:rPr>
          <w:rFonts w:ascii="Courier New" w:cs="Courier New" w:eastAsia="Courier New" w:hAnsi="Courier New"/>
          <w:b w:val="false"/>
          <w:bCs w:val="false"/>
          <w:color w:val="1F2937"/>
          <w:sz w:val="18"/>
          <w:szCs w:val="18"/>
          <w:shd w:fill="F1F3F5" w:color="auto" w:val="clear"/>
          <w:rtl/>
        </w:rPr>
        <w:t xml:space="preserve">‎docs/30-readiness-documents.md‎</w:t>
      </w:r>
      <w:r>
        <w:rPr>
          <w:rFonts w:ascii="Arial" w:cs="Arial" w:eastAsia="Arial" w:hAnsi="Arial"/>
          <w:b w:val="false"/>
          <w:bCs w:val="false"/>
          <w:sz w:val="21"/>
          <w:szCs w:val="21"/>
          <w:rtl/>
        </w:rPr>
        <w:t xml:space="preserve">. وتُجمع في مجلدين: </w:t>
      </w:r>
      <w:r>
        <w:rPr>
          <w:rFonts w:ascii="Courier New" w:cs="Courier New" w:eastAsia="Courier New" w:hAnsi="Courier New"/>
          <w:b w:val="false"/>
          <w:bCs w:val="false"/>
          <w:color w:val="1F2937"/>
          <w:sz w:val="18"/>
          <w:szCs w:val="18"/>
          <w:shd w:fill="F1F3F5" w:color="auto" w:val="clear"/>
          <w:rtl/>
        </w:rPr>
        <w:t xml:space="preserve">‎docs/30-READINESS-P0.docx‎</w:t>
      </w:r>
      <w:r>
        <w:rPr>
          <w:rFonts w:ascii="Arial" w:cs="Arial" w:eastAsia="Arial" w:hAnsi="Arial"/>
          <w:b w:val="false"/>
          <w:bCs w:val="false"/>
          <w:sz w:val="21"/>
          <w:szCs w:val="21"/>
          <w:rtl/>
        </w:rPr>
        <w:t xml:space="preserve"> (قبل S0) و</w:t>
      </w:r>
      <w:r>
        <w:rPr>
          <w:rFonts w:ascii="Courier New" w:cs="Courier New" w:eastAsia="Courier New" w:hAnsi="Courier New"/>
          <w:b w:val="false"/>
          <w:bCs w:val="false"/>
          <w:color w:val="1F2937"/>
          <w:sz w:val="18"/>
          <w:szCs w:val="18"/>
          <w:shd w:fill="F1F3F5" w:color="auto" w:val="clear"/>
          <w:rtl/>
        </w:rPr>
        <w:t xml:space="preserve">‎docs/30-READINESS-P1-P2.docx‎</w:t>
      </w:r>
      <w:r>
        <w:rPr>
          <w:rFonts w:ascii="Arial" w:cs="Arial" w:eastAsia="Arial" w:hAnsi="Arial"/>
          <w:b w:val="false"/>
          <w:bCs w:val="false"/>
          <w:sz w:val="21"/>
          <w:szCs w:val="21"/>
          <w:rtl/>
        </w:rPr>
        <w:t xml:space="preserve">. والقرارات المبنية في القاعدة (DQ-…) موسومة بحالتها؛ وليست كل الأسئلة الباقية موسومة، وتعمل بقيمها الافتراضية المعتمدة (</w:t>
      </w:r>
      <w:r>
        <w:rPr>
          <w:rFonts w:ascii="Courier New" w:cs="Courier New" w:eastAsia="Courier New" w:hAnsi="Courier New"/>
          <w:b w:val="false"/>
          <w:bCs w:val="false"/>
          <w:color w:val="1F2937"/>
          <w:sz w:val="18"/>
          <w:szCs w:val="18"/>
          <w:shd w:fill="F1F3F5" w:color="auto" w:val="clear"/>
          <w:rtl/>
        </w:rPr>
        <w:t xml:space="preserve">‎docs/34‎</w:t>
      </w:r>
      <w:r>
        <w:rPr>
          <w:rFonts w:ascii="Arial" w:cs="Arial" w:eastAsia="Arial" w:hAnsi="Arial"/>
          <w:b w:val="false"/>
          <w:bCs w:val="false"/>
          <w:sz w:val="21"/>
          <w:szCs w:val="21"/>
          <w:rtl/>
        </w:rPr>
        <w:t xml:space="preserve"> §7).</w:t>
      </w:r>
    </w:p>
    <w:p>
      <w:pPr>
        <w:pStyle w:val="Heading2"/>
        <w:bidi/>
      </w:pPr>
      <w:bookmarkStart w:name="_sec7" w:id="7"/>
      <w:r>
        <w:rPr>
          <w:rFonts w:ascii="Arial" w:cs="Arial" w:eastAsia="Arial" w:hAnsi="Arial"/>
          <w:b/>
          <w:bCs/>
          <w:color w:val="2B5C8A"/>
          <w:sz w:val="26"/>
          <w:szCs w:val="26"/>
          <w:rtl/>
        </w:rPr>
        <w:t xml:space="preserve">3.4 سجلات القرار المعمارية</w:t>
      </w:r>
      <w:bookmarkEnd w:id="7"/>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972"/>
        <w:gridCol w:w="7892"/>
      </w:tblGrid>
      <w:tr>
        <w:trPr>
          <w:cantSplit/>
          <w:tblHeader/>
        </w:trPr>
        <w:tc>
          <w:tcPr>
            <w:tcW w:type="dxa" w:w="197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ADR</w:t>
            </w:r>
          </w:p>
        </w:tc>
        <w:tc>
          <w:tcPr>
            <w:tcW w:type="dxa" w:w="7892"/>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الموضوع</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0001</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الإنتاج على Ubuntu 24.04، والعمل على المخطط وCI على Linux</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0002</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تسجيل الدخول وسياق المشترك المربوط بالجلسة داخل القاعدة</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0003</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دورة حياة الحساب والتحقق متعدد العوامل (MFA) الإلزامي والوصول بحسب حالة المشترك</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0004</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دخول المشغّل وربط الدعم والمهام وتهيئة المشترك وإعداداته</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0005</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الترقيم بلا فجوات وبذور المنصة المرجعية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0006</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حذف متتاليًا على بيانات KYC، ونسخ ملفات الاكتمال ثابتة بعد التفعيل</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0007</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القاعدة تدقق أحداث إجراءاتها الأمنية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0008</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تصدير بيانات المشترك عبر إجراءات، وفي SUSPENDED وCLOSED أيضًا</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0009</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قاعدة لكل عملية، بأسرار خاصة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0010</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بحساب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بصلاحية </w:t>
            </w:r>
            <w:r>
              <w:rPr>
                <w:rFonts w:ascii="Courier New" w:cs="Courier New" w:eastAsia="Courier New" w:hAnsi="Courier New"/>
                <w:b w:val="false"/>
                <w:bCs w:val="false"/>
                <w:color w:val="1F2937"/>
                <w:sz w:val="16"/>
                <w:szCs w:val="16"/>
                <w:shd w:fill="F1F3F5" w:color="auto" w:val="clear"/>
                <w:rtl/>
              </w:rPr>
              <w:t xml:space="preserve">‎db_owner‎</w:t>
            </w:r>
            <w:r>
              <w:rPr>
                <w:rFonts w:ascii="Arial" w:cs="Arial" w:eastAsia="Arial" w:hAnsi="Arial"/>
                <w:b w:val="false"/>
                <w:bCs w:val="false"/>
                <w:sz w:val="18"/>
                <w:szCs w:val="18"/>
                <w:rtl/>
              </w:rPr>
              <w:t xml:space="preserve"> وحدها، وCI ينشر بالطريقة نفسها</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0011</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إصلاحات نتائج المراجعة، وتعديلاته لشروط دخول الشرائح</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0012</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خادم SQL Server والنوافذ المعلنة وتنبيهات AL-18</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0013</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حساب المراقبة، وفحص ما بعد النشر، ولا ثقة تلقائية بالشهادة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0014</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الفحص التمهيدي للنشر وسجل الإصدارات والبوابة G4</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0015</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إصلاحات المراجعة الذاتية الشاملة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0016</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الميزانية: القوائم الموحدة ووحداتها، وتقرير الخروقات، وأداء التحويلات</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0017</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الائتماني للقوائم على مقياس موديز: البطاقات والأوزان وقواعد البنود والتعديلات والتقرير</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0018</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الثانية من التقييم: البنود المعيارية، والربط بتسهيلات المنصة، والنشاط والمنتجات والسيناريوهات، والعلاجات وخطط التقوية بقوائم متوازنة، والنظرة المستقبلية ومحفّزاتها</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0019</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2.1 من التقييم: 16 عائلة قطاعية، والأنشطة التفصيلية بحساسيتها، ومخاطر البلدان العربية ومدنها وسقوفها، والمرتكز، والسيناريوهات الستة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0020</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الإصدار 2.2 من التقييم: سيناريو سابع للحدث الجاري (نزاع الخليج وممرات الملاحة) بمضاعف لكل بلد، وتوقف الحدود الملتزمة غير المسحوبة</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0021</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قرار البنك الفعلي على كل تسهيل يحل محل تقدير موقفه في التقييم</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0022</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التجريبي للقائمة قبل اعتمادها: يبقى مسودة، وبصمته تضم أسطر القائمة</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0023</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العرض البديلة للقائمة: الحلول المختارة بقائمة متوازنة، ولا تُختار إلا بمستندات الفترة وبغير معدّها</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0024</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ملف الجاهزية قبل جهات التمويل، وجدوله الزمني، والإنذار المبكر</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0025</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تقييم القوائم التقديرية (الموازنة) ومقارنتها بالسنة الفعلية</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0026</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التصنيف الذي يبلغ به البنك الشركة، ومقارنته بتقييمها، ودخوله في جاهزية التجديد</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0027</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مهمة إشعارات الإنذار المبكر: مرة لكل مرحلة من الوقت الباقي ولكل جاهزية، مع طلب الإشعار في Outbox</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0028</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قوالب رسائل الإنذار بالعربية والإنجليزية: حدث أحمر وآخر أصفر، وسبب الجاهزية، وأول حزمة للمشترك NTF.BASE</w:t>
            </w:r>
          </w:p>
        </w:tc>
      </w:tr>
      <w:tr>
        <w:trPr>
          <w:cantSplit/>
        </w:trPr>
        <w:tc>
          <w:tcPr>
            <w:tcW w:type="dxa" w:w="197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0029</w:t>
            </w:r>
          </w:p>
        </w:tc>
        <w:tc>
          <w:tcPr>
            <w:tcW w:type="dxa" w:w="7892"/>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تصديق التقييم للاستعمال خارج الشركة، وسبب اختيار نسخة العرض، والمعايرة المتراكمة مع جهات التمويل (من المراجعة 3.0)</w:t>
            </w:r>
          </w:p>
        </w:tc>
      </w:tr>
      <w:tr>
        <w:trPr>
          <w:cantSplit/>
        </w:trPr>
        <w:tc>
          <w:tcPr>
            <w:tcW w:type="dxa" w:w="197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0030</w:t>
            </w:r>
          </w:p>
        </w:tc>
        <w:tc>
          <w:tcPr>
            <w:tcW w:type="dxa" w:w="7892"/>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تجميد الأرقام الشهرية المؤكدة، وحزمة أدلة التقييم، والمعايرة في الجاهزية، ومسؤول المخاطر RK، ومصفوفة مخصص الذمم (من المراجعة 4.0، القرار 35)</w:t>
            </w:r>
          </w:p>
        </w:tc>
      </w:tr>
    </w:tbl>
    <w:p>
      <w:pPr>
        <w:bidi/>
        <w:spacing w:after="120" w:before="0"/>
      </w:pPr>
    </w:p>
    <w:p>
      <w:pPr>
        <w:pStyle w:val="Heading1"/>
        <w:bidi/>
      </w:pPr>
      <w:bookmarkStart w:name="_sec8" w:id="8"/>
      <w:r>
        <w:rPr>
          <w:rFonts w:ascii="Arial" w:cs="Arial" w:eastAsia="Arial" w:hAnsi="Arial"/>
          <w:b/>
          <w:bCs/>
          <w:color w:val="1F3A5F"/>
          <w:sz w:val="32"/>
          <w:szCs w:val="32"/>
          <w:rtl/>
        </w:rPr>
        <w:t xml:space="preserve">4. إعادة إنتاج النتيجة</w:t>
      </w:r>
      <w:bookmarkEnd w:id="8"/>
    </w:p>
    <w:p>
      <w:pPr>
        <w:pStyle w:val="Heading2"/>
        <w:bidi/>
      </w:pPr>
      <w:bookmarkStart w:name="_sec9" w:id="9"/>
      <w:r>
        <w:rPr>
          <w:rFonts w:ascii="Arial" w:cs="Arial" w:eastAsia="Arial" w:hAnsi="Arial"/>
          <w:b/>
          <w:bCs/>
          <w:color w:val="2B5C8A"/>
          <w:sz w:val="26"/>
          <w:szCs w:val="26"/>
          <w:rtl/>
        </w:rPr>
        <w:t xml:space="preserve">4.1 المتطلبات</w:t>
      </w:r>
      <w:bookmarkEnd w:id="9"/>
    </w:p>
    <w:p>
      <w:pPr>
        <w:pStyle w:val="ListParagraph"/>
        <w:numPr>
          <w:ilvl w:val="0"/>
          <w:numId w:val="3"/>
        </w:numPr>
        <w:bidi/>
        <w:spacing w:after="70" w:before="0" w:line="300"/>
      </w:pPr>
      <w:r>
        <w:rPr>
          <w:rFonts w:ascii="Arial" w:cs="Arial" w:eastAsia="Arial" w:hAnsi="Arial"/>
          <w:b w:val="false"/>
          <w:bCs w:val="false"/>
          <w:sz w:val="21"/>
          <w:szCs w:val="21"/>
          <w:rtl/>
        </w:rPr>
        <w:t xml:space="preserve">Docker على معالج amd64، وصورة SQL Server المثبّتة في السجل: </w:t>
      </w:r>
      <w:r>
        <w:rPr>
          <w:rFonts w:ascii="Courier New" w:cs="Courier New" w:eastAsia="Courier New" w:hAnsi="Courier New"/>
          <w:b w:val="false"/>
          <w:bCs w:val="false"/>
          <w:color w:val="1F2937"/>
          <w:sz w:val="18"/>
          <w:szCs w:val="18"/>
          <w:shd w:fill="F1F3F5" w:color="auto" w:val="clear"/>
          <w:rtl/>
        </w:rPr>
        <w:t xml:space="preserve">‎mcr.microsoft.com/mssql/server:2025-CU9-GDR1-ubuntu-24.04‎</w:t>
      </w:r>
      <w:r>
        <w:rPr>
          <w:rFonts w:ascii="Arial" w:cs="Arial" w:eastAsia="Arial" w:hAnsi="Arial"/>
          <w:b w:val="false"/>
          <w:bCs w:val="false"/>
          <w:sz w:val="21"/>
          <w:szCs w:val="21"/>
          <w:rtl/>
        </w:rPr>
        <w:t xml:space="preserve"> (البناء 17.0.5015.4، والبصمة في </w:t>
      </w:r>
      <w:r>
        <w:rPr>
          <w:rFonts w:ascii="Courier New" w:cs="Courier New" w:eastAsia="Courier New" w:hAnsi="Courier New"/>
          <w:b w:val="false"/>
          <w:bCs w:val="false"/>
          <w:color w:val="1F2937"/>
          <w:sz w:val="18"/>
          <w:szCs w:val="18"/>
          <w:shd w:fill="F1F3F5" w:color="auto" w:val="clear"/>
          <w:rtl/>
        </w:rPr>
        <w:t xml:space="preserve">‎versions.json‎</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‎sqlcmd‎</w:t>
      </w:r>
      <w:r>
        <w:rPr>
          <w:rFonts w:ascii="Arial" w:cs="Arial" w:eastAsia="Arial" w:hAnsi="Arial"/>
          <w:b w:val="false"/>
          <w:bCs w:val="false"/>
          <w:sz w:val="21"/>
          <w:szCs w:val="21"/>
          <w:rtl/>
        </w:rPr>
        <w:t xml:space="preserve"> (mssql-tools18) في المسار، أو مساره في المتغير </w:t>
      </w:r>
      <w:r>
        <w:rPr>
          <w:rFonts w:ascii="Courier New" w:cs="Courier New" w:eastAsia="Courier New" w:hAnsi="Courier New"/>
          <w:b w:val="false"/>
          <w:bCs w:val="false"/>
          <w:color w:val="1F2937"/>
          <w:sz w:val="18"/>
          <w:szCs w:val="18"/>
          <w:shd w:fill="F1F3F5" w:color="auto" w:val="clear"/>
          <w:rtl/>
        </w:rPr>
        <w:t xml:space="preserve">‎SQLCMD‎</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Python 3 مع الحزمة Pillow (</w:t>
      </w:r>
      <w:r>
        <w:rPr>
          <w:rFonts w:ascii="Courier New" w:cs="Courier New" w:eastAsia="Courier New" w:hAnsi="Courier New"/>
          <w:b w:val="false"/>
          <w:bCs w:val="false"/>
          <w:color w:val="1F2937"/>
          <w:sz w:val="18"/>
          <w:szCs w:val="18"/>
          <w:shd w:fill="F1F3F5" w:color="auto" w:val="clear"/>
          <w:rtl/>
        </w:rPr>
        <w:t xml:space="preserve">‎pip install pillow==12.3.0‎</w:t>
      </w:r>
      <w:r>
        <w:rPr>
          <w:rFonts w:ascii="Arial" w:cs="Arial" w:eastAsia="Arial" w:hAnsi="Arial"/>
          <w:b w:val="false"/>
          <w:bCs w:val="false"/>
          <w:sz w:val="21"/>
          <w:szCs w:val="21"/>
          <w:rtl/>
        </w:rPr>
        <w:t xml:space="preserve">)، لأن فحص فهرسة المفاتيح يقرأ وحدة تخطيط المخططات.</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‎tools/dbgen/pg_validate.sh‎</w:t>
      </w:r>
      <w:r>
        <w:rPr>
          <w:rFonts w:ascii="Arial" w:cs="Arial" w:eastAsia="Arial" w:hAnsi="Arial"/>
          <w:b w:val="false"/>
          <w:bCs w:val="false"/>
          <w:sz w:val="21"/>
          <w:szCs w:val="21"/>
          <w:rtl/>
        </w:rPr>
        <w:t xml:space="preserve"> يتحقق من نسخة PostgreSQL، ولا يشغّله CI.</w:t>
      </w:r>
    </w:p>
    <w:p>
      <w:pPr>
        <w:bidi/>
        <w:spacing w:after="60" w:before="0"/>
      </w:pPr>
    </w:p>
    <w:p>
      <w:pPr>
        <w:pStyle w:val="Heading2"/>
        <w:bidi/>
      </w:pPr>
      <w:bookmarkStart w:name="_sec10" w:id="10"/>
      <w:r>
        <w:rPr>
          <w:rFonts w:ascii="Arial" w:cs="Arial" w:eastAsia="Arial" w:hAnsi="Arial"/>
          <w:b/>
          <w:bCs/>
          <w:color w:val="2B5C8A"/>
          <w:sz w:val="26"/>
          <w:szCs w:val="26"/>
          <w:rtl/>
        </w:rPr>
        <w:t xml:space="preserve">4.2 الأوامر</w:t>
      </w:r>
      <w:bookmarkEnd w:id="10"/>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docker run -d --name bankfas-sql -e ACCEPT_EULA=Y -e MSSQL_SA_PASSWORD='&lt;كلمة مرور قوية&gt;' \</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  -p 1433:1433 mcr.microsoft.com/mssql/server:2025-CU9-GDR1-ubuntu-24.04</w:t>
      </w:r>
    </w:p>
    <w:p>
      <w:pPr>
        <w:keepNext/>
        <w:keepLines/>
        <w:pBdr>
          <w:top w:val="single" w:color="BFC9D6" w:sz="4" w:space="4"/>
          <w:left w:val="single" w:color="BFC9D6" w:sz="4" w:space="4"/>
          <w:bottom w:val="single" w:color="BFC9D6" w:sz="4" w:space="4"/>
          <w:right w:val="single" w:color="BFC9D6" w:sz="4" w:space="4"/>
        </w:pBdr>
        <w:shd w:fill="F1F3F5" w:color="auto" w:val="clear"/>
        <w:bidi w:val="false"/>
        <w:spacing w:after="0" w:before="0" w:line="260"/>
        <w:ind w:left="120" w:right="120"/>
        <w:jc w:val="left"/>
      </w:pPr>
      <w:r>
        <w:rPr>
          <w:rFonts w:ascii="Courier New" w:cs="Courier New" w:eastAsia="Courier New" w:hAnsi="Courier New"/>
          <w:color w:val="1F2937"/>
          <w:sz w:val="17"/>
          <w:szCs w:val="17"/>
          <w:rtl w:val="false"/>
        </w:rPr>
        <w:t xml:space="preserve">cd treasury-platform</w:t>
      </w:r>
    </w:p>
    <w:p>
      <w:pPr>
        <w:keepNext w:val="false"/>
        <w:keepLines/>
        <w:pBdr>
          <w:top w:val="single" w:color="BFC9D6" w:sz="4" w:space="4"/>
          <w:left w:val="single" w:color="BFC9D6" w:sz="4" w:space="4"/>
          <w:bottom w:val="single" w:color="BFC9D6" w:sz="4" w:space="4"/>
          <w:right w:val="single" w:color="BFC9D6" w:sz="4" w:space="4"/>
        </w:pBdr>
        <w:shd w:fill="F1F3F5" w:color="auto" w:val="clear"/>
        <w:bidi w:val="false"/>
        <w:spacing w:after="140" w:before="0" w:line="260"/>
        <w:ind w:left="120" w:right="120"/>
        <w:jc w:val="left"/>
      </w:pPr>
      <w:r>
        <w:rPr>
          <w:rFonts w:ascii="Courier New" w:cs="Courier New" w:eastAsia="Courier New" w:hAnsi="Courier New"/>
          <w:color w:val="1F2937"/>
          <w:sz w:val="17"/>
          <w:szCs w:val="17"/>
          <w:rtl w:val="false"/>
        </w:rPr>
        <w:t xml:space="preserve">SA_PASSWORD='&lt;كلمة المرور نفسها&gt;' SQL_SERVER=localhost bash tools/ci/db_ci.sh</w:t>
      </w:r>
    </w:p>
    <w:p>
      <w:pPr>
        <w:pStyle w:val="ListParagraph"/>
        <w:numPr>
          <w:ilvl w:val="0"/>
          <w:numId w:val="3"/>
        </w:numPr>
        <w:bidi/>
        <w:spacing w:after="70" w:before="0" w:line="300"/>
      </w:pPr>
      <w:r>
        <w:rPr>
          <w:rFonts w:ascii="Arial" w:cs="Arial" w:eastAsia="Arial" w:hAnsi="Arial"/>
          <w:b w:val="false"/>
          <w:bCs w:val="false"/>
          <w:sz w:val="21"/>
          <w:szCs w:val="21"/>
          <w:rtl/>
        </w:rPr>
        <w:t xml:space="preserve">السكربت يحذف </w:t>
      </w:r>
      <w:r>
        <w:rPr>
          <w:rFonts w:ascii="Courier New" w:cs="Courier New" w:eastAsia="Courier New" w:hAnsi="Courier New"/>
          <w:b w:val="false"/>
          <w:bCs w:val="false"/>
          <w:color w:val="1F2937"/>
          <w:sz w:val="18"/>
          <w:szCs w:val="18"/>
          <w:shd w:fill="F1F3F5" w:color="auto" w:val="clear"/>
          <w:rtl/>
        </w:rPr>
        <w:t xml:space="preserve">‎BankFas‎</w:t>
      </w:r>
      <w:r>
        <w:rPr>
          <w:rFonts w:ascii="Arial" w:cs="Arial" w:eastAsia="Arial" w:hAnsi="Arial"/>
          <w:b w:val="false"/>
          <w:bCs w:val="false"/>
          <w:sz w:val="21"/>
          <w:szCs w:val="21"/>
          <w:rtl/>
        </w:rPr>
        <w:t xml:space="preserve"> ويبنيه من جديد في كل تشغيل، ويستغرق نحو ثماني دقائق. ولا يعمل إلا على خادم في الجهاز نفسه، إلا بالعلامة الصريحة </w:t>
      </w:r>
      <w:r>
        <w:rPr>
          <w:rFonts w:ascii="Courier New" w:cs="Courier New" w:eastAsia="Courier New" w:hAnsi="Courier New"/>
          <w:b w:val="false"/>
          <w:bCs w:val="false"/>
          <w:color w:val="1F2937"/>
          <w:sz w:val="18"/>
          <w:szCs w:val="18"/>
          <w:shd w:fill="F1F3F5" w:color="auto" w:val="clear"/>
          <w:rtl/>
        </w:rPr>
        <w:t xml:space="preserve">‎BANKFAS_CI_THROWAWAY_SERVER=1‎</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Arial" w:cs="Arial" w:eastAsia="Arial" w:hAnsi="Arial"/>
          <w:b w:val="false"/>
          <w:bCs w:val="false"/>
          <w:sz w:val="21"/>
          <w:szCs w:val="21"/>
          <w:rtl/>
        </w:rPr>
        <w:t xml:space="preserve">يعيّن لنفسه </w:t>
      </w:r>
      <w:r>
        <w:rPr>
          <w:rFonts w:ascii="Courier New" w:cs="Courier New" w:eastAsia="Courier New" w:hAnsi="Courier New"/>
          <w:b w:val="false"/>
          <w:bCs w:val="false"/>
          <w:color w:val="1F2937"/>
          <w:sz w:val="18"/>
          <w:szCs w:val="18"/>
          <w:shd w:fill="F1F3F5" w:color="auto" w:val="clear"/>
          <w:rtl/>
        </w:rPr>
        <w:t xml:space="preserve">‎SQLCMD_OPTS=-C‎</w:t>
      </w:r>
      <w:r>
        <w:rPr>
          <w:rFonts w:ascii="Arial" w:cs="Arial" w:eastAsia="Arial" w:hAnsi="Arial"/>
          <w:b w:val="false"/>
          <w:bCs w:val="false"/>
          <w:sz w:val="21"/>
          <w:szCs w:val="21"/>
          <w:rtl/>
        </w:rPr>
        <w:t xml:space="preserve"> وسماحَي CI (</w:t>
      </w:r>
      <w:r>
        <w:rPr>
          <w:rFonts w:ascii="Courier New" w:cs="Courier New" w:eastAsia="Courier New" w:hAnsi="Courier New"/>
          <w:b w:val="false"/>
          <w:bCs w:val="false"/>
          <w:color w:val="1F2937"/>
          <w:sz w:val="18"/>
          <w:szCs w:val="18"/>
          <w:shd w:fill="F1F3F5" w:color="auto" w:val="clear"/>
          <w:rtl/>
        </w:rPr>
        <w:t xml:space="preserve">‎BANKFAS_ALLOW_TRUST_CERT‎</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‎BANKFAS_ALLOW_SA‎</w:t>
      </w:r>
      <w:r>
        <w:rPr>
          <w:rFonts w:ascii="Arial" w:cs="Arial" w:eastAsia="Arial" w:hAnsi="Arial"/>
          <w:b w:val="false"/>
          <w:bCs w:val="false"/>
          <w:sz w:val="21"/>
          <w:szCs w:val="21"/>
          <w:rtl/>
        </w:rPr>
        <w:t xml:space="preserve">) لحاويته المؤقتة. ولا تُعيَّن هذه في الإنتاج (ADR 0014).</w:t>
      </w:r>
    </w:p>
    <w:p>
      <w:pPr>
        <w:pStyle w:val="ListParagraph"/>
        <w:numPr>
          <w:ilvl w:val="0"/>
          <w:numId w:val="3"/>
        </w:numPr>
        <w:bidi/>
        <w:spacing w:after="70" w:before="0" w:line="300"/>
      </w:pPr>
      <w:r>
        <w:rPr>
          <w:rFonts w:ascii="Arial" w:cs="Arial" w:eastAsia="Arial" w:hAnsi="Arial"/>
          <w:b w:val="false"/>
          <w:bCs w:val="false"/>
          <w:sz w:val="21"/>
          <w:szCs w:val="21"/>
          <w:rtl/>
        </w:rPr>
        <w:t xml:space="preserve">ويُشغَّل التدفق نفسه على GitHub عند كل دفع يمس قاعدة البيانات: </w:t>
      </w:r>
      <w:r>
        <w:rPr>
          <w:rFonts w:ascii="Courier New" w:cs="Courier New" w:eastAsia="Courier New" w:hAnsi="Courier New"/>
          <w:b w:val="false"/>
          <w:bCs w:val="false"/>
          <w:color w:val="1F2937"/>
          <w:sz w:val="18"/>
          <w:szCs w:val="18"/>
          <w:shd w:fill="F1F3F5" w:color="auto" w:val="clear"/>
          <w:rtl/>
        </w:rPr>
        <w:t xml:space="preserve">‎.github/workflows/treasury-db-ci.yml‎</w:t>
      </w:r>
      <w:r>
        <w:rPr>
          <w:rFonts w:ascii="Arial" w:cs="Arial" w:eastAsia="Arial" w:hAnsi="Arial"/>
          <w:b w:val="false"/>
          <w:bCs w:val="false"/>
          <w:sz w:val="21"/>
          <w:szCs w:val="21"/>
          <w:rtl/>
        </w:rPr>
        <w:t xml:space="preserve"> في جذر المستودع.</w:t>
      </w:r>
    </w:p>
    <w:p>
      <w:pPr>
        <w:bidi/>
        <w:spacing w:after="60" w:before="0"/>
      </w:pPr>
    </w:p>
    <w:p>
      <w:pPr>
        <w:pStyle w:val="Heading2"/>
        <w:bidi/>
      </w:pPr>
      <w:bookmarkStart w:name="_sec11" w:id="11"/>
      <w:r>
        <w:rPr>
          <w:rFonts w:ascii="Arial" w:cs="Arial" w:eastAsia="Arial" w:hAnsi="Arial"/>
          <w:b/>
          <w:bCs/>
          <w:color w:val="2B5C8A"/>
          <w:sz w:val="26"/>
          <w:szCs w:val="26"/>
          <w:rtl/>
        </w:rPr>
        <w:t xml:space="preserve">4.3 النتيجة المتوقعة: 27 خطوة (0 إلى 23 و4ب و19ب و19ج) تنتهي بـ «all database checks passed»</w:t>
      </w:r>
      <w:bookmarkEnd w:id="11"/>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269"/>
        <w:gridCol w:w="4868"/>
        <w:gridCol w:w="3727"/>
      </w:tblGrid>
      <w:tr>
        <w:trPr>
          <w:cantSplit/>
          <w:tblHeader/>
        </w:trPr>
        <w:tc>
          <w:tcPr>
            <w:tcW w:type="dxa" w:w="126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الخطوة</w:t>
            </w:r>
          </w:p>
        </w:tc>
        <w:tc>
          <w:tcPr>
            <w:tcW w:type="dxa" w:w="4868"/>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ما تفحصه</w:t>
            </w:r>
          </w:p>
        </w:tc>
        <w:tc>
          <w:tcPr>
            <w:tcW w:type="dxa" w:w="3727"/>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النتيجة</w:t>
            </w:r>
          </w:p>
        </w:tc>
      </w:tr>
      <w:tr>
        <w:trPr>
          <w:cantSplit/>
        </w:trPr>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النموذج، وتطابق الـDDL المولَّد والصلاحيات المولَّدة وبذرة المنهجية الائتمانية وجداول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مع مصدرها</w:t>
            </w:r>
          </w:p>
        </w:tc>
        <w:tc>
          <w:tcPr>
            <w:tcW w:type="dxa" w:w="3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213 جدولًا و3,612 عمودًا في النموذج</w:t>
            </w:r>
          </w:p>
        </w:tc>
      </w:tr>
      <w:tr>
        <w:trPr>
          <w:cantSplit/>
        </w:trPr>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فهرسة المفاتيح الأجنبية، وقواعد المنح R1–R11، ولا ثقة بالشهادة ولا أوامر صدفة في ملفات SQL، والصورة مقابل السجل، و</w:t>
            </w:r>
            <w:r>
              <w:rPr>
                <w:rFonts w:ascii="Courier New" w:cs="Courier New" w:eastAsia="Courier New" w:hAnsi="Courier New"/>
                <w:b w:val="false"/>
                <w:bCs w:val="false"/>
                <w:color w:val="1F2937"/>
                <w:sz w:val="16"/>
                <w:szCs w:val="16"/>
                <w:shd w:fill="F1F3F5" w:color="auto" w:val="clear"/>
                <w:rtl/>
              </w:rPr>
              <w:t xml:space="preserve">‎check_review_fixes.py‎</w:t>
            </w:r>
            <w:r>
              <w:rPr>
                <w:rFonts w:ascii="Arial" w:cs="Arial" w:eastAsia="Arial" w:hAnsi="Arial"/>
                <w:b w:val="false"/>
                <w:bCs w:val="false"/>
                <w:sz w:val="18"/>
                <w:szCs w:val="18"/>
                <w:rtl/>
              </w:rPr>
              <w:t xml:space="preserve">، وحالات الضغط الائتماني (</w:t>
            </w:r>
            <w:r>
              <w:rPr>
                <w:rFonts w:ascii="Courier New" w:cs="Courier New" w:eastAsia="Courier New" w:hAnsi="Courier New"/>
                <w:b w:val="false"/>
                <w:bCs w:val="false"/>
                <w:color w:val="1F2937"/>
                <w:sz w:val="16"/>
                <w:szCs w:val="16"/>
                <w:shd w:fill="F1F3F5" w:color="auto" w:val="clear"/>
                <w:rtl/>
              </w:rPr>
              <w:t xml:space="preserve">‎credit_stress.py‎</w:t>
            </w:r>
            <w:r>
              <w:rPr>
                <w:rFonts w:ascii="Arial" w:cs="Arial" w:eastAsia="Arial" w:hAnsi="Arial"/>
                <w:b w:val="false"/>
                <w:bCs w:val="false"/>
                <w:sz w:val="18"/>
                <w:szCs w:val="18"/>
                <w:rtl/>
              </w:rPr>
              <w:t xml:space="preserve">)</w:t>
            </w:r>
          </w:p>
        </w:tc>
        <w:tc>
          <w:tcPr>
            <w:tcW w:type="dxa" w:w="3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75 من 75 فحصًا (بلا قراءة التعليقات)، و16 من 16 حالة ضغط في مدى المراجع</w:t>
            </w:r>
          </w:p>
        </w:tc>
      </w:tr>
      <w:tr>
        <w:trPr>
          <w:cantSplit/>
        </w:trPr>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 4ب</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بحساب </w:t>
            </w:r>
            <w:r>
              <w:rPr>
                <w:rFonts w:ascii="Courier New" w:cs="Courier New" w:eastAsia="Courier New" w:hAnsi="Courier New"/>
                <w:b w:val="false"/>
                <w:bCs w:val="false"/>
                <w:color w:val="1F2937"/>
                <w:sz w:val="16"/>
                <w:szCs w:val="16"/>
                <w:shd w:fill="F1F3F5" w:color="auto" w:val="clear"/>
                <w:rtl/>
              </w:rPr>
              <w:t xml:space="preserve">‎bankfas_migrator‎</w:t>
            </w:r>
            <w:r>
              <w:rPr>
                <w:rFonts w:ascii="Arial" w:cs="Arial" w:eastAsia="Arial" w:hAnsi="Arial"/>
                <w:b w:val="false"/>
                <w:bCs w:val="false"/>
                <w:sz w:val="18"/>
                <w:szCs w:val="18"/>
                <w:rtl/>
              </w:rPr>
              <w:t xml:space="preserve"> كما في الإنتاج، والبذر القابل للتكرار، ووصول النص العربي كما كُتب (بصمة SHA-256)</w:t>
            </w:r>
          </w:p>
        </w:tc>
        <w:tc>
          <w:tcPr>
            <w:tcW w:type="dxa" w:w="3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143 صلاحية، و21 درجة و36 مقياسًا و3 بطاقات</w:t>
            </w:r>
          </w:p>
        </w:tc>
      </w:tr>
      <w:tr>
        <w:trPr>
          <w:cantSplit/>
        </w:trPr>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ما بعد النشر بحساب المراقبة (14 صفًا)</w:t>
            </w:r>
          </w:p>
        </w:tc>
        <w:tc>
          <w:tcPr>
            <w:tcW w:type="dxa" w:w="3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213 جدولًا، 829 مفتاحًا أجنبيًا، 596 قيد تفرّد، 1,359 قيد فحص، 772 فهرسًا، 192 سياسة RLS، 55 وحدة بصفة </w:t>
            </w:r>
            <w:r>
              <w:rPr>
                <w:rFonts w:ascii="Courier New" w:cs="Courier New" w:eastAsia="Courier New" w:hAnsi="Courier New"/>
                <w:b w:val="false"/>
                <w:bCs w:val="false"/>
                <w:color w:val="1F2937"/>
                <w:sz w:val="16"/>
                <w:szCs w:val="16"/>
                <w:shd w:fill="F1F3F5" w:color="auto" w:val="clear"/>
                <w:rtl/>
              </w:rPr>
              <w:t xml:space="preserve">‎tp_auth_exec‎</w:t>
            </w:r>
            <w:r>
              <w:rPr>
                <w:rFonts w:ascii="Arial" w:cs="Arial" w:eastAsia="Arial" w:hAnsi="Arial"/>
                <w:b w:val="false"/>
                <w:bCs w:val="false"/>
                <w:sz w:val="18"/>
                <w:szCs w:val="18"/>
                <w:rtl/>
              </w:rPr>
              <w:t xml:space="preserve">، 78 قادحًا ولا معطَّل منها، ولا دالة داخلية مفتوحة لأدوار القراءة، وحساب النشر معطَّل</w:t>
            </w:r>
          </w:p>
        </w:tc>
      </w:tr>
      <w:tr>
        <w:trPr>
          <w:cantSplit/>
        </w:trPr>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قاعدة حصص المقرضين</w:t>
            </w:r>
          </w:p>
        </w:tc>
        <w:tc>
          <w:tcPr>
            <w:tcW w:type="dxa" w:w="3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 حالات</w:t>
            </w:r>
          </w:p>
        </w:tc>
      </w:tr>
      <w:tr>
        <w:trPr>
          <w:cantSplit/>
        </w:trPr>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المشتركين</w:t>
            </w:r>
          </w:p>
        </w:tc>
        <w:tc>
          <w:tcPr>
            <w:tcW w:type="dxa" w:w="3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48 حالة</w:t>
            </w:r>
          </w:p>
        </w:tc>
      </w:tr>
      <w:tr>
        <w:trPr>
          <w:cantSplit/>
        </w:trPr>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8–18</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الدخول والأمن، والمشغّل والدعم، والمهام، والتهيئة، والترقيم (مع اتصالين متزامنين)، وKYC، والبيانات المرجعية، والتدقيق، والتصدير، وحسابات الخدمة</w:t>
            </w:r>
          </w:p>
        </w:tc>
        <w:tc>
          <w:tcPr>
            <w:tcW w:type="dxa" w:w="3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 و11 و7 و5 و8 و2 و4 و4 و7 و7 و6</w:t>
            </w:r>
          </w:p>
        </w:tc>
      </w:tr>
      <w:tr>
        <w:trPr>
          <w:cantSplit/>
        </w:trPr>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إصلاحات المراجعة وشروط دخول الشرائح (RF1–RF34) وحراس المراجعة الذاتية (SR1–SR9)</w:t>
            </w:r>
          </w:p>
        </w:tc>
        <w:tc>
          <w:tcPr>
            <w:tcW w:type="dxa" w:w="3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43 حالة</w:t>
            </w:r>
          </w:p>
        </w:tc>
      </w:tr>
      <w:tr>
        <w:trPr>
          <w:cantSplit/>
        </w:trPr>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19ب</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وحدة الميزانية (FS1–FS11)</w:t>
            </w:r>
          </w:p>
        </w:tc>
        <w:tc>
          <w:tcPr>
            <w:tcW w:type="dxa" w:w="3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 حالة</w:t>
            </w:r>
          </w:p>
        </w:tc>
      </w:tr>
      <w:tr>
        <w:trPr>
          <w:cantSplit/>
        </w:trPr>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19ج</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الائتماني (CA1–CA12): المثال المحلول مطابقًا لـ Python، والتعديلات وترتيبها، والدعم والتجاوز، والصلاحيات ومنع كتابة النتائج، وتجميد البطاقة المعتمدة</w:t>
            </w:r>
          </w:p>
        </w:tc>
        <w:tc>
          <w:tcPr>
            <w:tcW w:type="dxa" w:w="3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 حالة</w:t>
            </w:r>
          </w:p>
        </w:tc>
      </w:tr>
      <w:tr>
        <w:trPr>
          <w:cantSplit/>
        </w:trPr>
        <w:tc>
          <w:tcPr>
            <w:tcW w:type="dxa" w:w="126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20–22</w:t>
            </w:r>
          </w:p>
        </w:tc>
        <w:tc>
          <w:tcPr>
            <w:tcW w:type="dxa" w:w="4868"/>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تدقيق الخادم، وحساب المراقبة، والفحص التمهيدي للنشر</w:t>
            </w:r>
          </w:p>
        </w:tc>
        <w:tc>
          <w:tcPr>
            <w:tcW w:type="dxa" w:w="3727"/>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 و6 و8</w:t>
            </w:r>
          </w:p>
        </w:tc>
      </w:tr>
      <w:tr>
        <w:trPr>
          <w:cantSplit/>
        </w:trPr>
        <w:tc>
          <w:tcPr>
            <w:tcW w:type="dxa" w:w="126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23</w:t>
            </w:r>
          </w:p>
        </w:tc>
        <w:tc>
          <w:tcPr>
            <w:tcW w:type="dxa" w:w="4868"/>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قيد غير موثوق ولا قادح أو مرشح معطَّل، ولا مستخدم اختبار ولا مشترك متبقٍّ</w:t>
            </w:r>
          </w:p>
        </w:tc>
        <w:tc>
          <w:tcPr>
            <w:tcW w:type="dxa" w:w="3727"/>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0/0/0/0/0/0</w:t>
            </w:r>
          </w:p>
        </w:tc>
      </w:tr>
    </w:tbl>
    <w:p>
      <w:pPr>
        <w:bidi/>
        <w:spacing w:after="120" w:before="0"/>
      </w:pPr>
    </w:p>
    <w:p>
      <w:pPr>
        <w:pStyle w:val="Heading1"/>
        <w:bidi/>
      </w:pPr>
      <w:bookmarkStart w:name="_sec12" w:id="12"/>
      <w:r>
        <w:rPr>
          <w:rFonts w:ascii="Arial" w:cs="Arial" w:eastAsia="Arial" w:hAnsi="Arial"/>
          <w:b/>
          <w:bCs/>
          <w:color w:val="1F3A5F"/>
          <w:sz w:val="32"/>
          <w:szCs w:val="32"/>
          <w:rtl/>
        </w:rPr>
        <w:t xml:space="preserve">5. الأدلة</w:t>
      </w:r>
      <w:bookmarkEnd w:id="12"/>
    </w:p>
    <w:p>
      <w:pPr>
        <w:pStyle w:val="ListParagraph"/>
        <w:numPr>
          <w:ilvl w:val="0"/>
          <w:numId w:val="4"/>
        </w:numPr>
        <w:bidi/>
        <w:spacing w:after="70" w:before="0" w:line="300"/>
      </w:pPr>
      <w:r>
        <w:rPr>
          <w:rFonts w:ascii="Arial" w:cs="Arial" w:eastAsia="Arial" w:hAnsi="Arial"/>
          <w:b/>
          <w:bCs/>
          <w:sz w:val="21"/>
          <w:szCs w:val="21"/>
          <w:rtl/>
        </w:rPr>
        <w:t xml:space="preserve">CI على GitHub</w:t>
      </w:r>
      <w:r>
        <w:rPr>
          <w:rFonts w:ascii="Arial" w:cs="Arial" w:eastAsia="Arial" w:hAnsi="Arial"/>
          <w:b w:val="false"/>
          <w:bCs w:val="false"/>
          <w:sz w:val="21"/>
          <w:szCs w:val="21"/>
          <w:rtl/>
        </w:rPr>
        <w:t xml:space="preserve"> (</w:t>
      </w:r>
      <w:r>
        <w:rPr>
          <w:rFonts w:ascii="Courier New" w:cs="Courier New" w:eastAsia="Courier New" w:hAnsi="Courier New"/>
          <w:b w:val="false"/>
          <w:bCs w:val="false"/>
          <w:color w:val="1F2937"/>
          <w:sz w:val="18"/>
          <w:szCs w:val="18"/>
          <w:shd w:fill="F1F3F5" w:color="auto" w:val="clear"/>
          <w:rtl/>
        </w:rPr>
        <w:t xml:space="preserve">‎treasury-database-ci‎</w:t>
      </w:r>
      <w:r>
        <w:rPr>
          <w:rFonts w:ascii="Arial" w:cs="Arial" w:eastAsia="Arial" w:hAnsi="Arial"/>
          <w:b w:val="false"/>
          <w:bCs w:val="false"/>
          <w:sz w:val="21"/>
          <w:szCs w:val="21"/>
          <w:rtl/>
        </w:rPr>
        <w:t xml:space="preserve">). مرت التشغيلات 38 إلى 41 على تعديلات شروط الدخول. ويُشغَّل على إيداعي المراجعة الذاتية ووحدة الميزانية. أما سير العمل العام «CI» في جذر المستودع فيخص المنتج الآخر فيه، ويفشل على هذا الفرع منذ قبل هذا العمل، ولا يمس قاعدة الخزينة.</w:t>
      </w:r>
    </w:p>
    <w:p>
      <w:pPr>
        <w:pStyle w:val="ListParagraph"/>
        <w:numPr>
          <w:ilvl w:val="0"/>
          <w:numId w:val="4"/>
        </w:numPr>
        <w:bidi/>
        <w:spacing w:after="70" w:before="0" w:line="300"/>
      </w:pPr>
      <w:r>
        <w:rPr>
          <w:rFonts w:ascii="Arial" w:cs="Arial" w:eastAsia="Arial" w:hAnsi="Arial"/>
          <w:b/>
          <w:bCs/>
          <w:sz w:val="21"/>
          <w:szCs w:val="21"/>
          <w:rtl/>
        </w:rPr>
        <w:t xml:space="preserve">اختبار بالتعطيل (mutation).</w:t>
      </w:r>
      <w:r>
        <w:rPr>
          <w:rFonts w:ascii="Arial" w:cs="Arial" w:eastAsia="Arial" w:hAnsi="Arial"/>
          <w:b w:val="false"/>
          <w:bCs w:val="false"/>
          <w:sz w:val="21"/>
          <w:szCs w:val="21"/>
          <w:rtl/>
        </w:rPr>
        <w:t xml:space="preserve"> عُطِّل كل حارس وحده، أو أُعيد كوده القديم، فرسب اختباره:</w:t>
      </w:r>
    </w:p>
    <w:p>
      <w:pPr>
        <w:pStyle w:val="ListParagraph"/>
        <w:numPr>
          <w:ilvl w:val="1"/>
          <w:numId w:val="3"/>
        </w:numPr>
        <w:bidi/>
        <w:spacing w:after="70" w:before="0" w:line="300"/>
      </w:pPr>
      <w:r>
        <w:rPr>
          <w:rFonts w:ascii="Arial" w:cs="Arial" w:eastAsia="Arial" w:hAnsi="Arial"/>
          <w:b w:val="false"/>
          <w:bCs w:val="false"/>
          <w:sz w:val="21"/>
          <w:szCs w:val="21"/>
          <w:rtl/>
        </w:rPr>
        <w:t xml:space="preserve">13 من 16 قادحًا لـ S3 وS4، والثلاثة الباقية مولَّدة (الانتقالات وقواعد المرفقات والخطافات) أُضيف اختبارها SR8 في المراجعة الذاتية؛</w:t>
      </w:r>
    </w:p>
    <w:p>
      <w:pPr>
        <w:pStyle w:val="ListParagraph"/>
        <w:numPr>
          <w:ilvl w:val="1"/>
          <w:numId w:val="3"/>
        </w:numPr>
        <w:bidi/>
        <w:spacing w:after="70" w:before="0" w:line="300"/>
      </w:pPr>
      <w:r>
        <w:rPr>
          <w:rFonts w:ascii="Arial" w:cs="Arial" w:eastAsia="Arial" w:hAnsi="Arial"/>
          <w:b w:val="false"/>
          <w:bCs w:val="false"/>
          <w:sz w:val="21"/>
          <w:szCs w:val="21"/>
          <w:rtl/>
        </w:rPr>
        <w:t xml:space="preserve">منع الأعمدة على نسخ الطلب: أُبدل بمنح، فرسب RF32؛</w:t>
      </w:r>
    </w:p>
    <w:p>
      <w:pPr>
        <w:pStyle w:val="ListParagraph"/>
        <w:numPr>
          <w:ilvl w:val="1"/>
          <w:numId w:val="3"/>
        </w:numPr>
        <w:bidi/>
        <w:spacing w:after="70" w:before="0" w:line="300"/>
      </w:pPr>
      <w:r>
        <w:rPr>
          <w:rFonts w:ascii="Arial" w:cs="Arial" w:eastAsia="Arial" w:hAnsi="Arial"/>
          <w:b w:val="false"/>
          <w:bCs w:val="false"/>
          <w:sz w:val="21"/>
          <w:szCs w:val="21"/>
          <w:rtl/>
        </w:rPr>
        <w:t xml:space="preserve">حراس المراجعة الذاتية: 16 من 17. الباقية حالة MERGE في نسخ الحجز (</w:t>
      </w:r>
      <w:r>
        <w:rPr>
          <w:rFonts w:ascii="Courier New" w:cs="Courier New" w:eastAsia="Courier New" w:hAnsi="Courier New"/>
          <w:b w:val="false"/>
          <w:bCs w:val="false"/>
          <w:color w:val="1F2937"/>
          <w:sz w:val="18"/>
          <w:szCs w:val="18"/>
          <w:shd w:fill="F1F3F5" w:color="auto" w:val="clear"/>
          <w:rtl/>
        </w:rPr>
        <w:t xml:space="preserve">‎docs/34‎</w:t>
      </w:r>
      <w:r>
        <w:rPr>
          <w:rFonts w:ascii="Arial" w:cs="Arial" w:eastAsia="Arial" w:hAnsi="Arial"/>
          <w:b w:val="false"/>
          <w:bCs w:val="false"/>
          <w:sz w:val="21"/>
          <w:szCs w:val="21"/>
          <w:rtl/>
        </w:rPr>
        <w:t xml:space="preserve"> §2، A6)؛</w:t>
      </w:r>
    </w:p>
    <w:p>
      <w:pPr>
        <w:pStyle w:val="ListParagraph"/>
        <w:numPr>
          <w:ilvl w:val="1"/>
          <w:numId w:val="3"/>
        </w:numPr>
        <w:bidi/>
        <w:spacing w:after="70" w:before="0" w:line="300"/>
      </w:pPr>
      <w:r>
        <w:rPr>
          <w:rFonts w:ascii="Arial" w:cs="Arial" w:eastAsia="Arial" w:hAnsi="Arial"/>
          <w:b w:val="false"/>
          <w:bCs w:val="false"/>
          <w:sz w:val="21"/>
          <w:szCs w:val="21"/>
          <w:rtl/>
        </w:rPr>
        <w:t xml:space="preserve">قوادح وحدة الميزانية: 5 من 5؛</w:t>
      </w:r>
    </w:p>
    <w:p>
      <w:pPr>
        <w:pStyle w:val="ListParagraph"/>
        <w:numPr>
          <w:ilvl w:val="1"/>
          <w:numId w:val="3"/>
        </w:numPr>
        <w:bidi/>
        <w:spacing w:after="70" w:before="0" w:line="300"/>
      </w:pPr>
      <w:r>
        <w:rPr>
          <w:rFonts w:ascii="Arial" w:cs="Arial" w:eastAsia="Arial" w:hAnsi="Arial"/>
          <w:b w:val="false"/>
          <w:bCs w:val="false"/>
          <w:sz w:val="21"/>
          <w:szCs w:val="21"/>
          <w:rtl/>
        </w:rPr>
        <w:t xml:space="preserve">قوادح التقييم الائتماني: 10 من 10 (رسبت CA6 أو CA7 أو CA10).</w:t>
      </w:r>
    </w:p>
    <w:p>
      <w:pPr>
        <w:bidi/>
        <w:spacing w:after="70" w:before="0" w:line="300"/>
        <w:ind w:left="574"/>
      </w:pPr>
      <w:r>
        <w:rPr>
          <w:rFonts w:ascii="Arial" w:cs="Arial" w:eastAsia="Arial" w:hAnsi="Arial"/>
          <w:b w:val="false"/>
          <w:bCs w:val="false"/>
          <w:sz w:val="21"/>
          <w:szCs w:val="21"/>
          <w:rtl/>
        </w:rPr>
        <w:t xml:space="preserve">والتفاصيل في رسائل الإيداع، وفي ADR 0011 وADR 0015.</w:t>
      </w:r>
    </w:p>
    <w:p>
      <w:pPr>
        <w:pStyle w:val="ListParagraph"/>
        <w:numPr>
          <w:ilvl w:val="0"/>
          <w:numId w:val="4"/>
        </w:numPr>
        <w:bidi/>
        <w:spacing w:after="70" w:before="0" w:line="300"/>
      </w:pPr>
      <w:r>
        <w:rPr>
          <w:rFonts w:ascii="Arial" w:cs="Arial" w:eastAsia="Arial" w:hAnsi="Arial"/>
          <w:b/>
          <w:bCs/>
          <w:sz w:val="21"/>
          <w:szCs w:val="21"/>
          <w:rtl/>
        </w:rPr>
        <w:t xml:space="preserve">الاختبارات نفسها.</w:t>
      </w:r>
      <w:r>
        <w:rPr>
          <w:rFonts w:ascii="Arial" w:cs="Arial" w:eastAsia="Arial" w:hAnsi="Arial"/>
          <w:b w:val="false"/>
          <w:bCs w:val="false"/>
          <w:sz w:val="21"/>
          <w:szCs w:val="21"/>
          <w:rtl/>
        </w:rPr>
        <w:t xml:space="preserve"> كل حالة تطبع سطرًا يبدأ بـ PASS أو FAIL، ومعه رقم الخطأ لكل حالة فرعية.</w:t>
      </w:r>
    </w:p>
    <w:p>
      <w:pPr>
        <w:pStyle w:val="ListParagraph"/>
        <w:numPr>
          <w:ilvl w:val="0"/>
          <w:numId w:val="4"/>
        </w:numPr>
        <w:bidi/>
        <w:spacing w:after="70" w:before="0" w:line="300"/>
      </w:pPr>
      <w:r>
        <w:rPr>
          <w:rFonts w:ascii="Arial" w:cs="Arial" w:eastAsia="Arial" w:hAnsi="Arial"/>
          <w:b/>
          <w:bCs/>
          <w:sz w:val="21"/>
          <w:szCs w:val="21"/>
          <w:rtl/>
        </w:rPr>
        <w:t xml:space="preserve">فحوص على الملفات قبل النشر:</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‎check_grants.py‎</w:t>
      </w:r>
      <w:r>
        <w:rPr>
          <w:rFonts w:ascii="Arial" w:cs="Arial" w:eastAsia="Arial" w:hAnsi="Arial"/>
          <w:b w:val="false"/>
          <w:bCs w:val="false"/>
          <w:sz w:val="21"/>
          <w:szCs w:val="21"/>
          <w:rtl/>
        </w:rPr>
        <w:t xml:space="preserve">: قواعد المنح والحذف المتتالي؛</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‎check_fk_indexes.py‎</w:t>
      </w:r>
      <w:r>
        <w:rPr>
          <w:rFonts w:ascii="Arial" w:cs="Arial" w:eastAsia="Arial" w:hAnsi="Arial"/>
          <w:b w:val="false"/>
          <w:bCs w:val="false"/>
          <w:sz w:val="21"/>
          <w:szCs w:val="21"/>
          <w:rtl/>
        </w:rPr>
        <w:t xml:space="preserve">: فهرسة المفاتيح الأجنبية؛</w:t>
      </w:r>
    </w:p>
    <w:p>
      <w:pPr>
        <w:pStyle w:val="ListParagraph"/>
        <w:numPr>
          <w:ilvl w:val="1"/>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‎check_review_fixes.py‎</w:t>
      </w:r>
      <w:r>
        <w:rPr>
          <w:rFonts w:ascii="Arial" w:cs="Arial" w:eastAsia="Arial" w:hAnsi="Arial"/>
          <w:b w:val="false"/>
          <w:bCs w:val="false"/>
          <w:sz w:val="21"/>
          <w:szCs w:val="21"/>
          <w:rtl/>
        </w:rPr>
        <w:t xml:space="preserve">: 75 فحصًا على الـDDL والحراس، بلا قراءة التعليقات.</w:t>
      </w:r>
    </w:p>
    <w:p>
      <w:pPr>
        <w:pStyle w:val="ListParagraph"/>
        <w:numPr>
          <w:ilvl w:val="0"/>
          <w:numId w:val="4"/>
        </w:numPr>
        <w:bidi/>
        <w:spacing w:after="70" w:before="0" w:line="300"/>
      </w:pPr>
      <w:r>
        <w:rPr>
          <w:rFonts w:ascii="Arial" w:cs="Arial" w:eastAsia="Arial" w:hAnsi="Arial"/>
          <w:b/>
          <w:bCs/>
          <w:sz w:val="21"/>
          <w:szCs w:val="21"/>
          <w:rtl/>
        </w:rPr>
        <w:t xml:space="preserve">ما لا تثبته الأدلة.</w:t>
      </w:r>
      <w:r>
        <w:rPr>
          <w:rFonts w:ascii="Arial" w:cs="Arial" w:eastAsia="Arial" w:hAnsi="Arial"/>
          <w:b w:val="false"/>
          <w:bCs w:val="false"/>
          <w:sz w:val="21"/>
          <w:szCs w:val="21"/>
          <w:rtl/>
        </w:rPr>
        <w:t xml:space="preserve"> نسخة PostgreSQL تثبت البنية المنطقية فقط. ولم يجرِ اختبار حمل ولا قياس أداء.</w:t>
      </w:r>
    </w:p>
    <w:p>
      <w:pPr>
        <w:bidi/>
        <w:spacing w:after="60" w:before="0"/>
      </w:pPr>
    </w:p>
    <w:p>
      <w:pPr>
        <w:pStyle w:val="Heading1"/>
        <w:bidi/>
      </w:pPr>
      <w:bookmarkStart w:name="_sec13" w:id="13"/>
      <w:r>
        <w:rPr>
          <w:rFonts w:ascii="Arial" w:cs="Arial" w:eastAsia="Arial" w:hAnsi="Arial"/>
          <w:b/>
          <w:bCs/>
          <w:color w:val="1F3A5F"/>
          <w:sz w:val="32"/>
          <w:szCs w:val="32"/>
          <w:rtl/>
        </w:rPr>
        <w:t xml:space="preserve">6. أنماط تصميم يحسن أن يعرفها المراجع</w:t>
      </w:r>
      <w:bookmarkEnd w:id="13"/>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1409"/>
        <w:gridCol w:w="4404"/>
        <w:gridCol w:w="4051"/>
      </w:tblGrid>
      <w:tr>
        <w:trPr>
          <w:cantSplit/>
          <w:tblHeader/>
        </w:trPr>
        <w:tc>
          <w:tcPr>
            <w:tcW w:type="dxa" w:w="140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النمط</w:t>
            </w:r>
          </w:p>
        </w:tc>
        <w:tc>
          <w:tcPr>
            <w:tcW w:type="dxa" w:w="440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أين</w:t>
            </w:r>
          </w:p>
        </w:tc>
        <w:tc>
          <w:tcPr>
            <w:tcW w:type="dxa" w:w="4051"/>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الفكرة</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عزل المشترك</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‎010_rls.sql‎</w:t>
            </w:r>
            <w:r>
              <w:rPr>
                <w:rFonts w:ascii="Arial" w:cs="Arial" w:eastAsia="Arial" w:hAnsi="Arial"/>
                <w:b w:val="false"/>
                <w:bCs w:val="false"/>
                <w:sz w:val="18"/>
                <w:szCs w:val="18"/>
                <w:rtl/>
              </w:rPr>
              <w:t xml:space="preserve">، </w:t>
            </w:r>
            <w:r>
              <w:rPr>
                <w:rFonts w:ascii="Courier New" w:cs="Courier New" w:eastAsia="Courier New" w:hAnsi="Courier New"/>
                <w:b w:val="false"/>
                <w:bCs w:val="false"/>
                <w:color w:val="1F2937"/>
                <w:sz w:val="16"/>
                <w:szCs w:val="16"/>
                <w:shd w:fill="F1F3F5" w:color="auto" w:val="clear"/>
                <w:rtl/>
              </w:rPr>
              <w:t xml:space="preserve">‎030_session_context.sql‎</w:t>
            </w:r>
            <w:r>
              <w:rPr>
                <w:rFonts w:ascii="Arial" w:cs="Arial" w:eastAsia="Arial" w:hAnsi="Arial"/>
                <w:b w:val="false"/>
                <w:bCs w:val="false"/>
                <w:sz w:val="18"/>
                <w:szCs w:val="18"/>
                <w:rtl/>
              </w:rPr>
              <w:t xml:space="preserve">، ADR 0002</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‎TenantId‎</w:t>
            </w:r>
            <w:r>
              <w:rPr>
                <w:rFonts w:ascii="Arial" w:cs="Arial" w:eastAsia="Arial" w:hAnsi="Arial"/>
                <w:b w:val="false"/>
                <w:bCs w:val="false"/>
                <w:sz w:val="18"/>
                <w:szCs w:val="18"/>
                <w:rtl/>
              </w:rPr>
              <w:t xml:space="preserve"> في كل جدول مشترك، ومرشحات صفوف تشترط ربط الجلسة في </w:t>
            </w:r>
            <w:r>
              <w:rPr>
                <w:rFonts w:ascii="Courier New" w:cs="Courier New" w:eastAsia="Courier New" w:hAnsi="Courier New"/>
                <w:b w:val="false"/>
                <w:bCs w:val="false"/>
                <w:color w:val="1F2937"/>
                <w:sz w:val="16"/>
                <w:szCs w:val="16"/>
                <w:shd w:fill="F1F3F5" w:color="auto" w:val="clear"/>
                <w:rtl/>
              </w:rPr>
              <w:t xml:space="preserve">‎sec.SessionBinding‎</w:t>
            </w:r>
            <w:r>
              <w:rPr>
                <w:rFonts w:ascii="Arial" w:cs="Arial" w:eastAsia="Arial" w:hAnsi="Arial"/>
                <w:b w:val="false"/>
                <w:bCs w:val="false"/>
                <w:sz w:val="18"/>
                <w:szCs w:val="18"/>
                <w:rtl/>
              </w:rPr>
              <w:t xml:space="preserve"> برمز تصدره إجراءات الربط وحدها: الدخول، والدعم بمنحة سارية، والمهام بحساب خدمة المشترك</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المفاتيح المركّبة (</w:t>
            </w:r>
            <w:r>
              <w:rPr>
                <w:rFonts w:ascii="Courier New" w:cs="Courier New" w:eastAsia="Courier New" w:hAnsi="Courier New"/>
                <w:b w:val="false"/>
                <w:bCs w:val="false"/>
                <w:color w:val="1F2937"/>
                <w:sz w:val="16"/>
                <w:szCs w:val="16"/>
                <w:shd w:fill="F1F3F5" w:color="auto" w:val="clear"/>
                <w:rtl/>
              </w:rPr>
              <w:t xml:space="preserve">‎via‎</w:t>
            </w:r>
            <w:r>
              <w:rPr>
                <w:rFonts w:ascii="Arial" w:cs="Arial" w:eastAsia="Arial" w:hAnsi="Arial"/>
                <w:b w:val="false"/>
                <w:bCs w:val="false"/>
                <w:sz w:val="18"/>
                <w:szCs w:val="18"/>
                <w:rtl/>
              </w:rPr>
              <w:t xml:space="preserve">)</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النموذج</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الابن يحمل نسخة من عمود الأب، والمفتاح الأجنبي يشمله، فلا يربط بأب من نطاق آخر (المشترك، التسهيل، العملة، الغرض)</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الصف المراجَع </w:t>
            </w:r>
            <w:r>
              <w:rPr>
                <w:rFonts w:ascii="Courier New" w:cs="Courier New" w:eastAsia="Courier New" w:hAnsi="Courier New"/>
                <w:b w:val="false"/>
                <w:bCs w:val="false"/>
                <w:color w:val="1F2937"/>
                <w:sz w:val="16"/>
                <w:szCs w:val="16"/>
                <w:shd w:fill="F1F3F5" w:color="auto" w:val="clear"/>
                <w:rtl/>
              </w:rPr>
              <w:t xml:space="preserve">‎rev‎</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جداول التسهيل، ADR 0011 وADR 0015</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‎FromRevision/ToRevision‎</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‎SupersedesId‎</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‎RootId‎</w:t>
            </w:r>
            <w:r>
              <w:rPr>
                <w:rFonts w:ascii="Arial" w:cs="Arial" w:eastAsia="Arial" w:hAnsi="Arial"/>
                <w:b w:val="false"/>
                <w:bCs w:val="false"/>
                <w:sz w:val="18"/>
                <w:szCs w:val="18"/>
                <w:rtl/>
              </w:rPr>
              <w:t xml:space="preserve"> هوية ثابتة للعقدة، وصف مفتوح واحد لكل جذر؛ والاعتماد يفحص سلامة المراجعة كلها، وصفوف المراجعة المعتمدة لا تتغير (50049)؛ والاختبارات والأجندة والخروقات تحمل جذر عقدتها</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الكتابة على مراحل</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041، 044</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النسخة تُكتب مسودة، ثم أجزاؤها، ثم تُقفل أو تُنشر؛ والمقفل لا يتغير إلا بما يسمّيه القادح</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قوادح التجميد من الكتالوج</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w:t>
            </w:r>
            <w:r>
              <w:rPr>
                <w:rFonts w:ascii="Arial" w:cs="Arial" w:eastAsia="Arial" w:hAnsi="Arial"/>
                <w:b w:val="false"/>
                <w:bCs w:val="false"/>
                <w:sz w:val="18"/>
                <w:szCs w:val="18"/>
                <w:rtl/>
              </w:rPr>
              <w:t xml:space="preserve"> لـ </w:t>
            </w:r>
            <w:r>
              <w:rPr>
                <w:rFonts w:ascii="Courier New" w:cs="Courier New" w:eastAsia="Courier New" w:hAnsi="Courier New"/>
                <w:b w:val="false"/>
                <w:bCs w:val="false"/>
                <w:color w:val="1F2937"/>
                <w:sz w:val="16"/>
                <w:szCs w:val="16"/>
                <w:shd w:fill="F1F3F5" w:color="auto" w:val="clear"/>
                <w:rtl/>
              </w:rPr>
              <w:t xml:space="preserve">‎lc.LcTerms‎</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‎wfl.WorkflowTemplate‎</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قائمة الأعمدة المجمّدة تُبنى عند النشر من </w:t>
            </w:r>
            <w:r>
              <w:rPr>
                <w:rFonts w:ascii="Courier New" w:cs="Courier New" w:eastAsia="Courier New" w:hAnsi="Courier New"/>
                <w:b w:val="false"/>
                <w:bCs w:val="false"/>
                <w:color w:val="1F2937"/>
                <w:sz w:val="16"/>
                <w:szCs w:val="16"/>
                <w:shd w:fill="F1F3F5" w:color="auto" w:val="clear"/>
                <w:rtl/>
              </w:rPr>
              <w:t xml:space="preserve">‎sys.columns‎</w:t>
            </w:r>
            <w:r>
              <w:rPr>
                <w:rFonts w:ascii="Arial" w:cs="Arial" w:eastAsia="Arial" w:hAnsi="Arial"/>
                <w:b w:val="false"/>
                <w:bCs w:val="false"/>
                <w:sz w:val="18"/>
                <w:szCs w:val="18"/>
                <w:rtl/>
              </w:rPr>
              <w:t xml:space="preserve">، فالعمود الجديد مجمّد ما لم يُسمَّ</w:t>
            </w:r>
          </w:p>
        </w:tc>
      </w:tr>
      <w:tr>
        <w:trPr>
          <w:cantSplit/>
        </w:trPr>
        <w:tc>
          <w:tcPr>
            <w:tcW w:type="dxa" w:w="140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تكتبها القاعدة وحدها</w:t>
            </w:r>
          </w:p>
        </w:tc>
        <w:tc>
          <w:tcPr>
            <w:tcW w:type="dxa" w:w="440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‎044‎</w:t>
            </w:r>
            <w:r>
              <w:rPr>
                <w:rFonts w:ascii="Arial" w:cs="Arial" w:eastAsia="Arial" w:hAnsi="Arial"/>
                <w:b w:val="false"/>
                <w:bCs w:val="false"/>
                <w:sz w:val="18"/>
                <w:szCs w:val="18"/>
                <w:rtl/>
              </w:rPr>
              <w:t xml:space="preserve"> لـ </w:t>
            </w:r>
            <w:r>
              <w:rPr>
                <w:rFonts w:ascii="Courier New" w:cs="Courier New" w:eastAsia="Courier New" w:hAnsi="Courier New"/>
                <w:b w:val="false"/>
                <w:bCs w:val="false"/>
                <w:color w:val="1F2937"/>
                <w:sz w:val="16"/>
                <w:szCs w:val="16"/>
                <w:shd w:fill="F1F3F5" w:color="auto" w:val="clear"/>
                <w:rtl/>
              </w:rPr>
              <w:t xml:space="preserve">‎wfl.Request‎</w:t>
            </w:r>
            <w:r>
              <w:rPr>
                <w:rFonts w:ascii="Arial" w:cs="Arial" w:eastAsia="Arial" w:hAnsi="Arial"/>
                <w:b w:val="false"/>
                <w:bCs w:val="false"/>
                <w:sz w:val="18"/>
                <w:szCs w:val="18"/>
                <w:rtl/>
              </w:rPr>
              <w:t xml:space="preserve">، و</w:t>
            </w:r>
            <w:r>
              <w:rPr>
                <w:rFonts w:ascii="Courier New" w:cs="Courier New" w:eastAsia="Courier New" w:hAnsi="Courier New"/>
                <w:b w:val="false"/>
                <w:bCs w:val="false"/>
                <w:color w:val="1F2937"/>
                <w:sz w:val="16"/>
                <w:szCs w:val="16"/>
                <w:shd w:fill="F1F3F5" w:color="auto" w:val="clear"/>
                <w:rtl/>
              </w:rPr>
              <w:t xml:space="preserve">‎045‎</w:t>
            </w:r>
            <w:r>
              <w:rPr>
                <w:rFonts w:ascii="Arial" w:cs="Arial" w:eastAsia="Arial" w:hAnsi="Arial"/>
                <w:b w:val="false"/>
                <w:bCs w:val="false"/>
                <w:sz w:val="18"/>
                <w:szCs w:val="18"/>
                <w:rtl/>
              </w:rPr>
              <w:t xml:space="preserve"> لـ </w:t>
            </w:r>
            <w:r>
              <w:rPr>
                <w:rFonts w:ascii="Courier New" w:cs="Courier New" w:eastAsia="Courier New" w:hAnsi="Courier New"/>
                <w:b w:val="false"/>
                <w:bCs w:val="false"/>
                <w:color w:val="1F2937"/>
                <w:sz w:val="16"/>
                <w:szCs w:val="16"/>
                <w:shd w:fill="F1F3F5" w:color="auto" w:val="clear"/>
                <w:rtl/>
              </w:rPr>
              <w:t xml:space="preserve">‎obl.CovenantTestStatement‎</w:t>
            </w:r>
          </w:p>
        </w:tc>
        <w:tc>
          <w:tcPr>
            <w:tcW w:type="dxa" w:w="4051"/>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نسخ المرحلة والحجز تبقى للفهارس، وتكتبها قوادح من مصدرها، ويُمنع منها </w:t>
            </w:r>
            <w:r>
              <w:rPr>
                <w:rFonts w:ascii="Courier New" w:cs="Courier New" w:eastAsia="Courier New" w:hAnsi="Courier New"/>
                <w:b w:val="false"/>
                <w:bCs w:val="false"/>
                <w:color w:val="1F2937"/>
                <w:sz w:val="16"/>
                <w:szCs w:val="16"/>
                <w:shd w:fill="F1F3F5" w:color="auto" w:val="clear"/>
                <w:rtl/>
              </w:rPr>
              <w:t xml:space="preserve">‎tp_app‎</w:t>
            </w:r>
            <w:r>
              <w:rPr>
                <w:rFonts w:ascii="Arial" w:cs="Arial" w:eastAsia="Arial" w:hAnsi="Arial"/>
                <w:b w:val="false"/>
                <w:bCs w:val="false"/>
                <w:sz w:val="18"/>
                <w:szCs w:val="18"/>
                <w:rtl/>
              </w:rPr>
              <w:t xml:space="preserve">؛ وعرض يسرد أي اختلاف. والقوائم التي قرأها التقييم تُكتب من لقطته</w:t>
            </w:r>
          </w:p>
        </w:tc>
      </w:tr>
      <w:tr>
        <w:trPr>
          <w:cantSplit/>
        </w:trPr>
        <w:tc>
          <w:tcPr>
            <w:tcW w:type="dxa" w:w="140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أخطاء مرقّمة</w:t>
            </w:r>
          </w:p>
        </w:tc>
        <w:tc>
          <w:tcPr>
            <w:tcW w:type="dxa" w:w="440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50001 فما فوق</w:t>
            </w:r>
          </w:p>
        </w:tc>
        <w:tc>
          <w:tcPr>
            <w:tcW w:type="dxa" w:w="4051"/>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كل قادح يرفع رقمًا ثابتًا، والتطبيق يتحقق قبله؛ وخطأ القادح ينهي المعاملة</w:t>
            </w:r>
          </w:p>
        </w:tc>
      </w:tr>
    </w:tbl>
    <w:p>
      <w:pPr>
        <w:bidi/>
        <w:spacing w:after="120" w:before="0"/>
      </w:pPr>
    </w:p>
    <w:p>
      <w:pPr>
        <w:pStyle w:val="Heading1"/>
        <w:bidi/>
      </w:pPr>
      <w:bookmarkStart w:name="_sec14" w:id="14"/>
      <w:r>
        <w:rPr>
          <w:rFonts w:ascii="Arial" w:cs="Arial" w:eastAsia="Arial" w:hAnsi="Arial"/>
          <w:b/>
          <w:bCs/>
          <w:color w:val="1F3A5F"/>
          <w:sz w:val="32"/>
          <w:szCs w:val="32"/>
          <w:rtl/>
        </w:rPr>
        <w:t xml:space="preserve">7. الحدود المعروفة والمؤجل</w:t>
      </w:r>
      <w:bookmarkEnd w:id="14"/>
    </w:p>
    <w:tbl>
      <w:tblPr>
        <w:bidiVisual/>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954"/>
        <w:gridCol w:w="1979"/>
        <w:gridCol w:w="3566"/>
        <w:gridCol w:w="3365"/>
      </w:tblGrid>
      <w:tr>
        <w:trPr>
          <w:cantSplit/>
          <w:tblHeader/>
        </w:trPr>
        <w:tc>
          <w:tcPr>
            <w:tcW w:type="dxa" w:w="954"/>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w:t>
            </w:r>
          </w:p>
        </w:tc>
        <w:tc>
          <w:tcPr>
            <w:tcW w:type="dxa" w:w="1979"/>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البند</w:t>
            </w:r>
          </w:p>
        </w:tc>
        <w:tc>
          <w:tcPr>
            <w:tcW w:type="dxa" w:w="3566"/>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الأثر</w:t>
            </w:r>
          </w:p>
        </w:tc>
        <w:tc>
          <w:tcPr>
            <w:tcW w:type="dxa" w:w="3365"/>
            <w:tcBorders>
              <w:top w:val="single" w:color="BFC9D6" w:sz="4"/>
              <w:left w:val="single" w:color="BFC9D6" w:sz="4"/>
              <w:bottom w:val="single" w:color="BFC9D6" w:sz="4"/>
              <w:right w:val="single" w:color="BFC9D6" w:sz="4"/>
            </w:tcBorders>
            <w:shd w:fill="1F3A5F" w:color="auto" w:val="clear"/>
            <w:tcMar>
              <w:top w:type="dxa" w:w="50"/>
              <w:left w:type="dxa" w:w="90"/>
              <w:bottom w:type="dxa" w:w="50"/>
              <w:right w:type="dxa" w:w="90"/>
            </w:tcMar>
            <w:vAlign w:val="center"/>
          </w:tcPr>
          <w:p>
            <w:pPr>
              <w:keepNext w:val="false"/>
              <w:bidi/>
              <w:spacing w:after="30" w:before="30" w:line="264"/>
            </w:pPr>
            <w:r>
              <w:rPr>
                <w:rFonts w:ascii="Arial" w:cs="Arial" w:eastAsia="Arial" w:hAnsi="Arial"/>
                <w:b/>
                <w:bCs/>
                <w:color w:val="FFFFFF"/>
                <w:sz w:val="18"/>
                <w:szCs w:val="18"/>
                <w:rtl/>
              </w:rPr>
              <w:t xml:space="preserve">المرجع</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كود التطبيق غير مكتوب</w:t>
            </w:r>
          </w:p>
        </w:tc>
        <w:tc>
          <w:tcPr>
            <w:tcW w:type="dxa" w:w="3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قواعد كثيرة في المواصفات يفرضها التطبيق. والقاعدة تفرض البنية والحالات والسلامة المرجعية والعزل</w:t>
            </w:r>
          </w:p>
        </w:tc>
        <w:tc>
          <w:tcPr>
            <w:tcW w:type="dxa" w:w="3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المواصفات 10–14</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2</w:t>
            </w:r>
          </w:p>
        </w:tc>
        <w:tc>
          <w:tcPr>
            <w:tcW w:type="dxa" w:w="1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لا منفّذ ترحيل</w:t>
            </w:r>
          </w:p>
        </w:tc>
        <w:tc>
          <w:tcPr>
            <w:tcW w:type="dxa" w:w="35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النشر على قاعدة فارغة فقط، ويرفض الفحص التمهيدي غيرها (50142)</w:t>
            </w:r>
          </w:p>
        </w:tc>
        <w:tc>
          <w:tcPr>
            <w:tcW w:type="dxa" w:w="3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DQ-B11-4، ADR 0014</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3</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مرساة خارجية لبصمة الشروط وسلسلة التدقيق</w:t>
            </w:r>
          </w:p>
        </w:tc>
        <w:tc>
          <w:tcPr>
            <w:tcW w:type="dxa" w:w="3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البصمة في الصف نفسه، فمن يملك الكتابة يعيد حسابها</w:t>
            </w:r>
          </w:p>
        </w:tc>
        <w:tc>
          <w:tcPr>
            <w:tcW w:type="dxa" w:w="3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O-13، DR-41</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4</w:t>
            </w:r>
          </w:p>
        </w:tc>
        <w:tc>
          <w:tcPr>
            <w:tcW w:type="dxa" w:w="1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فحص أن لا صف يشير إلى مفتاح تشفير متقاعد</w:t>
            </w:r>
          </w:p>
        </w:tc>
        <w:tc>
          <w:tcPr>
            <w:tcW w:type="dxa" w:w="35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ينتظر مهمة تدوير المفاتيح</w:t>
            </w:r>
          </w:p>
        </w:tc>
        <w:tc>
          <w:tcPr>
            <w:tcW w:type="dxa" w:w="3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DR-20</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5</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الترميز </w:t>
            </w:r>
            <w:r>
              <w:rPr>
                <w:rFonts w:ascii="Courier New" w:cs="Courier New" w:eastAsia="Courier New" w:hAnsi="Courier New"/>
                <w:b w:val="false"/>
                <w:bCs w:val="false"/>
                <w:color w:val="1F2937"/>
                <w:sz w:val="16"/>
                <w:szCs w:val="16"/>
                <w:shd w:fill="F1F3F5" w:color="auto" w:val="clear"/>
                <w:rtl/>
              </w:rPr>
              <w:t xml:space="preserve">‎-f 65001‎</w:t>
            </w:r>
          </w:p>
        </w:tc>
        <w:tc>
          <w:tcPr>
            <w:tcW w:type="dxa" w:w="3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تصل البذور العربية سليمة بلا الخيار في Linux، وتتحقق الخطوة 4ب من بصمتها؛ والخيار مسموح في </w:t>
            </w:r>
            <w:r>
              <w:rPr>
                <w:rFonts w:ascii="Courier New" w:cs="Courier New" w:eastAsia="Courier New" w:hAnsi="Courier New"/>
                <w:b w:val="false"/>
                <w:bCs w:val="false"/>
                <w:color w:val="1F2937"/>
                <w:sz w:val="16"/>
                <w:szCs w:val="16"/>
                <w:shd w:fill="F1F3F5" w:color="auto" w:val="clear"/>
                <w:rtl/>
              </w:rPr>
              <w:t xml:space="preserve">‎SQLCMD_OPTS‎</w:t>
            </w:r>
            <w:r>
              <w:rPr>
                <w:rFonts w:ascii="Arial" w:cs="Arial" w:eastAsia="Arial" w:hAnsi="Arial"/>
                <w:b w:val="false"/>
                <w:bCs w:val="false"/>
                <w:sz w:val="18"/>
                <w:szCs w:val="18"/>
                <w:rtl/>
              </w:rPr>
              <w:t xml:space="preserve"> لمن يحتاجه</w:t>
            </w:r>
          </w:p>
        </w:tc>
        <w:tc>
          <w:tcPr>
            <w:tcW w:type="dxa" w:w="3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DQ-S11-3</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6</w:t>
            </w:r>
          </w:p>
        </w:tc>
        <w:tc>
          <w:tcPr>
            <w:tcW w:type="dxa" w:w="1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سكربت Windows </w:t>
            </w:r>
            <w:r>
              <w:rPr>
                <w:rFonts w:ascii="Courier New" w:cs="Courier New" w:eastAsia="Courier New" w:hAnsi="Courier New"/>
                <w:b w:val="false"/>
                <w:bCs w:val="false"/>
                <w:color w:val="1F2937"/>
                <w:sz w:val="16"/>
                <w:szCs w:val="16"/>
                <w:shd w:fill="F1F3F5" w:color="auto" w:val="clear"/>
                <w:rtl/>
              </w:rPr>
              <w:t xml:space="preserve">‎deploy.ps1‎</w:t>
            </w:r>
          </w:p>
        </w:tc>
        <w:tc>
          <w:tcPr>
            <w:tcW w:type="dxa" w:w="35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يشغّل الفحص التمهيدي نفسه منذ ADR 0015، لكنه لم يُشغَّل قط</w:t>
            </w:r>
          </w:p>
        </w:tc>
        <w:tc>
          <w:tcPr>
            <w:tcW w:type="dxa" w:w="3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0001</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7</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الاحتفاظ والأرشفة، وتمرين الاستعادة</w:t>
            </w:r>
          </w:p>
        </w:tc>
        <w:tc>
          <w:tcPr>
            <w:tcW w:type="dxa" w:w="3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RPO 15 دقيقة وRTO 4 ساعات معتمدان (docs/31 القرار 18)، والخطة في DOC-S09؛ ولم يُجرَ تمرين مقيس بعد</w:t>
            </w:r>
          </w:p>
        </w:tc>
        <w:tc>
          <w:tcPr>
            <w:tcW w:type="dxa" w:w="3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O-14، O-6</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8</w:t>
            </w:r>
          </w:p>
        </w:tc>
        <w:tc>
          <w:tcPr>
            <w:tcW w:type="dxa" w:w="1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قيد الحجب في النص الحر (DR-31)</w:t>
            </w:r>
          </w:p>
        </w:tc>
        <w:tc>
          <w:tcPr>
            <w:tcW w:type="dxa" w:w="35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يرفض عشرة أرقام متتالية. فمبلغ يُكتب بلا فواصل من مليار فأكثر، أو رقم مرجعي طويل، يُرفض أيضًا. والتطبيق يكتب المبالغ بفواصل؛ واعتمده المالك كما هو (2026-10-14)</w:t>
            </w:r>
          </w:p>
        </w:tc>
        <w:tc>
          <w:tcPr>
            <w:tcW w:type="dxa" w:w="3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0011</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9</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عقود يلتزمها التطبيق</w:t>
            </w:r>
          </w:p>
        </w:tc>
        <w:tc>
          <w:tcPr>
            <w:tcW w:type="dxa" w:w="3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ترتيب كتابة النسخ؛ وسطور البروفورما بعبارة واحدة؛ وشكل لقطة التقييم الآلي؛ و</w:t>
            </w:r>
            <w:r>
              <w:rPr>
                <w:rFonts w:ascii="Courier New" w:cs="Courier New" w:eastAsia="Courier New" w:hAnsi="Courier New"/>
                <w:b w:val="false"/>
                <w:bCs w:val="false"/>
                <w:color w:val="1F2937"/>
                <w:sz w:val="16"/>
                <w:szCs w:val="16"/>
                <w:shd w:fill="F1F3F5" w:color="auto" w:val="clear"/>
                <w:rtl/>
              </w:rPr>
              <w:t xml:space="preserve">‎ChangedFieldsJson‎</w:t>
            </w:r>
            <w:r>
              <w:rPr>
                <w:rFonts w:ascii="Arial" w:cs="Arial" w:eastAsia="Arial" w:hAnsi="Arial"/>
                <w:b w:val="false"/>
                <w:bCs w:val="false"/>
                <w:sz w:val="18"/>
                <w:szCs w:val="18"/>
                <w:rtl/>
              </w:rPr>
              <w:t xml:space="preserve"> كائن بمفاتيح الحقول</w:t>
            </w:r>
          </w:p>
        </w:tc>
        <w:tc>
          <w:tcPr>
            <w:tcW w:type="dxa" w:w="3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تعديل ADR 0011</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10</w:t>
            </w:r>
          </w:p>
        </w:tc>
        <w:tc>
          <w:tcPr>
            <w:tcW w:type="dxa" w:w="1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‎sqlcmd‎</w:t>
            </w:r>
            <w:r>
              <w:rPr>
                <w:rFonts w:ascii="Arial" w:cs="Arial" w:eastAsia="Arial" w:hAnsi="Arial"/>
                <w:b w:val="false"/>
                <w:bCs w:val="false"/>
                <w:sz w:val="18"/>
                <w:szCs w:val="18"/>
                <w:rtl/>
              </w:rPr>
              <w:t xml:space="preserve"> القديم في حاوية التطوير</w:t>
            </w:r>
          </w:p>
        </w:tc>
        <w:tc>
          <w:tcPr>
            <w:tcW w:type="dxa" w:w="35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يطبع أحيانًا جزءًا من مدخله قبل سطر النتيجة، ويشوّه الاستعلام الطويل في </w:t>
            </w:r>
            <w:r>
              <w:rPr>
                <w:rFonts w:ascii="Courier New" w:cs="Courier New" w:eastAsia="Courier New" w:hAnsi="Courier New"/>
                <w:b w:val="false"/>
                <w:bCs w:val="false"/>
                <w:color w:val="1F2937"/>
                <w:sz w:val="16"/>
                <w:szCs w:val="16"/>
                <w:shd w:fill="F1F3F5" w:color="auto" w:val="clear"/>
                <w:rtl/>
              </w:rPr>
              <w:t xml:space="preserve">‎-Q‎</w:t>
            </w:r>
            <w:r>
              <w:rPr>
                <w:rFonts w:ascii="Arial" w:cs="Arial" w:eastAsia="Arial" w:hAnsi="Arial"/>
                <w:b w:val="false"/>
                <w:bCs w:val="false"/>
                <w:sz w:val="18"/>
                <w:szCs w:val="18"/>
                <w:rtl/>
              </w:rPr>
              <w:t xml:space="preserve">. لذلك يقرأ CI النتائج من أي موضع في السطر في كل الخطوات، ويمرّر فحص ما بعد النشر استعلامه في ملف</w:t>
            </w:r>
          </w:p>
        </w:tc>
        <w:tc>
          <w:tcPr>
            <w:tcW w:type="dxa" w:w="3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‎tools/ci/db_ci.sh‎</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11</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التكرار الذاتي للقوادح</w:t>
            </w:r>
          </w:p>
        </w:tc>
        <w:tc>
          <w:tcPr>
            <w:tcW w:type="dxa" w:w="3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قوادح نسخ الطلب تفترض </w:t>
            </w:r>
            <w:r>
              <w:rPr>
                <w:rFonts w:ascii="Courier New" w:cs="Courier New" w:eastAsia="Courier New" w:hAnsi="Courier New"/>
                <w:b w:val="false"/>
                <w:bCs w:val="false"/>
                <w:color w:val="1F2937"/>
                <w:sz w:val="16"/>
                <w:szCs w:val="16"/>
                <w:shd w:fill="F1F3F5" w:color="auto" w:val="clear"/>
                <w:rtl/>
              </w:rPr>
              <w:t xml:space="preserve">‎RECURSIVE_TRIGGERS OFF‎</w:t>
            </w:r>
            <w:r>
              <w:rPr>
                <w:rFonts w:ascii="Arial" w:cs="Arial" w:eastAsia="Arial" w:hAnsi="Arial"/>
                <w:b w:val="false"/>
                <w:bCs w:val="false"/>
                <w:sz w:val="18"/>
                <w:szCs w:val="18"/>
                <w:rtl/>
              </w:rPr>
              <w:t xml:space="preserve">: التحضير يضبطه، والفحص التمهيدي يرفض غيره (50145)، والقوادح تخرج مبكرًا لعبارة بلا صفوف</w:t>
            </w:r>
          </w:p>
        </w:tc>
        <w:tc>
          <w:tcPr>
            <w:tcW w:type="dxa" w:w="3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044، ADR 0015</w:t>
            </w:r>
          </w:p>
        </w:tc>
      </w:tr>
      <w:tr>
        <w:trPr>
          <w:cantSplit/>
        </w:trPr>
        <w:tc>
          <w:tcPr>
            <w:tcW w:type="dxa" w:w="954"/>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12</w:t>
            </w:r>
          </w:p>
        </w:tc>
        <w:tc>
          <w:tcPr>
            <w:tcW w:type="dxa" w:w="1979"/>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حدود المراجعة الذاتية</w:t>
            </w:r>
          </w:p>
        </w:tc>
        <w:tc>
          <w:tcPr>
            <w:tcW w:type="dxa" w:w="3566"/>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تغطية جزئية لبعض فروع الحراس، واختباران بتوقيت ثابت، وسماحات CI يضبطها أي مشغّل</w:t>
            </w:r>
          </w:p>
        </w:tc>
        <w:tc>
          <w:tcPr>
            <w:tcW w:type="dxa" w:w="3365"/>
            <w:tcBorders>
              <w:top w:val="single" w:color="BFC9D6" w:sz="4"/>
              <w:left w:val="single" w:color="BFC9D6" w:sz="4"/>
              <w:bottom w:val="single" w:color="BFC9D6" w:sz="4"/>
              <w:right w:val="single" w:color="BFC9D6" w:sz="4"/>
            </w:tcBorders>
            <w:shd w:fill="F5F8FC" w:color="auto" w:val="clear"/>
            <w:tcMar>
              <w:top w:type="dxa" w:w="50"/>
              <w:left w:type="dxa" w:w="90"/>
              <w:bottom w:type="dxa" w:w="50"/>
              <w:right w:type="dxa" w:w="90"/>
            </w:tcMar>
            <w:vAlign w:val="top"/>
          </w:tcPr>
          <w:p>
            <w:pPr>
              <w:keepNext w:val="false"/>
              <w:bidi/>
              <w:spacing w:after="30" w:before="30" w:line="264"/>
            </w:pPr>
            <w:r>
              <w:rPr>
                <w:rFonts w:ascii="Courier New" w:cs="Courier New" w:eastAsia="Courier New" w:hAnsi="Courier New"/>
                <w:b w:val="false"/>
                <w:bCs w:val="false"/>
                <w:color w:val="1F2937"/>
                <w:sz w:val="16"/>
                <w:szCs w:val="16"/>
                <w:shd w:fill="F1F3F5" w:color="auto" w:val="clear"/>
                <w:rtl/>
              </w:rPr>
              <w:t xml:space="preserve">‎docs/34‎</w:t>
            </w:r>
            <w:r>
              <w:rPr>
                <w:rFonts w:ascii="Arial" w:cs="Arial" w:eastAsia="Arial" w:hAnsi="Arial"/>
                <w:b w:val="false"/>
                <w:bCs w:val="false"/>
                <w:sz w:val="18"/>
                <w:szCs w:val="18"/>
                <w:rtl/>
              </w:rPr>
              <w:t xml:space="preserve"> §7</w:t>
            </w:r>
          </w:p>
        </w:tc>
      </w:tr>
      <w:tr>
        <w:trPr>
          <w:cantSplit/>
        </w:trPr>
        <w:tc>
          <w:tcPr>
            <w:tcW w:type="dxa" w:w="954"/>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13</w:t>
            </w:r>
          </w:p>
        </w:tc>
        <w:tc>
          <w:tcPr>
            <w:tcW w:type="dxa" w:w="1979"/>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التقييم الائتماني</w:t>
            </w:r>
          </w:p>
        </w:tc>
        <w:tc>
          <w:tcPr>
            <w:tcW w:type="dxa" w:w="3566"/>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بُني داخل النظام على معايرة بالخبرة بلا بيانات تعثّر، صاغها وراجعها وكلاء ذكاء اصطناعي ولم يراجعها محلل بشري بعد؛ وتتحقق منها إدارة الخزينة في الشركة قبل استعمال الدرجة في قرار، ويتحقق مشغّل المنصة من التصنيفات السيادية للبلدان. والربط بنظام تقييم خارجي مرحلة لاحقة. وحدوده الأخرى في </w:t>
            </w:r>
            <w:r>
              <w:rPr>
                <w:rFonts w:ascii="Courier New" w:cs="Courier New" w:eastAsia="Courier New" w:hAnsi="Courier New"/>
                <w:b w:val="false"/>
                <w:bCs w:val="false"/>
                <w:color w:val="1F2937"/>
                <w:sz w:val="16"/>
                <w:szCs w:val="16"/>
                <w:shd w:fill="F1F3F5" w:color="auto" w:val="clear"/>
                <w:rtl/>
              </w:rPr>
              <w:t xml:space="preserve">‎docs/35‎</w:t>
            </w:r>
            <w:r>
              <w:rPr>
                <w:rFonts w:ascii="Arial" w:cs="Arial" w:eastAsia="Arial" w:hAnsi="Arial"/>
                <w:b w:val="false"/>
                <w:bCs w:val="false"/>
                <w:sz w:val="18"/>
                <w:szCs w:val="18"/>
                <w:rtl/>
              </w:rPr>
              <w:t xml:space="preserve"> §25</w:t>
            </w:r>
          </w:p>
        </w:tc>
        <w:tc>
          <w:tcPr>
            <w:tcW w:type="dxa" w:w="3365"/>
            <w:tcBorders>
              <w:top w:val="single" w:color="BFC9D6" w:sz="4"/>
              <w:left w:val="single" w:color="BFC9D6" w:sz="4"/>
              <w:bottom w:val="single" w:color="BFC9D6" w:sz="4"/>
              <w:right w:val="single" w:color="BFC9D6" w:sz="4"/>
            </w:tcBorders>
            <w:tcMar>
              <w:top w:type="dxa" w:w="50"/>
              <w:left w:type="dxa" w:w="90"/>
              <w:bottom w:type="dxa" w:w="50"/>
              <w:right w:type="dxa" w:w="90"/>
            </w:tcMar>
            <w:vAlign w:val="top"/>
          </w:tcPr>
          <w:p>
            <w:pPr>
              <w:keepNext w:val="false"/>
              <w:bidi/>
              <w:spacing w:after="30" w:before="30" w:line="264"/>
            </w:pPr>
            <w:r>
              <w:rPr>
                <w:rFonts w:ascii="Arial" w:cs="Arial" w:eastAsia="Arial" w:hAnsi="Arial"/>
                <w:b w:val="false"/>
                <w:bCs w:val="false"/>
                <w:sz w:val="18"/>
                <w:szCs w:val="18"/>
                <w:rtl/>
              </w:rPr>
              <w:t xml:space="preserve">ADR 0017 و0018 و0019</w:t>
            </w:r>
          </w:p>
        </w:tc>
      </w:tr>
    </w:tbl>
    <w:p>
      <w:pPr>
        <w:bidi/>
        <w:spacing w:after="120" w:before="0"/>
      </w:pPr>
    </w:p>
    <w:p>
      <w:pPr>
        <w:pStyle w:val="Heading1"/>
        <w:bidi/>
      </w:pPr>
      <w:bookmarkStart w:name="_sec15" w:id="15"/>
      <w:r>
        <w:rPr>
          <w:rFonts w:ascii="Arial" w:cs="Arial" w:eastAsia="Arial" w:hAnsi="Arial"/>
          <w:b/>
          <w:bCs/>
          <w:color w:val="1F3A5F"/>
          <w:sz w:val="32"/>
          <w:szCs w:val="32"/>
          <w:rtl/>
        </w:rPr>
        <w:t xml:space="preserve">8. أسئلة نطلب رأي المراجع فيها</w:t>
      </w:r>
      <w:bookmarkEnd w:id="15"/>
    </w:p>
    <w:p>
      <w:pPr>
        <w:pStyle w:val="ListParagraph"/>
        <w:numPr>
          <w:ilvl w:val="0"/>
          <w:numId w:val="5"/>
        </w:numPr>
        <w:bidi/>
        <w:spacing w:after="70" w:before="0" w:line="300"/>
      </w:pPr>
      <w:r>
        <w:rPr>
          <w:rFonts w:ascii="Arial" w:cs="Arial" w:eastAsia="Arial" w:hAnsi="Arial"/>
          <w:b/>
          <w:bCs/>
          <w:sz w:val="21"/>
          <w:szCs w:val="21"/>
          <w:rtl/>
        </w:rPr>
        <w:t xml:space="preserve">العزل.</w:t>
      </w:r>
      <w:r>
        <w:rPr>
          <w:rFonts w:ascii="Arial" w:cs="Arial" w:eastAsia="Arial" w:hAnsi="Arial"/>
          <w:b w:val="false"/>
          <w:bCs w:val="false"/>
          <w:sz w:val="21"/>
          <w:szCs w:val="21"/>
          <w:rtl/>
        </w:rPr>
        <w:t xml:space="preserve"> هل يمنع ربط الجلسة مع مرشحات الصفوف كل طريق إلى بيانات مشترك آخر، بما فيها الإجراءات والعروض والقوادح والمهام والدوال؟ (ADR 0002 و0004، والاختبارات T1 إلى T46 وفروعها، 48 حالة، وSR7).</w:t>
      </w:r>
    </w:p>
    <w:p>
      <w:pPr>
        <w:pStyle w:val="ListParagraph"/>
        <w:numPr>
          <w:ilvl w:val="0"/>
          <w:numId w:val="5"/>
        </w:numPr>
        <w:bidi/>
        <w:spacing w:after="70" w:before="0" w:line="300"/>
      </w:pPr>
      <w:r>
        <w:rPr>
          <w:rFonts w:ascii="Arial" w:cs="Arial" w:eastAsia="Arial" w:hAnsi="Arial"/>
          <w:b/>
          <w:bCs/>
          <w:sz w:val="21"/>
          <w:szCs w:val="21"/>
          <w:rtl/>
        </w:rPr>
        <w:t xml:space="preserve">حدود القاعدة والتطبيق.</w:t>
      </w:r>
      <w:r>
        <w:rPr>
          <w:rFonts w:ascii="Arial" w:cs="Arial" w:eastAsia="Arial" w:hAnsi="Arial"/>
          <w:b w:val="false"/>
          <w:bCs w:val="false"/>
          <w:sz w:val="21"/>
          <w:szCs w:val="21"/>
          <w:rtl/>
        </w:rPr>
        <w:t xml:space="preserve"> هل التقسيم بين القيود والقوادح في القاعدة، والتحقق في التطبيق، معقول؟ وهل في الحراس ما يحسن نقله إلى التطبيق، أو العكس؟</w:t>
      </w:r>
    </w:p>
    <w:p>
      <w:pPr>
        <w:pStyle w:val="ListParagraph"/>
        <w:numPr>
          <w:ilvl w:val="0"/>
          <w:numId w:val="5"/>
        </w:numPr>
        <w:bidi/>
        <w:spacing w:after="70" w:before="0" w:line="300"/>
      </w:pPr>
      <w:r>
        <w:rPr>
          <w:rFonts w:ascii="Arial" w:cs="Arial" w:eastAsia="Arial" w:hAnsi="Arial"/>
          <w:b/>
          <w:bCs/>
          <w:sz w:val="21"/>
          <w:szCs w:val="21"/>
          <w:rtl/>
        </w:rPr>
        <w:t xml:space="preserve">سلامة المراجعات (DR-28، A1).</w:t>
      </w:r>
      <w:r>
        <w:rPr>
          <w:rFonts w:ascii="Arial" w:cs="Arial" w:eastAsia="Arial" w:hAnsi="Arial"/>
          <w:b w:val="false"/>
          <w:bCs w:val="false"/>
          <w:sz w:val="21"/>
          <w:szCs w:val="21"/>
          <w:rtl/>
        </w:rPr>
        <w:t xml:space="preserve"> هل يكفي </w:t>
      </w:r>
      <w:r>
        <w:rPr>
          <w:rFonts w:ascii="Courier New" w:cs="Courier New" w:eastAsia="Courier New" w:hAnsi="Courier New"/>
          <w:b w:val="false"/>
          <w:bCs w:val="false"/>
          <w:color w:val="1F2937"/>
          <w:sz w:val="18"/>
          <w:szCs w:val="18"/>
          <w:shd w:fill="F1F3F5" w:color="auto" w:val="clear"/>
          <w:rtl/>
        </w:rPr>
        <w:t xml:space="preserve">‎RootId‎</w:t>
      </w:r>
      <w:r>
        <w:rPr>
          <w:rFonts w:ascii="Arial" w:cs="Arial" w:eastAsia="Arial" w:hAnsi="Arial"/>
          <w:b w:val="false"/>
          <w:bCs w:val="false"/>
          <w:sz w:val="21"/>
          <w:szCs w:val="21"/>
          <w:rtl/>
        </w:rPr>
        <w:t xml:space="preserve"> مع فحص الاعتماد وتجميد المعتمد؟ وما كلفة القادح الذي يمر على 13 جدولًا عند كل اعتماد، وقوادح التجميد الثلاثة عشر عند كل كتابة؟</w:t>
      </w:r>
    </w:p>
    <w:p>
      <w:pPr>
        <w:pStyle w:val="ListParagraph"/>
        <w:numPr>
          <w:ilvl w:val="0"/>
          <w:numId w:val="5"/>
        </w:numPr>
        <w:bidi/>
        <w:spacing w:after="70" w:before="0" w:line="300"/>
      </w:pPr>
      <w:r>
        <w:rPr>
          <w:rFonts w:ascii="Arial" w:cs="Arial" w:eastAsia="Arial" w:hAnsi="Arial"/>
          <w:b/>
          <w:bCs/>
          <w:sz w:val="21"/>
          <w:szCs w:val="21"/>
          <w:rtl/>
        </w:rPr>
        <w:t xml:space="preserve">نسخ الطلب (DR-44).</w:t>
      </w:r>
      <w:r>
        <w:rPr>
          <w:rFonts w:ascii="Arial" w:cs="Arial" w:eastAsia="Arial" w:hAnsi="Arial"/>
          <w:b w:val="false"/>
          <w:bCs w:val="false"/>
          <w:sz w:val="21"/>
          <w:szCs w:val="21"/>
          <w:rtl/>
        </w:rPr>
        <w:t xml:space="preserve"> هل تصمد القوادح أمام كتابتين متزامنتين على المثيل والطلب؟ وهل يُخشى فيها تبادل قفل (deadlock)؟ وهل تعيين LOST للفك المنتهي أو اليدوي صحيح (BR-WFL-017)؟</w:t>
      </w:r>
    </w:p>
    <w:p>
      <w:pPr>
        <w:pStyle w:val="ListParagraph"/>
        <w:numPr>
          <w:ilvl w:val="0"/>
          <w:numId w:val="5"/>
        </w:numPr>
        <w:bidi/>
        <w:spacing w:after="70" w:before="0" w:line="300"/>
      </w:pPr>
      <w:r>
        <w:rPr>
          <w:rFonts w:ascii="Arial" w:cs="Arial" w:eastAsia="Arial" w:hAnsi="Arial"/>
          <w:b/>
          <w:bCs/>
          <w:sz w:val="21"/>
          <w:szCs w:val="21"/>
          <w:rtl/>
        </w:rPr>
        <w:t xml:space="preserve">قوادح التجميد المبنية من الكتالوج (DR-41).</w:t>
      </w:r>
      <w:r>
        <w:rPr>
          <w:rFonts w:ascii="Arial" w:cs="Arial" w:eastAsia="Arial" w:hAnsi="Arial"/>
          <w:b w:val="false"/>
          <w:bCs w:val="false"/>
          <w:sz w:val="21"/>
          <w:szCs w:val="21"/>
          <w:rtl/>
        </w:rPr>
        <w:t xml:space="preserve"> هل قائمة ما يتغير بعد القفل صحيحة: حقول الخزينة حتى </w:t>
      </w:r>
      <w:r>
        <w:rPr>
          <w:rFonts w:ascii="Courier New" w:cs="Courier New" w:eastAsia="Courier New" w:hAnsi="Courier New"/>
          <w:b w:val="false"/>
          <w:bCs w:val="false"/>
          <w:color w:val="1F2937"/>
          <w:sz w:val="18"/>
          <w:szCs w:val="18"/>
          <w:shd w:fill="F1F3F5" w:color="auto" w:val="clear"/>
          <w:rtl/>
        </w:rPr>
        <w:t xml:space="preserve">‎TreasuryHash‎</w:t>
      </w:r>
      <w:r>
        <w:rPr>
          <w:rFonts w:ascii="Arial" w:cs="Arial" w:eastAsia="Arial" w:hAnsi="Arial"/>
          <w:b w:val="false"/>
          <w:bCs w:val="false"/>
          <w:sz w:val="21"/>
          <w:szCs w:val="21"/>
          <w:rtl/>
        </w:rPr>
        <w:t xml:space="preserve">، والمالك الفارغ مرة واحدة، والتقاعد للقالب؟</w:t>
      </w:r>
    </w:p>
    <w:p>
      <w:pPr>
        <w:pStyle w:val="ListParagraph"/>
        <w:numPr>
          <w:ilvl w:val="0"/>
          <w:numId w:val="5"/>
        </w:numPr>
        <w:bidi/>
        <w:spacing w:after="70" w:before="0" w:line="300"/>
      </w:pPr>
      <w:r>
        <w:rPr>
          <w:rFonts w:ascii="Arial" w:cs="Arial" w:eastAsia="Arial" w:hAnsi="Arial"/>
          <w:b/>
          <w:bCs/>
          <w:sz w:val="21"/>
          <w:szCs w:val="21"/>
          <w:rtl/>
        </w:rPr>
        <w:t xml:space="preserve">لقطة تقييم التعهد (DR-39).</w:t>
      </w:r>
      <w:r>
        <w:rPr>
          <w:rFonts w:ascii="Arial" w:cs="Arial" w:eastAsia="Arial" w:hAnsi="Arial"/>
          <w:b w:val="false"/>
          <w:bCs w:val="false"/>
          <w:sz w:val="21"/>
          <w:szCs w:val="21"/>
          <w:rtl/>
        </w:rPr>
        <w:t xml:space="preserve"> هل المفاتيح التي تشترطها القاعدة كافية لإعادة إنتاج الحكم، أم ثقيلة على خدمة التقييم؟</w:t>
      </w:r>
    </w:p>
    <w:p>
      <w:pPr>
        <w:pStyle w:val="ListParagraph"/>
        <w:numPr>
          <w:ilvl w:val="0"/>
          <w:numId w:val="5"/>
        </w:numPr>
        <w:bidi/>
        <w:spacing w:after="70" w:before="0" w:line="300"/>
      </w:pPr>
      <w:r>
        <w:rPr>
          <w:rFonts w:ascii="Arial" w:cs="Arial" w:eastAsia="Arial" w:hAnsi="Arial"/>
          <w:b/>
          <w:bCs/>
          <w:sz w:val="21"/>
          <w:szCs w:val="21"/>
          <w:rtl/>
        </w:rPr>
        <w:t xml:space="preserve">الحساسية (DR-31، DR-46).</w:t>
      </w:r>
      <w:r>
        <w:rPr>
          <w:rFonts w:ascii="Arial" w:cs="Arial" w:eastAsia="Arial" w:hAnsi="Arial"/>
          <w:b w:val="false"/>
          <w:bCs w:val="false"/>
          <w:sz w:val="21"/>
          <w:szCs w:val="21"/>
          <w:rtl/>
        </w:rPr>
        <w:t xml:space="preserve"> هل يكفي نمط الحجب؟ وهل منع نسخ الحقل المقيّد مع الحكم من البصمة بالمفتاح نفسه صحيح أمنيًا؟</w:t>
      </w:r>
    </w:p>
    <w:p>
      <w:pPr>
        <w:pStyle w:val="ListParagraph"/>
        <w:numPr>
          <w:ilvl w:val="0"/>
          <w:numId w:val="5"/>
        </w:numPr>
        <w:bidi/>
        <w:spacing w:after="70" w:before="0" w:line="300"/>
      </w:pPr>
      <w:r>
        <w:rPr>
          <w:rFonts w:ascii="Arial" w:cs="Arial" w:eastAsia="Arial" w:hAnsi="Arial"/>
          <w:b/>
          <w:bCs/>
          <w:sz w:val="21"/>
          <w:szCs w:val="21"/>
          <w:rtl/>
        </w:rPr>
        <w:t xml:space="preserve">النشر والتشغيل (ADR 0009–0014).</w:t>
      </w:r>
      <w:r>
        <w:rPr>
          <w:rFonts w:ascii="Arial" w:cs="Arial" w:eastAsia="Arial" w:hAnsi="Arial"/>
          <w:b w:val="false"/>
          <w:bCs w:val="false"/>
          <w:sz w:val="21"/>
          <w:szCs w:val="21"/>
          <w:rtl/>
        </w:rPr>
        <w:t xml:space="preserve"> هل تكفي الحسابات والأسرار والسماحات والتدقيق والبوابة G4 لبيئة مصرفية؟</w:t>
      </w:r>
    </w:p>
    <w:p>
      <w:pPr>
        <w:pStyle w:val="ListParagraph"/>
        <w:numPr>
          <w:ilvl w:val="0"/>
          <w:numId w:val="5"/>
        </w:numPr>
        <w:bidi/>
        <w:spacing w:after="70" w:before="0" w:line="300"/>
      </w:pPr>
      <w:r>
        <w:rPr>
          <w:rFonts w:ascii="Arial" w:cs="Arial" w:eastAsia="Arial" w:hAnsi="Arial"/>
          <w:b/>
          <w:bCs/>
          <w:sz w:val="21"/>
          <w:szCs w:val="21"/>
          <w:rtl/>
        </w:rPr>
        <w:t xml:space="preserve">المستندات.</w:t>
      </w:r>
      <w:r>
        <w:rPr>
          <w:rFonts w:ascii="Arial" w:cs="Arial" w:eastAsia="Arial" w:hAnsi="Arial"/>
          <w:b w:val="false"/>
          <w:bCs w:val="false"/>
          <w:sz w:val="21"/>
          <w:szCs w:val="21"/>
          <w:rtl/>
        </w:rPr>
        <w:t xml:space="preserve"> هل في مستندات الجاهزية الـ43 تعارض مع المواصفات أو مع النموذج؟</w:t>
      </w:r>
    </w:p>
    <w:p>
      <w:pPr>
        <w:pStyle w:val="ListParagraph"/>
        <w:numPr>
          <w:ilvl w:val="0"/>
          <w:numId w:val="5"/>
        </w:numPr>
        <w:bidi/>
        <w:spacing w:after="70" w:before="0" w:line="300"/>
      </w:pPr>
      <w:r>
        <w:rPr>
          <w:rFonts w:ascii="Arial" w:cs="Arial" w:eastAsia="Arial" w:hAnsi="Arial"/>
          <w:b/>
          <w:bCs/>
          <w:sz w:val="21"/>
          <w:szCs w:val="21"/>
          <w:rtl/>
        </w:rPr>
        <w:t xml:space="preserve">وحدة الميزانية (ADR 0016).</w:t>
      </w:r>
      <w:r>
        <w:rPr>
          <w:rFonts w:ascii="Arial" w:cs="Arial" w:eastAsia="Arial" w:hAnsi="Arial"/>
          <w:b w:val="false"/>
          <w:bCs w:val="false"/>
          <w:sz w:val="21"/>
          <w:szCs w:val="21"/>
          <w:rtl/>
        </w:rPr>
        <w:t xml:space="preserve"> هل نموذج وحدات القوائم الموحدة كافٍ لدراسة مجموعة (الطرق والملكية والدخول والخروج)؟ وهل نافذة أداء التحويلات وعدّ التحويل المنسوب لتسهيل (BR-FIN-016، اعتمده المالك) صحيحان؟ وهل يُحسب الأداء عند القراءة أم يُلتقط يوميًا؟</w:t>
      </w:r>
    </w:p>
    <w:p>
      <w:pPr>
        <w:pStyle w:val="ListParagraph"/>
        <w:numPr>
          <w:ilvl w:val="0"/>
          <w:numId w:val="5"/>
        </w:numPr>
        <w:bidi/>
        <w:spacing w:after="70" w:before="0" w:line="300"/>
      </w:pPr>
      <w:r>
        <w:rPr>
          <w:rFonts w:ascii="Arial" w:cs="Arial" w:eastAsia="Arial" w:hAnsi="Arial"/>
          <w:b/>
          <w:bCs/>
          <w:sz w:val="21"/>
          <w:szCs w:val="21"/>
          <w:rtl/>
        </w:rPr>
        <w:t xml:space="preserve">التقييم الائتماني (ADR 0017، </w:t>
      </w:r>
      <w:r>
        <w:rPr>
          <w:rFonts w:ascii="Courier New" w:cs="Courier New" w:eastAsia="Courier New" w:hAnsi="Courier New"/>
          <w:b/>
          <w:bCs/>
          <w:color w:val="1F2937"/>
          <w:sz w:val="18"/>
          <w:szCs w:val="18"/>
          <w:shd w:fill="F1F3F5" w:color="auto" w:val="clear"/>
          <w:rtl/>
        </w:rPr>
        <w:t xml:space="preserve">‎docs/35‎</w:t>
      </w:r>
      <w:r>
        <w:rPr>
          <w:rFonts w:ascii="Arial" w:cs="Arial" w:eastAsia="Arial" w:hAnsi="Arial"/>
          <w:b/>
          <w:bCs/>
          <w:sz w:val="21"/>
          <w:szCs w:val="21"/>
          <w:rtl/>
        </w:rPr>
        <w:t xml:space="preserve">).</w:t>
      </w:r>
      <w:r>
        <w:rPr>
          <w:rFonts w:ascii="Arial" w:cs="Arial" w:eastAsia="Arial" w:hAnsi="Arial"/>
          <w:b w:val="false"/>
          <w:bCs w:val="false"/>
          <w:sz w:val="21"/>
          <w:szCs w:val="21"/>
          <w:rtl/>
        </w:rPr>
        <w:t xml:space="preserve"> هل ترتيب التطبيق (الدرجات المخصومة، ثم سقوف الدرجة المستقلة، ثم الدعم، ثم التجاوز، ثم السقوف المطلقة) صحيح؟ وهل تكفي بصمة المدخلات لمنع تقديم تقييم لم يُحسب على ما يحمله؟ وهل منع </w:t>
      </w:r>
      <w:r>
        <w:rPr>
          <w:rFonts w:ascii="Courier New" w:cs="Courier New" w:eastAsia="Courier New" w:hAnsi="Courier New"/>
          <w:b w:val="false"/>
          <w:bCs w:val="false"/>
          <w:color w:val="1F2937"/>
          <w:sz w:val="18"/>
          <w:szCs w:val="18"/>
          <w:shd w:fill="F1F3F5" w:color="auto" w:val="clear"/>
          <w:rtl/>
        </w:rPr>
        <w:t xml:space="preserve">‎tp_app‎</w:t>
      </w:r>
      <w:r>
        <w:rPr>
          <w:rFonts w:ascii="Arial" w:cs="Arial" w:eastAsia="Arial" w:hAnsi="Arial"/>
          <w:b w:val="false"/>
          <w:bCs w:val="false"/>
          <w:sz w:val="21"/>
          <w:szCs w:val="21"/>
          <w:rtl/>
        </w:rPr>
        <w:t xml:space="preserve"> من كتابة النتائج مع كتابتها بسلسلة الملكية سليم؟ وللمحللين: هل الأوزان والشبكات وقواعد البنود معقولة لشركات السوق المحلية؟</w:t>
      </w:r>
    </w:p>
    <w:p>
      <w:pPr>
        <w:bidi/>
        <w:spacing w:after="60" w:before="0"/>
      </w:pPr>
    </w:p>
    <w:p>
      <w:pPr>
        <w:pStyle w:val="Heading1"/>
        <w:bidi/>
      </w:pPr>
      <w:bookmarkStart w:name="_sec16" w:id="16"/>
      <w:r>
        <w:rPr>
          <w:rFonts w:ascii="Arial" w:cs="Arial" w:eastAsia="Arial" w:hAnsi="Arial"/>
          <w:b/>
          <w:bCs/>
          <w:color w:val="1F3A5F"/>
          <w:sz w:val="32"/>
          <w:szCs w:val="32"/>
          <w:rtl/>
        </w:rPr>
        <w:t xml:space="preserve">9. طريقة إرسال النتائج</w:t>
      </w:r>
      <w:bookmarkEnd w:id="16"/>
    </w:p>
    <w:p>
      <w:pPr>
        <w:bidi/>
        <w:spacing w:after="110" w:before="0" w:line="312"/>
      </w:pPr>
      <w:r>
        <w:rPr>
          <w:rFonts w:ascii="Arial" w:cs="Arial" w:eastAsia="Arial" w:hAnsi="Arial"/>
          <w:b w:val="false"/>
          <w:bCs w:val="false"/>
          <w:sz w:val="21"/>
          <w:szCs w:val="21"/>
          <w:rtl/>
        </w:rPr>
        <w:t xml:space="preserve">نرجو النتائج بالصيغة المستعملة في </w:t>
      </w:r>
      <w:r>
        <w:rPr>
          <w:rFonts w:ascii="Courier New" w:cs="Courier New" w:eastAsia="Courier New" w:hAnsi="Courier New"/>
          <w:b w:val="false"/>
          <w:bCs w:val="false"/>
          <w:color w:val="1F2937"/>
          <w:sz w:val="18"/>
          <w:szCs w:val="18"/>
          <w:shd w:fill="F1F3F5" w:color="auto" w:val="clear"/>
          <w:rtl/>
        </w:rPr>
        <w:t xml:space="preserve">‎docs/review/design-review-2026-10-11.json‎</w:t>
      </w:r>
      <w:r>
        <w:rPr>
          <w:rFonts w:ascii="Arial" w:cs="Arial" w:eastAsia="Arial" w:hAnsi="Arial"/>
          <w:b w:val="false"/>
          <w:bCs w:val="false"/>
          <w:sz w:val="21"/>
          <w:szCs w:val="21"/>
          <w:rtl/>
        </w:rPr>
        <w:t xml:space="preserve">، لكل نتيجة:</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‎table‎</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‎column‎</w:t>
      </w:r>
      <w:r>
        <w:rPr>
          <w:rFonts w:ascii="Arial" w:cs="Arial" w:eastAsia="Arial" w:hAnsi="Arial"/>
          <w:b w:val="false"/>
          <w:bCs w:val="false"/>
          <w:sz w:val="21"/>
          <w:szCs w:val="21"/>
          <w:rtl/>
        </w:rPr>
        <w:t xml:space="preserve">؛</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‎category‎</w:t>
      </w:r>
      <w:r>
        <w:rPr>
          <w:rFonts w:ascii="Arial" w:cs="Arial" w:eastAsia="Arial" w:hAnsi="Arial"/>
          <w:b w:val="false"/>
          <w:bCs w:val="false"/>
          <w:sz w:val="21"/>
          <w:szCs w:val="21"/>
          <w:rtl/>
        </w:rPr>
        <w:t xml:space="preserve"> و</w:t>
      </w:r>
      <w:r>
        <w:rPr>
          <w:rFonts w:ascii="Courier New" w:cs="Courier New" w:eastAsia="Courier New" w:hAnsi="Courier New"/>
          <w:b w:val="false"/>
          <w:bCs w:val="false"/>
          <w:color w:val="1F2937"/>
          <w:sz w:val="18"/>
          <w:szCs w:val="18"/>
          <w:shd w:fill="F1F3F5" w:color="auto" w:val="clear"/>
          <w:rtl/>
        </w:rPr>
        <w:t xml:space="preserve">‎severity‎</w:t>
      </w:r>
      <w:r>
        <w:rPr>
          <w:rFonts w:ascii="Arial" w:cs="Arial" w:eastAsia="Arial" w:hAnsi="Arial"/>
          <w:b w:val="false"/>
          <w:bCs w:val="false"/>
          <w:sz w:val="21"/>
          <w:szCs w:val="21"/>
          <w:rtl/>
        </w:rPr>
        <w:t xml:space="preserve"> (critical أو major أو minor)؛</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‎issue‎</w:t>
      </w:r>
      <w:r>
        <w:rPr>
          <w:rFonts w:ascii="Arial" w:cs="Arial" w:eastAsia="Arial" w:hAnsi="Arial"/>
          <w:b w:val="false"/>
          <w:bCs w:val="false"/>
          <w:sz w:val="21"/>
          <w:szCs w:val="21"/>
          <w:rtl/>
        </w:rPr>
        <w:t xml:space="preserve"> مع إشارة إلى السطر في النموذج أو الـDDL أو السكربت؛</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‎failure_scenario‎</w:t>
      </w:r>
      <w:r>
        <w:rPr>
          <w:rFonts w:ascii="Arial" w:cs="Arial" w:eastAsia="Arial" w:hAnsi="Arial"/>
          <w:b w:val="false"/>
          <w:bCs w:val="false"/>
          <w:sz w:val="21"/>
          <w:szCs w:val="21"/>
          <w:rtl/>
        </w:rPr>
        <w:t xml:space="preserve"> يبدأ من مستدعٍ أو مدخل حقيقي؛</w:t>
      </w:r>
    </w:p>
    <w:p>
      <w:pPr>
        <w:pStyle w:val="ListParagraph"/>
        <w:numPr>
          <w:ilvl w:val="0"/>
          <w:numId w:val="3"/>
        </w:numPr>
        <w:bidi/>
        <w:spacing w:after="70" w:before="0" w:line="300"/>
      </w:pPr>
      <w:r>
        <w:rPr>
          <w:rFonts w:ascii="Courier New" w:cs="Courier New" w:eastAsia="Courier New" w:hAnsi="Courier New"/>
          <w:b w:val="false"/>
          <w:bCs w:val="false"/>
          <w:color w:val="1F2937"/>
          <w:sz w:val="18"/>
          <w:szCs w:val="18"/>
          <w:shd w:fill="F1F3F5" w:color="auto" w:val="clear"/>
          <w:rtl/>
        </w:rPr>
        <w:t xml:space="preserve">‎recommendation‎</w:t>
      </w:r>
      <w:r>
        <w:rPr>
          <w:rFonts w:ascii="Arial" w:cs="Arial" w:eastAsia="Arial" w:hAnsi="Arial"/>
          <w:b w:val="false"/>
          <w:bCs w:val="false"/>
          <w:sz w:val="21"/>
          <w:szCs w:val="21"/>
          <w:rtl/>
        </w:rPr>
        <w:t xml:space="preserve">.</w:t>
      </w:r>
    </w:p>
    <w:p>
      <w:pPr>
        <w:bidi/>
        <w:spacing w:after="60" w:before="0"/>
      </w:pPr>
    </w:p>
    <w:p>
      <w:pPr>
        <w:bidi/>
        <w:spacing w:after="110" w:before="0" w:line="312"/>
      </w:pPr>
      <w:r>
        <w:rPr>
          <w:rFonts w:ascii="Arial" w:cs="Arial" w:eastAsia="Arial" w:hAnsi="Arial"/>
          <w:b w:val="false"/>
          <w:bCs w:val="false"/>
          <w:sz w:val="21"/>
          <w:szCs w:val="21"/>
          <w:rtl/>
        </w:rPr>
        <w:t xml:space="preserve">ثم تُدرج النتائج في سجل قرارات كما في </w:t>
      </w:r>
      <w:r>
        <w:rPr>
          <w:rFonts w:ascii="Courier New" w:cs="Courier New" w:eastAsia="Courier New" w:hAnsi="Courier New"/>
          <w:b w:val="false"/>
          <w:bCs w:val="false"/>
          <w:color w:val="1F2937"/>
          <w:sz w:val="18"/>
          <w:szCs w:val="18"/>
          <w:shd w:fill="F1F3F5" w:color="auto" w:val="clear"/>
          <w:rtl/>
        </w:rPr>
        <w:t xml:space="preserve">‎docs/32-review-findings-decisions.md‎</w:t>
      </w:r>
      <w:r>
        <w:rPr>
          <w:rFonts w:ascii="Arial" w:cs="Arial" w:eastAsia="Arial" w:hAnsi="Arial"/>
          <w:b w:val="false"/>
          <w:bCs w:val="false"/>
          <w:sz w:val="21"/>
          <w:szCs w:val="21"/>
          <w:rtl/>
        </w:rPr>
        <w:t xml:space="preserve">، ويقرر فيها المالك ومعماري القاعدة.</w:t>
      </w:r>
    </w:p>
    <w:sectPr>
      <w:headerReference w:type="default" r:id="rId7"/>
      <w:footerReference w:type="default" r:id="rId8"/>
      <w:pgSz w:w="11906" w:h="16838" w:orient="portrait"/>
      <w:pgMar w:top="1134" w:right="1021" w:bottom="1134" w:left="1021" w:header="500" w:footer="500" w:gutter="0"/>
      <w:pgNumType/>
      <w:bidi/>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B6670"/>
        <w:sz w:val="17"/>
        <w:szCs w:val="17"/>
        <w:rtl/>
      </w:rPr>
      <w:t xml:space="preserve">صفحة </w:t>
    </w:r>
    <w:r>
      <w:rPr>
        <w:rFonts w:ascii="Arial" w:cs="Arial" w:eastAsia="Arial" w:hAnsi="Arial"/>
        <w:color w:val="5B6670"/>
        <w:sz w:val="17"/>
        <w:szCs w:val="17"/>
        <w:rtl/>
      </w:rPr>
      <w:fldChar w:fldCharType="begin"/>
      <w:instrText xml:space="preserve">PAGE</w:instrText>
      <w:fldChar w:fldCharType="separate"/>
      <w:fldChar w:fldCharType="end"/>
    </w:r>
    <w:r>
      <w:rPr>
        <w:rFonts w:ascii="Arial" w:cs="Arial" w:eastAsia="Arial" w:hAnsi="Arial"/>
        <w:color w:val="5B6670"/>
        <w:sz w:val="17"/>
        <w:szCs w:val="17"/>
        <w:rtl/>
      </w:rPr>
      <w:t xml:space="preserve"> من </w:t>
    </w:r>
    <w:r>
      <w:rPr>
        <w:rFonts w:ascii="Arial" w:cs="Arial" w:eastAsia="Arial" w:hAnsi="Arial"/>
        <w:color w:val="5B6670"/>
        <w:sz w:val="17"/>
        <w:szCs w:val="17"/>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9D6" w:sz="4" w:space="4"/>
      </w:pBdr>
      <w:bidi/>
      <w:spacing w:after="0"/>
    </w:pPr>
    <w:r>
      <w:rPr>
        <w:rFonts w:ascii="Arial" w:cs="Arial" w:eastAsia="Arial" w:hAnsi="Arial"/>
        <w:color w:val="5B6670"/>
        <w:sz w:val="17"/>
        <w:szCs w:val="17"/>
        <w:rtl/>
      </w:rPr>
      <w:t xml:space="preserve">حزمة المراجعة الخارجية · BankFas · 2026-10-20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4" w:hanging="284"/>
      </w:pPr>
    </w:lvl>
    <w:lvl w:ilvl="1" w15:tentative="1">
      <w:start w:val="1"/>
      <w:numFmt w:val="bullet"/>
      <w:lvlText w:val="–"/>
      <w:lvlJc w:val="left"/>
      <w:pPr>
        <w:ind w:left="1028" w:hanging="284"/>
      </w:pPr>
    </w:lvl>
    <w:lvl w:ilvl="2" w15:tentative="1">
      <w:start w:val="1"/>
      <w:numFmt w:val="bullet"/>
      <w:lvlText w:val="·"/>
      <w:lvlJc w:val="left"/>
      <w:pPr>
        <w:ind w:left="1482" w:hanging="284"/>
      </w:pPr>
    </w:lvl>
    <w:lvl w:ilvl="3" w15:tentative="1">
      <w:start w:val="1"/>
      <w:numFmt w:val="bullet"/>
      <w:lvlText w:val="·"/>
      <w:lvlJc w:val="left"/>
      <w:pPr>
        <w:ind w:left="1936" w:hanging="284"/>
      </w:pPr>
    </w:lvl>
  </w:abstractNum>
  <w:abstractNum w:abstractNumId="3"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4"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abstractNum w:abstractNumId="5" w15:restartNumberingAfterBreak="0">
    <w:multiLevelType w:val="hybridMultilevel"/>
    <w:lvl w:ilvl="0" w15:tentative="1">
      <w:start w:val="1"/>
      <w:numFmt w:val="decimal"/>
      <w:lvlText w:val="%1."/>
      <w:lvlJc w:val="left"/>
      <w:pPr>
        <w:ind w:left="574" w:hanging="340"/>
      </w:pPr>
    </w:lvl>
    <w:lvl w:ilvl="1" w15:tentative="1">
      <w:start w:val="1"/>
      <w:numFmt w:val="decimal"/>
      <w:lvlText w:val="%2."/>
      <w:lvlJc w:val="left"/>
      <w:pPr>
        <w:ind w:left="1028" w:hanging="340"/>
      </w:pPr>
    </w:lvl>
    <w:lvl w:ilvl="2" w15:tentative="1">
      <w:start w:val="1"/>
      <w:numFmt w:val="decimal"/>
      <w:lvlText w:val="%3."/>
      <w:lvlJc w:val="left"/>
      <w:pPr>
        <w:ind w:left="1482"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tl/>
        <w:lang w:val="ar-SA" w:bidi="ar-SA"/>
      </w:rPr>
    </w:rPrDefault>
    <w:pPrDefault>
      <w:pPr>
        <w:bidi/>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bidi/>
      <w:spacing w:after="160" w:before="0"/>
    </w:pPr>
    <w:rPr>
      <w:b/>
      <w:bCs/>
      <w:color w:val="1F3A5F"/>
      <w:sz w:val="48"/>
      <w:szCs w:val="48"/>
    </w:rPr>
  </w:style>
  <w:style w:type="paragraph" w:styleId="Heading1">
    <w:name w:val="heading 1"/>
    <w:basedOn w:val="Normal"/>
    <w:next w:val="Normal"/>
    <w:qFormat/>
    <w:pPr>
      <w:keepNext/>
      <w:pBdr>
        <w:bottom w:val="single" w:color="1F3A5F" w:sz="8" w:space="3"/>
      </w:pBdr>
      <w:bidi/>
      <w:spacing w:after="140" w:before="380"/>
      <w:outlineLvl w:val="0"/>
    </w:pPr>
    <w:rPr>
      <w:b/>
      <w:bCs/>
      <w:color w:val="1F3A5F"/>
      <w:sz w:val="32"/>
      <w:szCs w:val="32"/>
    </w:rPr>
  </w:style>
  <w:style w:type="paragraph" w:styleId="Heading2">
    <w:name w:val="heading 2"/>
    <w:basedOn w:val="Normal"/>
    <w:next w:val="Normal"/>
    <w:qFormat/>
    <w:pPr>
      <w:keepNext/>
      <w:bidi/>
      <w:spacing w:after="100" w:before="260"/>
      <w:outlineLvl w:val="1"/>
    </w:pPr>
    <w:rPr>
      <w:b/>
      <w:bCs/>
      <w:color w:val="2B5C8A"/>
      <w:sz w:val="26"/>
      <w:szCs w:val="26"/>
    </w:rPr>
  </w:style>
  <w:style w:type="paragraph" w:styleId="Heading3">
    <w:name w:val="heading 3"/>
    <w:basedOn w:val="Normal"/>
    <w:next w:val="Normal"/>
    <w:qFormat/>
    <w:pPr>
      <w:keepNext/>
      <w:bidi/>
      <w:spacing w:after="80" w:before="200"/>
      <w:outlineLvl w:val="2"/>
    </w:pPr>
    <w:rPr>
      <w:b/>
      <w:bCs/>
      <w:color w:val="2B5C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حزمة المراجعة الخارجية: قاعدة بيانات منصة الخزينة ومستندات الجاهزية</dc:title>
  <dc:creator>Claude</dc:creator>
  <dc:description>BankFas database design document</dc:description>
  <cp:lastModifiedBy>Un-named</cp:lastModifiedBy>
  <cp:revision>1</cp:revision>
  <dcterms:created xsi:type="dcterms:W3CDTF">2026-10-20T20:44:43.807Z</dcterms:created>
  <dcterms:modified xsi:type="dcterms:W3CDTF">2026-10-20T20:44:43.807Z</dcterms:modified>
</cp:coreProperties>
</file>

<file path=docProps/custom.xml><?xml version="1.0" encoding="utf-8"?>
<Properties xmlns="http://schemas.openxmlformats.org/officeDocument/2006/custom-properties" xmlns:vt="http://schemas.openxmlformats.org/officeDocument/2006/docPropsVTypes"/>
</file>