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2026-10-19 (يحل محل 2.1 و2.0 من اليوم نفسه و1.0 المؤرخ 2026-10-18؛ 2.2 تضيف سيناريو الحدث الجاري وتوقع تصرف جهات التمويل، ADR 0020، وما تبلغ به جهة التمويل عن كل تسهيل، ADR 0021، والتقييم التجريبي قبل اعتماد القوائم، ADR 0022، ونسخ العرض البديلة، ADR 0023، وملف الجاهزية والإنذار المبكر، ADR 0024، وتقييم الموازنة، ADR 0025، والتصنيف الذي يبلغ به البنك، ADR 0026، ومهمة إشعارات الإنذار المبكر، ADR 0027، وقوالب رسائله، ADR 0028؛ والمنظور الداخلي للشركة،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 و2026-10-19 (سيناريو الحدث الجاري: نزاع الخليج وممرات الملاحة، وتوقف الحدود غير المسحوبة)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(142 حالة، الخطوة 19d) يقارن المحرك بالمرجع رقمًا برقم؛ واختبارات CA1 إلى CA22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‎docs/adr/0020-current-event-scenario.md‎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‎docs/adr/0021-lender-actual-decision.md‎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‎docs/adr/0022-trial-assessment.md‎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‎docs/adr/0023-presentation-versions.md‎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‎docs/adr/0024-readiness-file-and-early-warning.md‎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‎docs/adr/0025-budget-statements.md‎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‎docs/adr/0026-lender-ratings.md‎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‎docs/adr/0027-early-warning-job.md‎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‎docs/adr/0028-early-warning-message-templates.md‎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‎docs/adr/0029-review-v3-controls.md‎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‎docs/adr/0030-review-v4-controls.md‎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قوة الضمانات أمام جهة التمويل (درجة التسهيلات)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52">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53">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4">
        <w:r>
          <w:rPr>
            <w:rFonts w:ascii="Arial" w:cs="Arial" w:eastAsia="Arial" w:hAnsi="Arial"/>
            <w:b/>
            <w:bCs/>
            <w:color w:val="1F3A5F"/>
            <w:sz w:val="20"/>
            <w:szCs w:val="20"/>
            <w:rtl/>
          </w:rPr>
          <w:t xml:space="preserve">18. التقرير</w:t>
        </w:r>
      </w:hyperlink>
    </w:p>
    <w:p>
      <w:pPr>
        <w:bidi/>
        <w:spacing w:after="50" w:before="0"/>
        <w:ind w:left="0"/>
      </w:pPr>
      <w:hyperlink w:history="1" w:anchor="_sec55">
        <w:r>
          <w:rPr>
            <w:rFonts w:ascii="Arial" w:cs="Arial" w:eastAsia="Arial" w:hAnsi="Arial"/>
            <w:b/>
            <w:bCs/>
            <w:color w:val="1F3A5F"/>
            <w:sz w:val="20"/>
            <w:szCs w:val="20"/>
            <w:rtl/>
          </w:rPr>
          <w:t xml:space="preserve">19. مثال محسوب</w:t>
        </w:r>
      </w:hyperlink>
    </w:p>
    <w:p>
      <w:pPr>
        <w:bidi/>
        <w:spacing w:after="50" w:before="0"/>
        <w:ind w:left="0"/>
      </w:pPr>
      <w:hyperlink w:history="1" w:anchor="_sec56">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7">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8">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9">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60">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61">
        <w:r>
          <w:rPr>
            <w:rFonts w:ascii="Arial" w:cs="Arial" w:eastAsia="Arial" w:hAnsi="Arial"/>
            <w:b/>
            <w:bCs/>
            <w:color w:val="1F3A5F"/>
            <w:sz w:val="20"/>
            <w:szCs w:val="20"/>
            <w:rtl/>
          </w:rPr>
          <w:t xml:space="preserve">25. حدود معروفة</w:t>
        </w:r>
      </w:hyperlink>
    </w:p>
    <w:p>
      <w:pPr>
        <w:bidi/>
        <w:spacing w:after="50" w:before="0"/>
        <w:ind w:left="0"/>
      </w:pPr>
      <w:hyperlink w:history="1" w:anchor="_sec62">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بجهات التمويل. </w:t>
      </w:r>
      <w:r>
        <w:rPr>
          <w:rFonts w:ascii="Arial" w:cs="Arial" w:eastAsia="Arial" w:hAnsi="Arial"/>
          <w:b/>
          <w:bCs/>
          <w:sz w:val="21"/>
          <w:szCs w:val="21"/>
          <w:rtl/>
        </w:rPr>
        <w:t xml:space="preserve">والنظام ليس نظامًا للبنك</w:t>
      </w:r>
      <w:r>
        <w:rPr>
          <w:rFonts w:ascii="Arial" w:cs="Arial" w:eastAsia="Arial" w:hAnsi="Arial"/>
          <w:b w:val="false"/>
          <w:bCs w:val="false"/>
          <w:sz w:val="21"/>
          <w:szCs w:val="21"/>
          <w:rtl/>
        </w:rPr>
        <w:t xml:space="preserve">؛ فالبنك له منظومته. إنه </w:t>
      </w:r>
      <w:r>
        <w:rPr>
          <w:rFonts w:ascii="Arial" w:cs="Arial" w:eastAsia="Arial" w:hAnsi="Arial"/>
          <w:b/>
          <w:bCs/>
          <w:sz w:val="21"/>
          <w:szCs w:val="21"/>
          <w:rtl/>
        </w:rPr>
        <w:t xml:space="preserve">مرآة داخلية للشركة</w:t>
      </w:r>
      <w:r>
        <w:rPr>
          <w:rFonts w:ascii="Arial" w:cs="Arial" w:eastAsia="Arial" w:hAnsi="Arial"/>
          <w:b w:val="false"/>
          <w:bCs w:val="false"/>
          <w:sz w:val="21"/>
          <w:szCs w:val="21"/>
          <w:rtl/>
        </w:rPr>
        <w:t xml:space="preserve">: يريها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على طريقة وكالات التصنيف، ولماذا، وما الذي تفعله الآن لتقوّي موقفها (</w:t>
      </w:r>
      <w:r>
        <w:rPr>
          <w:rFonts w:ascii="Courier New" w:cs="Courier New" w:eastAsia="Courier New" w:hAnsi="Courier New"/>
          <w:b w:val="false"/>
          <w:bCs w:val="false"/>
          <w:color w:val="1F2937"/>
          <w:sz w:val="18"/>
          <w:szCs w:val="18"/>
          <w:shd w:fill="F1F3F5" w:color="auto" w:val="clear"/>
          <w:rtl/>
        </w:rPr>
        <w:t xml:space="preserve">‎docs/36‎</w:t>
      </w:r>
      <w:r>
        <w:rPr>
          <w:rFonts w:ascii="Arial" w:cs="Arial" w:eastAsia="Arial" w:hAnsi="Arial"/>
          <w:b w:val="false"/>
          <w:bCs w:val="false"/>
          <w:sz w:val="21"/>
          <w:szCs w:val="21"/>
          <w:rtl/>
        </w:rPr>
        <w:t xml:space="preserve">، قرار المالك 34). فتستبق المخاطر وتتداركها، وتعيد هيكلة قوائمها وتصنيف عناصرها وفق المعايير قبل اعتمادها النهائي، مدققة كانت أو داخلية، مع المؤثرات الداخلية والخارجية.</w:t>
      </w:r>
    </w:p>
    <w:p>
      <w:pPr>
        <w:bidi/>
        <w:spacing w:after="110" w:before="0" w:line="312"/>
      </w:pPr>
      <w:r>
        <w:rPr>
          <w:rFonts w:ascii="Arial" w:cs="Arial" w:eastAsia="Arial" w:hAnsi="Arial"/>
          <w:b w:val="false"/>
          <w:bCs w:val="false"/>
          <w:sz w:val="21"/>
          <w:szCs w:val="21"/>
          <w:rtl/>
        </w:rPr>
        <w:t xml:space="preserve">ويُحسب التقييم على قائمة معتمدة، أو </w:t>
      </w:r>
      <w:r>
        <w:rPr>
          <w:rFonts w:ascii="Arial" w:cs="Arial" w:eastAsia="Arial" w:hAnsi="Arial"/>
          <w:b/>
          <w:bCs/>
          <w:sz w:val="21"/>
          <w:szCs w:val="21"/>
          <w:rtl/>
        </w:rPr>
        <w:t xml:space="preserve">تقييمًا تجريبيًا</w:t>
      </w:r>
      <w:r>
        <w:rPr>
          <w:rFonts w:ascii="Arial" w:cs="Arial" w:eastAsia="Arial" w:hAnsi="Arial"/>
          <w:b w:val="false"/>
          <w:bCs w:val="false"/>
          <w:sz w:val="21"/>
          <w:szCs w:val="21"/>
          <w:rtl/>
        </w:rPr>
        <w:t xml:space="preserve"> على قائمة مسودة أو مقدّمة قبل اعتمادها: يُعاد كلما تغيّرت المسودة، ويبقى مسودة لا يُقدَّم (ADR 0022). وفي الحالين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محلل جهة التمويل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سبعة سيناريوهات اقتصادية (ركود السوق، والأزمة المالية، والتقشف الحكومي وعجز الميزانية، والتصحيح العقاري، والنزاع الإقليمي، وانهيار أسعار النفط، ونزاع الخليج وممرات الملاحة وهو الحدث الجاري)، بضغط يحسبه النظام من حساسية النشاط وتعرض البلد ومضاعف المدينة ومضاعف البلد في السيناريو،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3"/>
        <w:gridCol w:w="4576"/>
        <w:gridCol w:w="1555"/>
      </w:tblGrid>
      <w:tr>
        <w:trPr>
          <w:cantSplit/>
          <w:tblHeader/>
        </w:trPr>
        <w:tc>
          <w:tcPr>
            <w:tcW w:type="dxa" w:w="3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معدّ التقييم، والتسهيلات والضمانات والتعهدات في المنصة، والكفلاء، وتقرير سمة، والنشاط وخطوط المنتجات</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السبعة، وطبقة الصمود</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معدّ التقييم؛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معدّ التقييم</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معدّ التقييم: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محلل جهة التمويل،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معدّ التقييم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معدّ التقييم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تُخفض البنوك جزءًا من الخطوط قصيرة الأجل غير الملتزمة عند تجديدها، فينخفض التجديد (§14).</w:t>
      </w:r>
    </w:p>
    <w:p>
      <w:pPr>
        <w:bidi/>
        <w:spacing w:after="110" w:before="0" w:line="312"/>
      </w:pPr>
      <w:r>
        <w:rPr>
          <w:rFonts w:ascii="Arial" w:cs="Arial" w:eastAsia="Arial" w:hAnsi="Arial"/>
          <w:b/>
          <w:bCs/>
          <w:sz w:val="21"/>
          <w:szCs w:val="21"/>
          <w:rtl/>
        </w:rPr>
        <w:t xml:space="preserve">ما أبلغت به جهة التمويل الشركة عن تسهيل (قرار المالك 33، ADR 0021):</w:t>
      </w:r>
      <w:r>
        <w:rPr>
          <w:rFonts w:ascii="Arial" w:cs="Arial" w:eastAsia="Arial" w:hAnsi="Arial"/>
          <w:b w:val="false"/>
          <w:bCs w:val="false"/>
          <w:sz w:val="21"/>
          <w:szCs w:val="21"/>
          <w:rtl/>
        </w:rPr>
        <w:t xml:space="preserve"> تسجّل إدارة الخزينة لكل تسهيل ما أبلغها به البنك من قرار (</w:t>
      </w:r>
      <w:r>
        <w:rPr>
          <w:rFonts w:ascii="Courier New" w:cs="Courier New" w:eastAsia="Courier New" w:hAnsi="Courier New"/>
          <w:b w:val="false"/>
          <w:bCs w:val="false"/>
          <w:color w:val="1F2937"/>
          <w:sz w:val="18"/>
          <w:szCs w:val="18"/>
          <w:shd w:fill="F1F3F5" w:color="auto" w:val="clear"/>
          <w:rtl/>
        </w:rPr>
        <w:t xml:space="preserve">‎fac.FacilityLenderDecision‎</w:t>
      </w:r>
      <w:r>
        <w:rPr>
          <w:rFonts w:ascii="Arial" w:cs="Arial" w:eastAsia="Arial" w:hAnsi="Arial"/>
          <w:b w:val="false"/>
          <w:bCs w:val="false"/>
          <w:sz w:val="21"/>
          <w:szCs w:val="21"/>
          <w:rtl/>
        </w:rPr>
        <w:t xml:space="preserve">) بتاريخه وتاريخ نفاذه ومستنده: الإبقاء، أو إيقاف الحد غير المسحوب، أو تخفيض الحد إلى مبلغ، أو عدم التجديد، مع تغيّر الهامش والرسوم بنقاط الأساس. وآخر قرار نافذ في تاريخ التقييم يُقرأ مع التسهيل:</w:t>
      </w:r>
    </w:p>
    <w:p>
      <w:pPr>
        <w:pStyle w:val="ListParagraph"/>
        <w:numPr>
          <w:ilvl w:val="0"/>
          <w:numId w:val="3"/>
        </w:numPr>
        <w:bidi/>
        <w:spacing w:after="70" w:before="0" w:line="300"/>
      </w:pPr>
      <w:r>
        <w:rPr>
          <w:rFonts w:ascii="Arial" w:cs="Arial" w:eastAsia="Arial" w:hAnsi="Arial"/>
          <w:b/>
          <w:bCs/>
          <w:sz w:val="21"/>
          <w:szCs w:val="21"/>
          <w:rtl/>
        </w:rPr>
        <w:t xml:space="preserve">الحد بعد القرار</w:t>
      </w:r>
      <w:r>
        <w:rPr>
          <w:rFonts w:ascii="Arial" w:cs="Arial" w:eastAsia="Arial" w:hAnsi="Arial"/>
          <w:b w:val="false"/>
          <w:bCs w:val="false"/>
          <w:sz w:val="21"/>
          <w:szCs w:val="21"/>
          <w:rtl/>
        </w:rPr>
        <w:t xml:space="preserve"> يحل محل حد التسهيل: الإبقاء يترك الحد، والإيقاف يجعله بقدر المسحوب، والتخفيض يجعله المبلغ الجديد، وعدم التجديد صفرًا؛ فلا يُحسب في المصادر إلا الملتزم غير المسحوب بعد القرار.</w:t>
      </w:r>
    </w:p>
    <w:p>
      <w:pPr>
        <w:pStyle w:val="ListParagraph"/>
        <w:numPr>
          <w:ilvl w:val="0"/>
          <w:numId w:val="3"/>
        </w:numPr>
        <w:bidi/>
        <w:spacing w:after="70" w:before="0" w:line="300"/>
      </w:pPr>
      <w:r>
        <w:rPr>
          <w:rFonts w:ascii="Arial" w:cs="Arial" w:eastAsia="Arial" w:hAnsi="Arial"/>
          <w:b/>
          <w:bCs/>
          <w:sz w:val="21"/>
          <w:szCs w:val="21"/>
          <w:rtl/>
        </w:rPr>
        <w:t xml:space="preserve">المسحوب فوق الحد الجديد</w:t>
      </w:r>
      <w:r>
        <w:rPr>
          <w:rFonts w:ascii="Arial" w:cs="Arial" w:eastAsia="Arial" w:hAnsi="Arial"/>
          <w:b w:val="false"/>
          <w:bCs w:val="false"/>
          <w:sz w:val="21"/>
          <w:szCs w:val="21"/>
          <w:rtl/>
        </w:rPr>
        <w:t xml:space="preserve"> مستحق على الشركة، فيُضاف إلى الاستخدامات.</w:t>
      </w:r>
    </w:p>
    <w:p>
      <w:pPr>
        <w:pStyle w:val="ListParagraph"/>
        <w:numPr>
          <w:ilvl w:val="0"/>
          <w:numId w:val="3"/>
        </w:numPr>
        <w:bidi/>
        <w:spacing w:after="70" w:before="0" w:line="300"/>
      </w:pPr>
      <w:r>
        <w:rPr>
          <w:rFonts w:ascii="Arial" w:cs="Arial" w:eastAsia="Arial" w:hAnsi="Arial"/>
          <w:b/>
          <w:bCs/>
          <w:sz w:val="21"/>
          <w:szCs w:val="21"/>
          <w:rtl/>
        </w:rPr>
        <w:t xml:space="preserve">تغيّر الهامش والرسوم</w:t>
      </w:r>
      <w:r>
        <w:rPr>
          <w:rFonts w:ascii="Arial" w:cs="Arial" w:eastAsia="Arial" w:hAnsi="Arial"/>
          <w:b w:val="false"/>
          <w:bCs w:val="false"/>
          <w:sz w:val="21"/>
          <w:szCs w:val="21"/>
          <w:rtl/>
        </w:rPr>
        <w:t xml:space="preserve"> على المسحوب يُضاف إلى كلفة التمويل في السيناريوهات.</w:t>
      </w:r>
    </w:p>
    <w:p>
      <w:pPr>
        <w:pStyle w:val="ListParagraph"/>
        <w:numPr>
          <w:ilvl w:val="0"/>
          <w:numId w:val="3"/>
        </w:numPr>
        <w:bidi/>
        <w:spacing w:after="70" w:before="0" w:line="300"/>
      </w:pPr>
      <w:r>
        <w:rPr>
          <w:rFonts w:ascii="Arial" w:cs="Arial" w:eastAsia="Arial" w:hAnsi="Arial"/>
          <w:b/>
          <w:bCs/>
          <w:sz w:val="21"/>
          <w:szCs w:val="21"/>
          <w:rtl/>
        </w:rPr>
        <w:t xml:space="preserve">توقع الشركة لتصرف جهات تمويلها</w:t>
      </w:r>
      <w:r>
        <w:rPr>
          <w:rFonts w:ascii="Arial" w:cs="Arial" w:eastAsia="Arial" w:hAnsi="Arial"/>
          <w:b w:val="false"/>
          <w:bCs w:val="false"/>
          <w:sz w:val="21"/>
          <w:szCs w:val="21"/>
          <w:rtl/>
        </w:rPr>
        <w:t xml:space="preserve"> في السيناريوهات (§14) لا يغطي إلا نصيب التسهيلات التي لم يقرر بنكها، بنسبة مسحوبها من مسحوب التسهيلات كلها؛ وحدود التسهيلات المقررة تبقى كما قرر البنك.</w:t>
      </w:r>
    </w:p>
    <w:p>
      <w:pPr>
        <w:pStyle w:val="ListParagraph"/>
        <w:numPr>
          <w:ilvl w:val="0"/>
          <w:numId w:val="3"/>
        </w:numPr>
        <w:bidi/>
        <w:spacing w:after="70" w:before="0" w:line="300"/>
      </w:pPr>
      <w:r>
        <w:rPr>
          <w:rFonts w:ascii="Arial" w:cs="Arial" w:eastAsia="Arial" w:hAnsi="Arial"/>
          <w:b w:val="false"/>
          <w:bCs w:val="false"/>
          <w:sz w:val="21"/>
          <w:szCs w:val="21"/>
          <w:rtl/>
        </w:rPr>
        <w:t xml:space="preserve">ولقطة التسهيلات في التقرير تحفظ القرار والحد بعده وتغيّر الهامش والرسوم (</w:t>
      </w:r>
      <w:r>
        <w:rPr>
          <w:rFonts w:ascii="Courier New" w:cs="Courier New" w:eastAsia="Courier New" w:hAnsi="Courier New"/>
          <w:b w:val="false"/>
          <w:bCs w:val="false"/>
          <w:color w:val="1F2937"/>
          <w:sz w:val="18"/>
          <w:szCs w:val="18"/>
          <w:shd w:fill="F1F3F5" w:color="auto" w:val="clear"/>
          <w:rtl/>
        </w:rPr>
        <w:t xml:space="preserve">‎fin.v_CreditAssessmentFacilities‎</w:t>
      </w:r>
      <w:r>
        <w:rPr>
          <w:rFonts w:ascii="Arial" w:cs="Arial" w:eastAsia="Arial" w:hAnsi="Arial"/>
          <w:b w:val="false"/>
          <w:bCs w:val="false"/>
          <w:sz w:val="21"/>
          <w:szCs w:val="21"/>
          <w:rtl/>
        </w:rPr>
        <w:t xml:space="preserve">).</w:t>
      </w:r>
    </w:p>
    <w:p>
      <w:pPr>
        <w:bidi/>
        <w:spacing w:after="60" w:before="0"/>
      </w:pPr>
    </w:p>
    <w:p>
      <w:pPr>
        <w:pStyle w:val="Heading1"/>
        <w:bidi/>
      </w:pPr>
      <w:bookmarkStart w:name="_sec38" w:id="38"/>
      <w:r>
        <w:rPr>
          <w:rFonts w:ascii="Arial" w:cs="Arial" w:eastAsia="Arial" w:hAnsi="Arial"/>
          <w:b/>
          <w:bCs/>
          <w:color w:val="1F3A5F"/>
          <w:sz w:val="32"/>
          <w:szCs w:val="32"/>
          <w:rtl/>
        </w:rPr>
        <w:t xml:space="preserve">11. قوة الضمانات أمام جهة التمويل (درجة التسهيلات)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معدّ التقييم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سبعة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 وما يبقى متاحًا من الحدود الملتزمة غير المسحوبة)، ومدة أثره، ومضاعف لكل بلد يصيبه أكثر أو أقل من غيره. والسيناريو السابع حدث جارٍ طلبه المالك (ADR 0020): يصيب دول الخليج ثم الأردن ومصر أشد من غيرها، ولا تسحب البنوك فيه الخطوط المستعملة لكنها توقف كل حد ملتزم لم يُسحب.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66"/>
        <w:gridCol w:w="1411"/>
        <w:gridCol w:w="743"/>
        <w:gridCol w:w="743"/>
        <w:gridCol w:w="743"/>
        <w:gridCol w:w="743"/>
        <w:gridCol w:w="743"/>
        <w:gridCol w:w="743"/>
        <w:gridCol w:w="743"/>
        <w:gridCol w:w="743"/>
        <w:gridCol w:w="743"/>
      </w:tblGrid>
      <w:tr>
        <w:trPr>
          <w:cantSplit/>
          <w:tblHeader/>
        </w:trPr>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 من الحدود الملتزمة غير المسحوبة %</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 (شهر)</w:t>
            </w:r>
          </w:p>
        </w:tc>
        <w:tc>
          <w:tcPr>
            <w:tcW w:type="dxa" w:w="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البلد</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تُخفض البنوك الخطوط قصيرة الأجل عند تجديدها وتوقف الحدود غير المسحوبة وترفع التسعير والرسوم، ويهبط الطلب وتتعثر الذمم الخاصة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لكل البلدان</w:t>
            </w:r>
          </w:p>
        </w:tc>
      </w:tr>
      <w:tr>
        <w:trPr>
          <w:cantSplit/>
        </w:trPr>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w:t>
            </w:r>
          </w:p>
        </w:tc>
        <w:tc>
          <w:tcPr>
            <w:tcW w:type="dxa" w:w="1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جارٍ (قرار المالك 2026-10-19): نزاع إقليمي ممتد في الخليج يطال طرق الملاحة في مضيق هرمز والبحر الأحمر سنة كاملة. أشد البلدان تأثرًا البحرين والكويت والإمارات، ثم السعودية وقطر وعُمان، ثم الأردن ومصر. يُضغط أثر الاضطراب لا مستوى سعر النفط. وأشد القطاعات تأثرًا السياحة والطيران والفنادق والشحن البحري والتجارة المعتمدة على الاستيراد ومواد البناء المستوردة، من حساسيتها للنزاع والاستيراد. ولا تسحب البنوك الخطوط المستعملة، لكنها توقف الحدود غير المسحوبة فلا يُحسب منها شيء في السيولة، وترفع هامشها ورسومها بحسب مخاطر القطاع.</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0.4 / 1 / 0 / 0.3 / 1</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 1.3، KW 1.3، AE 1.3، SA 1، QA 1، OM 1، JO 0.9، EG 0.9، وغيرها 0.5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 مضاعف البلد في السيناريو (1 في السيناريوهات الستة الأولى).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ما تتوقعه الشركة من جهات تمويلها في الأزمة</w:t>
      </w:r>
      <w:r>
        <w:rPr>
          <w:rFonts w:ascii="Arial" w:cs="Arial" w:eastAsia="Arial" w:hAnsi="Arial"/>
          <w:b w:val="false"/>
          <w:bCs w:val="false"/>
          <w:sz w:val="21"/>
          <w:szCs w:val="21"/>
          <w:rtl/>
        </w:rPr>
        <w:t xml:space="preserve"> (قرار المالك 32): البنوك لا تسحب التسهيلات المستعملة عادة، لكنها بتقديرها لمخاطر القطاع قد تخفض الخطوط أو توقف الحدود غير المسحوبة أو ترفع الهامش والرسوم. فتحسب الشركة ذلك مسبقًا لتبني احتياط سيولتها قبل وقوعه، بـ</w:t>
      </w:r>
      <w:r>
        <w:rPr>
          <w:rFonts w:ascii="Arial" w:cs="Arial" w:eastAsia="Arial" w:hAnsi="Arial"/>
          <w:b/>
          <w:bCs/>
          <w:sz w:val="21"/>
          <w:szCs w:val="21"/>
          <w:rtl/>
        </w:rPr>
        <w:t xml:space="preserve">عامل البنك</w:t>
      </w:r>
      <w:r>
        <w:rPr>
          <w:rFonts w:ascii="Arial" w:cs="Arial" w:eastAsia="Arial" w:hAnsi="Arial"/>
          <w:b w:val="false"/>
          <w:bCs w:val="false"/>
          <w:sz w:val="21"/>
          <w:szCs w:val="21"/>
          <w:rtl/>
        </w:rPr>
        <w:t xml:space="preserve"> = حساسية النشاط للائتمان ÷ 3 × تعرض البلد للائتمان × مضاعف البلد في السيناريو:</w:t>
      </w:r>
    </w:p>
    <w:p>
      <w:pPr>
        <w:pStyle w:val="ListParagraph"/>
        <w:numPr>
          <w:ilvl w:val="1"/>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تُخفض عند تجديدها بنسبة السيناريو × عامل البنك (بحد 80%)، فينخفض التجديد في السيولة.</w:t>
      </w:r>
    </w:p>
    <w:p>
      <w:pPr>
        <w:pStyle w:val="ListParagraph"/>
        <w:numPr>
          <w:ilvl w:val="1"/>
          <w:numId w:val="3"/>
        </w:numPr>
        <w:bidi/>
        <w:spacing w:after="70" w:before="0" w:line="300"/>
      </w:pPr>
      <w:r>
        <w:rPr>
          <w:rFonts w:ascii="Arial" w:cs="Arial" w:eastAsia="Arial" w:hAnsi="Arial"/>
          <w:b/>
          <w:bCs/>
          <w:sz w:val="21"/>
          <w:szCs w:val="21"/>
          <w:rtl/>
        </w:rPr>
        <w:t xml:space="preserve">الحدود الملتزمة غير المسحوبة</w:t>
      </w:r>
      <w:r>
        <w:rPr>
          <w:rFonts w:ascii="Arial" w:cs="Arial" w:eastAsia="Arial" w:hAnsi="Arial"/>
          <w:b w:val="false"/>
          <w:bCs w:val="false"/>
          <w:sz w:val="21"/>
          <w:szCs w:val="21"/>
          <w:rtl/>
        </w:rPr>
        <w:t xml:space="preserve"> على المنصة لا يُحسب منها في مصادر السيولة إلا المتاح: نسبة السيناريو ناقصًا نسبة إيقافها × عامل البنك (لا أقل من صفر)؛ ولا شيء منها في نزاع الخليج.</w:t>
      </w:r>
    </w:p>
    <w:p>
      <w:pPr>
        <w:pStyle w:val="ListParagraph"/>
        <w:numPr>
          <w:ilvl w:val="1"/>
          <w:numId w:val="3"/>
        </w:numPr>
        <w:bidi/>
        <w:spacing w:after="70" w:before="0" w:line="300"/>
      </w:pPr>
      <w:r>
        <w:rPr>
          <w:rFonts w:ascii="Arial" w:cs="Arial" w:eastAsia="Arial" w:hAnsi="Arial"/>
          <w:b/>
          <w:bCs/>
          <w:sz w:val="21"/>
          <w:szCs w:val="21"/>
          <w:rtl/>
        </w:rPr>
        <w:t xml:space="preserve">الهامش والرسوم الإدارية</w:t>
      </w:r>
      <w:r>
        <w:rPr>
          <w:rFonts w:ascii="Arial" w:cs="Arial" w:eastAsia="Arial" w:hAnsi="Arial"/>
          <w:b w:val="false"/>
          <w:bCs w:val="false"/>
          <w:sz w:val="21"/>
          <w:szCs w:val="21"/>
          <w:rtl/>
        </w:rPr>
        <w:t xml:space="preserve"> (هامش السيناريو + رسومه) × عامل البنك تُضاف إلى كلفة التسهيلات قصيرة الأجل والقبولات عند تجديدها؛ والقرض طويل الأجل يبقى بسعر عقده، والدين المتغير يتبع رفع الفائدة.</w:t>
      </w:r>
    </w:p>
    <w:p>
      <w:pPr>
        <w:pStyle w:val="ListParagraph"/>
        <w:numPr>
          <w:ilvl w:val="1"/>
          <w:numId w:val="3"/>
        </w:numPr>
        <w:bidi/>
        <w:spacing w:after="70" w:before="0" w:line="300"/>
      </w:pPr>
      <w:r>
        <w:rPr>
          <w:rFonts w:ascii="Arial" w:cs="Arial" w:eastAsia="Arial" w:hAnsi="Arial"/>
          <w:b w:val="false"/>
          <w:bCs w:val="false"/>
          <w:sz w:val="21"/>
          <w:szCs w:val="21"/>
          <w:rtl/>
        </w:rPr>
        <w:t xml:space="preserve">وهذا تقدير للتقييم؛ فكل تسهيل يبقى خاضعًا لمعايير الجهة المانحة وتقديرها.</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لترى 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محلل جهة التمويل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15.1 نسخ العرض البديلة قبل اعتماد القائمة (ADR 0023)</w:t>
      </w:r>
      <w:bookmarkEnd w:id="48"/>
    </w:p>
    <w:p>
      <w:pPr>
        <w:bidi/>
        <w:spacing w:after="110" w:before="0" w:line="312"/>
      </w:pPr>
      <w:r>
        <w:rPr>
          <w:rFonts w:ascii="Arial" w:cs="Arial" w:eastAsia="Arial" w:hAnsi="Arial"/>
          <w:b w:val="false"/>
          <w:bCs w:val="false"/>
          <w:sz w:val="21"/>
          <w:szCs w:val="21"/>
          <w:rtl/>
        </w:rPr>
        <w:t xml:space="preserve">خطط التقوية تُري الشركة الدرجة بعد كل خطوة. </w:t>
      </w:r>
      <w:r>
        <w:rPr>
          <w:rFonts w:ascii="Arial" w:cs="Arial" w:eastAsia="Arial" w:hAnsi="Arial"/>
          <w:b/>
          <w:bCs/>
          <w:sz w:val="21"/>
          <w:szCs w:val="21"/>
          <w:rtl/>
        </w:rPr>
        <w:t xml:space="preserve">ونسخة العرض</w:t>
      </w:r>
      <w:r>
        <w:rPr>
          <w:rFonts w:ascii="Arial" w:cs="Arial" w:eastAsia="Arial" w:hAnsi="Arial"/>
          <w:b w:val="false"/>
          <w:bCs w:val="false"/>
          <w:sz w:val="21"/>
          <w:szCs w:val="21"/>
          <w:rtl/>
        </w:rPr>
        <w:t xml:space="preserve"> تحوّل ما تختاره الشركة إلى قائمة فعلية:</w:t>
      </w:r>
    </w:p>
    <w:p>
      <w:pPr>
        <w:pStyle w:val="ListParagraph"/>
        <w:numPr>
          <w:ilvl w:val="0"/>
          <w:numId w:val="5"/>
        </w:numPr>
        <w:bidi/>
        <w:spacing w:after="70" w:before="0" w:line="300"/>
      </w:pPr>
      <w:r>
        <w:rPr>
          <w:rFonts w:ascii="Arial" w:cs="Arial" w:eastAsia="Arial" w:hAnsi="Arial"/>
          <w:b/>
          <w:bCs/>
          <w:sz w:val="21"/>
          <w:szCs w:val="21"/>
          <w:rtl/>
        </w:rPr>
        <w:t xml:space="preserve">تختار الشركة الحلول</w:t>
      </w:r>
      <w:r>
        <w:rPr>
          <w:rFonts w:ascii="Arial" w:cs="Arial" w:eastAsia="Arial" w:hAnsi="Arial"/>
          <w:b w:val="false"/>
          <w:bCs w:val="false"/>
          <w:sz w:val="21"/>
          <w:szCs w:val="21"/>
          <w:rtl/>
        </w:rPr>
        <w:t xml:space="preserve"> من القائمة أعلاه بترتيبها، ونسبة ما يُنفذ من كل حل، ولكل خطوة مستندها (اتفاقية مساندة، أو قرار الشركاء، أو اتفاق جدولة) وتاريخه ومبرّر مكتوب.</w:t>
      </w:r>
    </w:p>
    <w:p>
      <w:pPr>
        <w:pStyle w:val="ListParagraph"/>
        <w:numPr>
          <w:ilvl w:val="0"/>
          <w:numId w:val="5"/>
        </w:numPr>
        <w:bidi/>
        <w:spacing w:after="70" w:before="0" w:line="300"/>
      </w:pPr>
      <w:r>
        <w:rPr>
          <w:rFonts w:ascii="Arial" w:cs="Arial" w:eastAsia="Arial" w:hAnsi="Arial"/>
          <w:b/>
          <w:bCs/>
          <w:sz w:val="21"/>
          <w:szCs w:val="21"/>
          <w:rtl/>
        </w:rPr>
        <w:t xml:space="preserve">يبني النظام النسخة</w:t>
      </w:r>
      <w:r>
        <w:rPr>
          <w:rFonts w:ascii="Arial" w:cs="Arial" w:eastAsia="Arial" w:hAnsi="Arial"/>
          <w:b w:val="false"/>
          <w:bCs w:val="false"/>
          <w:sz w:val="21"/>
          <w:szCs w:val="21"/>
          <w:rtl/>
        </w:rPr>
        <w:t xml:space="preserve"> بخطوات الحلول نفسها، فتبقى الميزانية متوازنة، ويكتبها قائمة مسودة جديدة من السلسلة نفسها بسبب «إعادة هيكلة»، ويقيّمها تقييمًا تجريبيًا بمدخلات تقييم الأصل وكفلائه وتقرير سمة، مضافًا إليها دليل كل خطوة.</w:t>
      </w:r>
    </w:p>
    <w:p>
      <w:pPr>
        <w:pStyle w:val="ListParagraph"/>
        <w:numPr>
          <w:ilvl w:val="0"/>
          <w:numId w:val="5"/>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كل نسخة بجانب الأصل والنسخ الأخرى: الدرجة والمجموع والسيولة والدرجات المكتسبة، وكل بند تغيّر (</w:t>
      </w:r>
      <w:r>
        <w:rPr>
          <w:rFonts w:ascii="Courier New" w:cs="Courier New" w:eastAsia="Courier New" w:hAnsi="Courier New"/>
          <w:b w:val="false"/>
          <w:bCs w:val="false"/>
          <w:color w:val="1F2937"/>
          <w:sz w:val="18"/>
          <w:szCs w:val="18"/>
          <w:shd w:fill="F1F3F5" w:color="auto" w:val="clear"/>
          <w:rtl/>
        </w:rPr>
        <w:t xml:space="preserve">‎fin.v_PresentationComparison‎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‎fin.v_PresentationVersionLines‎</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شرط الجوهر:</w:t>
      </w:r>
      <w:r>
        <w:rPr>
          <w:rFonts w:ascii="Arial" w:cs="Arial" w:eastAsia="Arial" w:hAnsi="Arial"/>
          <w:b w:val="false"/>
          <w:bCs w:val="false"/>
          <w:sz w:val="21"/>
          <w:szCs w:val="21"/>
          <w:rtl/>
        </w:rPr>
        <w:t xml:space="preserve"> لا تصير النسخة قائمة إلا إن استندت كل خطوة إلى مستند مؤرخ في نهاية الفترة أو قبلها. وما اتُّفق عليه بعدها حدث لاحق لا يُقيد في الفترة، فتبقى النسخة خطة للمقارنة لا تُختار. ولا يغيّر العرض ما ستعيد جهة التمويل تبويبه، لأن النظام يقرأ المسودة الجديدة كما يقرأ أي قائمة.</w:t>
      </w:r>
    </w:p>
    <w:p>
      <w:pPr>
        <w:pStyle w:val="ListParagraph"/>
        <w:numPr>
          <w:ilvl w:val="0"/>
          <w:numId w:val="5"/>
        </w:numPr>
        <w:bidi/>
        <w:spacing w:after="70" w:before="0" w:line="300"/>
      </w:pPr>
      <w:r>
        <w:rPr>
          <w:rFonts w:ascii="Arial" w:cs="Arial" w:eastAsia="Arial" w:hAnsi="Arial"/>
          <w:b/>
          <w:bCs/>
          <w:sz w:val="21"/>
          <w:szCs w:val="21"/>
          <w:rtl/>
        </w:rPr>
        <w:t xml:space="preserve">الاختيار:</w:t>
      </w:r>
      <w:r>
        <w:rPr>
          <w:rFonts w:ascii="Arial" w:cs="Arial" w:eastAsia="Arial" w:hAnsi="Arial"/>
          <w:b w:val="false"/>
          <w:bCs w:val="false"/>
          <w:sz w:val="21"/>
          <w:szCs w:val="21"/>
          <w:rtl/>
        </w:rPr>
        <w:t xml:space="preserve"> يختار النسخة شخص من الإدارة المالية غير معدّها، فتحل مسودتها محل الأصل في السلسلة، وتُترك النسخ الأخرى. ثم تسير المسودة سيرة القائمة: تُقدَّم ويعتمدها غير معدّها، والمدققة بمراجعها ورأيه.</w:t>
      </w:r>
    </w:p>
    <w:p>
      <w:pPr>
        <w:bidi/>
        <w:spacing w:after="60" w:before="0"/>
      </w:pPr>
    </w:p>
    <w:p>
      <w:pPr>
        <w:pStyle w:val="Heading2"/>
        <w:bidi/>
      </w:pPr>
      <w:bookmarkStart w:name="_sec49" w:id="49"/>
      <w:r>
        <w:rPr>
          <w:rFonts w:ascii="Arial" w:cs="Arial" w:eastAsia="Arial" w:hAnsi="Arial"/>
          <w:b/>
          <w:bCs/>
          <w:color w:val="2B5C8A"/>
          <w:sz w:val="26"/>
          <w:szCs w:val="26"/>
          <w:rtl/>
        </w:rPr>
        <w:t xml:space="preserve">15.2 ملف الجاهزية قبل جهة التمويل والإنذار المبكر (ADR 0024)</w:t>
      </w:r>
      <w:bookmarkEnd w:id="49"/>
    </w:p>
    <w:p>
      <w:pPr>
        <w:bidi/>
        <w:spacing w:after="110" w:before="0" w:line="312"/>
      </w:pPr>
      <w:r>
        <w:rPr>
          <w:rFonts w:ascii="Arial" w:cs="Arial" w:eastAsia="Arial" w:hAnsi="Arial"/>
          <w:b w:val="false"/>
          <w:bCs w:val="false"/>
          <w:sz w:val="21"/>
          <w:szCs w:val="21"/>
          <w:rtl/>
        </w:rPr>
        <w:t xml:space="preserve">يربط النظام التقييم بمواعيد جهات التمويل في </w:t>
      </w:r>
      <w:r>
        <w:rPr>
          <w:rFonts w:ascii="Arial" w:cs="Arial" w:eastAsia="Arial" w:hAnsi="Arial"/>
          <w:b/>
          <w:bCs/>
          <w:sz w:val="21"/>
          <w:szCs w:val="21"/>
          <w:rtl/>
        </w:rPr>
        <w:t xml:space="preserve">مدة التنبيه</w:t>
      </w:r>
      <w:r>
        <w:rPr>
          <w:rFonts w:ascii="Arial" w:cs="Arial" w:eastAsia="Arial" w:hAnsi="Arial"/>
          <w:b w:val="false"/>
          <w:bCs w:val="false"/>
          <w:sz w:val="21"/>
          <w:szCs w:val="21"/>
          <w:rtl/>
        </w:rPr>
        <w:t xml:space="preserve"> (6 أشهر افتراضًا، يعدّلها المشترك بالإعداد </w:t>
      </w:r>
      <w:r>
        <w:rPr>
          <w:rFonts w:ascii="Courier New" w:cs="Courier New" w:eastAsia="Courier New" w:hAnsi="Courier New"/>
          <w:b w:val="false"/>
          <w:bCs w:val="false"/>
          <w:color w:val="1F2937"/>
          <w:sz w:val="18"/>
          <w:szCs w:val="18"/>
          <w:shd w:fill="F1F3F5" w:color="auto" w:val="clear"/>
          <w:rtl/>
        </w:rPr>
        <w:t xml:space="preserve">‎fin.readiness.lead_months‎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المواعيد:</w:t>
      </w:r>
      <w:r>
        <w:rPr>
          <w:rFonts w:ascii="Arial" w:cs="Arial" w:eastAsia="Arial" w:hAnsi="Arial"/>
          <w:b w:val="false"/>
          <w:bCs w:val="false"/>
          <w:sz w:val="21"/>
          <w:szCs w:val="21"/>
          <w:rtl/>
        </w:rPr>
        <w:t xml:space="preserve"> تجديد كل تسهيل ينتهي في المدة مع ما أبلغت به جهة تمويله، وكل اختبار تعهد مجدول مع آخر نتيجة لتعهده وهامشه، وكل تقرير مستحق لجهة تمويل.</w:t>
      </w:r>
    </w:p>
    <w:p>
      <w:pPr>
        <w:pStyle w:val="ListParagraph"/>
        <w:numPr>
          <w:ilvl w:val="0"/>
          <w:numId w:val="3"/>
        </w:numPr>
        <w:bidi/>
        <w:spacing w:after="70" w:before="0" w:line="300"/>
      </w:pPr>
      <w:r>
        <w:rPr>
          <w:rFonts w:ascii="Arial" w:cs="Arial" w:eastAsia="Arial" w:hAnsi="Arial"/>
          <w:b/>
          <w:bCs/>
          <w:sz w:val="21"/>
          <w:szCs w:val="21"/>
          <w:rtl/>
        </w:rPr>
        <w:t xml:space="preserve">جاهزية كل موعد:</w:t>
      </w:r>
    </w:p>
    <w:p>
      <w:pPr>
        <w:pStyle w:val="ListParagraph"/>
        <w:numPr>
          <w:ilvl w:val="1"/>
          <w:numId w:val="3"/>
        </w:numPr>
        <w:bidi/>
        <w:spacing w:after="70" w:before="0" w:line="300"/>
      </w:pPr>
      <w:r>
        <w:rPr>
          <w:rFonts w:ascii="Arial" w:cs="Arial" w:eastAsia="Arial" w:hAnsi="Arial"/>
          <w:b/>
          <w:bCs/>
          <w:sz w:val="21"/>
          <w:szCs w:val="21"/>
          <w:rtl/>
        </w:rPr>
        <w:t xml:space="preserve">حمراء:</w:t>
      </w:r>
      <w:r>
        <w:rPr>
          <w:rFonts w:ascii="Arial" w:cs="Arial" w:eastAsia="Arial" w:hAnsi="Arial"/>
          <w:b w:val="false"/>
          <w:bCs w:val="false"/>
          <w:sz w:val="21"/>
          <w:szCs w:val="21"/>
          <w:rtl/>
        </w:rPr>
        <w:t xml:space="preserve"> التقييم غير مصنّف، أو سيولته SGL-4، أو درجته B3 فأسوأ؛ أو كان آخر اختبار للتعهد خرقًا أو هامشه سالبًا؛ أو أبلغت جهة التمويل بإيقاف التسهيل أو تخفيضه أو عدم تجديده.</w:t>
      </w:r>
    </w:p>
    <w:p>
      <w:pPr>
        <w:pStyle w:val="ListParagraph"/>
        <w:numPr>
          <w:ilvl w:val="1"/>
          <w:numId w:val="3"/>
        </w:numPr>
        <w:bidi/>
        <w:spacing w:after="70" w:before="0" w:line="300"/>
      </w:pPr>
      <w:r>
        <w:rPr>
          <w:rFonts w:ascii="Arial" w:cs="Arial" w:eastAsia="Arial" w:hAnsi="Arial"/>
          <w:b/>
          <w:bCs/>
          <w:sz w:val="21"/>
          <w:szCs w:val="21"/>
          <w:rtl/>
        </w:rPr>
        <w:t xml:space="preserve">صفراء:</w:t>
      </w:r>
      <w:r>
        <w:rPr>
          <w:rFonts w:ascii="Arial" w:cs="Arial" w:eastAsia="Arial" w:hAnsi="Arial"/>
          <w:b w:val="false"/>
          <w:bCs w:val="false"/>
          <w:sz w:val="21"/>
          <w:szCs w:val="21"/>
          <w:rtl/>
        </w:rPr>
        <w:t xml:space="preserve"> السيولة SGL-3، أو النظرة سلبية، أو بقي خطر حرج أو إفصاح ناقص؛ أو قلّ هامش التعهد عن إنذاره (10% إن لم يُحدد).</w:t>
      </w:r>
    </w:p>
    <w:p>
      <w:pPr>
        <w:pStyle w:val="ListParagraph"/>
        <w:numPr>
          <w:ilvl w:val="1"/>
          <w:numId w:val="3"/>
        </w:numPr>
        <w:bidi/>
        <w:spacing w:after="70" w:before="0" w:line="300"/>
      </w:pPr>
      <w:r>
        <w:rPr>
          <w:rFonts w:ascii="Arial" w:cs="Arial" w:eastAsia="Arial" w:hAnsi="Arial"/>
          <w:b/>
          <w:bCs/>
          <w:sz w:val="21"/>
          <w:szCs w:val="21"/>
          <w:rtl/>
        </w:rPr>
        <w:t xml:space="preserve">خضراء:</w:t>
      </w:r>
      <w:r>
        <w:rPr>
          <w:rFonts w:ascii="Arial" w:cs="Arial" w:eastAsia="Arial" w:hAnsi="Arial"/>
          <w:b w:val="false"/>
          <w:bCs w:val="false"/>
          <w:sz w:val="21"/>
          <w:szCs w:val="21"/>
          <w:rtl/>
        </w:rPr>
        <w:t xml:space="preserve"> فيما عدا ذلك.</w:t>
      </w:r>
    </w:p>
    <w:p>
      <w:pPr>
        <w:pStyle w:val="ListParagraph"/>
        <w:numPr>
          <w:ilvl w:val="0"/>
          <w:numId w:val="3"/>
        </w:numPr>
        <w:bidi/>
        <w:spacing w:after="70" w:before="0" w:line="300"/>
      </w:pPr>
      <w:r>
        <w:rPr>
          <w:rFonts w:ascii="Arial" w:cs="Arial" w:eastAsia="Arial" w:hAnsi="Arial"/>
          <w:b/>
          <w:bCs/>
          <w:sz w:val="21"/>
          <w:szCs w:val="21"/>
          <w:rtl/>
        </w:rPr>
        <w:t xml:space="preserve">ما ستطلبه جهة التمويل:</w:t>
      </w:r>
      <w:r>
        <w:rPr>
          <w:rFonts w:ascii="Arial" w:cs="Arial" w:eastAsia="Arial" w:hAnsi="Arial"/>
          <w:b w:val="false"/>
          <w:bCs w:val="false"/>
          <w:sz w:val="21"/>
          <w:szCs w:val="21"/>
          <w:rtl/>
        </w:rPr>
        <w:t xml:space="preserve"> كل إفصاح ناقص، وتقرير سمة إن لم يُقرأ، ومستند كل حل مقترح.</w:t>
      </w:r>
    </w:p>
    <w:p>
      <w:pPr>
        <w:pStyle w:val="ListParagraph"/>
        <w:numPr>
          <w:ilvl w:val="0"/>
          <w:numId w:val="3"/>
        </w:numPr>
        <w:bidi/>
        <w:spacing w:after="70" w:before="0" w:line="300"/>
      </w:pPr>
      <w:r>
        <w:rPr>
          <w:rFonts w:ascii="Arial" w:cs="Arial" w:eastAsia="Arial" w:hAnsi="Arial"/>
          <w:b/>
          <w:bCs/>
          <w:sz w:val="21"/>
          <w:szCs w:val="21"/>
          <w:rtl/>
        </w:rPr>
        <w:t xml:space="preserve">الجدول الزمني:</w:t>
      </w:r>
      <w:r>
        <w:rPr>
          <w:rFonts w:ascii="Arial" w:cs="Arial" w:eastAsia="Arial" w:hAnsi="Arial"/>
          <w:b w:val="false"/>
          <w:bCs w:val="false"/>
          <w:sz w:val="21"/>
          <w:szCs w:val="21"/>
          <w:rtl/>
        </w:rPr>
        <w:t xml:space="preserve"> الحلول بترتيب ما تكسبه من درجات قبل نهاية السنة المالية للشركة (لأن الحل لا يُقيد في الفترة إلا بمستند مؤرخ في نهايتها أو قبلها)، ثم ما ستطلبه جهة التمويل قبل أول موعد بثلاثين يومًا.</w:t>
      </w:r>
    </w:p>
    <w:p>
      <w:pPr>
        <w:pStyle w:val="ListParagraph"/>
        <w:numPr>
          <w:ilvl w:val="0"/>
          <w:numId w:val="3"/>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كل يوم، لآخر تقييم محسوب لكل شركة، كل موعد في المدة جاهزيته غير خضراء (</w:t>
      </w:r>
      <w:r>
        <w:rPr>
          <w:rFonts w:ascii="Courier New" w:cs="Courier New" w:eastAsia="Courier New" w:hAnsi="Courier New"/>
          <w:b w:val="false"/>
          <w:bCs w:val="false"/>
          <w:color w:val="1F2937"/>
          <w:sz w:val="18"/>
          <w:szCs w:val="18"/>
          <w:shd w:fill="F1F3F5" w:color="auto" w:val="clear"/>
          <w:rtl/>
        </w:rPr>
        <w:t xml:space="preserve">‎fin.v_CreditEarlyWarnings‎</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إشعارات الإنذار المبكر (ADR 0027):</w:t>
      </w:r>
      <w:r>
        <w:rPr>
          <w:rFonts w:ascii="Arial" w:cs="Arial" w:eastAsia="Arial" w:hAnsi="Arial"/>
          <w:b w:val="false"/>
          <w:bCs w:val="false"/>
          <w:sz w:val="21"/>
          <w:szCs w:val="21"/>
          <w:rtl/>
        </w:rPr>
        <w:t xml:space="preserve"> ترسلها مهمة يومية </w:t>
      </w:r>
      <w:r>
        <w:rPr>
          <w:rFonts w:ascii="Courier New" w:cs="Courier New" w:eastAsia="Courier New" w:hAnsi="Courier New"/>
          <w:b w:val="false"/>
          <w:bCs w:val="false"/>
          <w:color w:val="1F2937"/>
          <w:sz w:val="18"/>
          <w:szCs w:val="18"/>
          <w:shd w:fill="F1F3F5" w:color="auto" w:val="clear"/>
          <w:rtl/>
        </w:rPr>
        <w:t xml:space="preserve">‎JOB-FIN-READINESS‎</w:t>
      </w:r>
      <w:r>
        <w:rPr>
          <w:rFonts w:ascii="Arial" w:cs="Arial" w:eastAsia="Arial" w:hAnsi="Arial"/>
          <w:b w:val="false"/>
          <w:bCs w:val="false"/>
          <w:sz w:val="21"/>
          <w:szCs w:val="21"/>
          <w:rtl/>
        </w:rPr>
        <w:t xml:space="preserve"> في 05:20 بتوقيت المشترك، فلا يلزم أن يفتح أحد ملف الجاهزية. يصل الإنذار بكل موعد مرة عند دخوله المدة، ثم عند 90 و30 و7 أيام، ومرة أخرى في المرحلة نفسها إن ساءت جاهزيته من الأصفر إلى الأحمر. والأحمر بشدة عالية. ولا يتكرر الإنذار بإعادة التشغيل، والمهمة بعد توقف أيامًا ترسل المرحلة الحالية وحدها. ويُكتب كل إنذار في </w:t>
      </w:r>
      <w:r>
        <w:rPr>
          <w:rFonts w:ascii="Courier New" w:cs="Courier New" w:eastAsia="Courier New" w:hAnsi="Courier New"/>
          <w:b w:val="false"/>
          <w:bCs w:val="false"/>
          <w:color w:val="1F2937"/>
          <w:sz w:val="18"/>
          <w:szCs w:val="18"/>
          <w:shd w:fill="F1F3F5" w:color="auto" w:val="clear"/>
          <w:rtl/>
        </w:rPr>
        <w:t xml:space="preserve">‎fin.EarlyWarningAlert‎</w:t>
      </w:r>
      <w:r>
        <w:rPr>
          <w:rFonts w:ascii="Arial" w:cs="Arial" w:eastAsia="Arial" w:hAnsi="Arial"/>
          <w:b w:val="false"/>
          <w:bCs w:val="false"/>
          <w:sz w:val="21"/>
          <w:szCs w:val="21"/>
          <w:rtl/>
        </w:rPr>
        <w:t xml:space="preserve"> مع طلب إشعار في صندوق Outbox في معاملة واحدة، فيحل منشئ الإشعارات مستلميه (TM وFO وFA ضمن نطاق الشركة).</w:t>
      </w:r>
    </w:p>
    <w:p>
      <w:pPr>
        <w:pStyle w:val="ListParagraph"/>
        <w:numPr>
          <w:ilvl w:val="0"/>
          <w:numId w:val="3"/>
        </w:numPr>
        <w:bidi/>
        <w:spacing w:after="70" w:before="0" w:line="300"/>
      </w:pPr>
      <w:r>
        <w:rPr>
          <w:rFonts w:ascii="Arial" w:cs="Arial" w:eastAsia="Arial" w:hAnsi="Arial"/>
          <w:b/>
          <w:bCs/>
          <w:sz w:val="21"/>
          <w:szCs w:val="21"/>
          <w:rtl/>
        </w:rPr>
        <w:t xml:space="preserve">رسائل الإنذار (ADR 0028):</w:t>
      </w:r>
      <w:r>
        <w:rPr>
          <w:rFonts w:ascii="Arial" w:cs="Arial" w:eastAsia="Arial" w:hAnsi="Arial"/>
          <w:b w:val="false"/>
          <w:bCs w:val="false"/>
          <w:sz w:val="21"/>
          <w:szCs w:val="21"/>
          <w:rtl/>
        </w:rPr>
        <w:t xml:space="preserve"> حدثان: الأحمر </w:t>
      </w:r>
      <w:r>
        <w:rPr>
          <w:rFonts w:ascii="Courier New" w:cs="Courier New" w:eastAsia="Courier New" w:hAnsi="Courier New"/>
          <w:b w:val="false"/>
          <w:bCs w:val="false"/>
          <w:color w:val="1F2937"/>
          <w:sz w:val="18"/>
          <w:szCs w:val="18"/>
          <w:shd w:fill="F1F3F5" w:color="auto" w:val="clear"/>
          <w:rtl/>
        </w:rPr>
        <w:t xml:space="preserve">‎FIN.READINESS_RED‎</w:t>
      </w:r>
      <w:r>
        <w:rPr>
          <w:rFonts w:ascii="Arial" w:cs="Arial" w:eastAsia="Arial" w:hAnsi="Arial"/>
          <w:b w:val="false"/>
          <w:bCs w:val="false"/>
          <w:sz w:val="21"/>
          <w:szCs w:val="21"/>
          <w:rtl/>
        </w:rPr>
        <w:t xml:space="preserve"> بشدة عالية وإلزامي ويصل بالبريد أيضًا، والأصفر </w:t>
      </w:r>
      <w:r>
        <w:rPr>
          <w:rFonts w:ascii="Courier New" w:cs="Courier New" w:eastAsia="Courier New" w:hAnsi="Courier New"/>
          <w:b w:val="false"/>
          <w:bCs w:val="false"/>
          <w:color w:val="1F2937"/>
          <w:sz w:val="18"/>
          <w:szCs w:val="18"/>
          <w:shd w:fill="F1F3F5" w:color="auto" w:val="clear"/>
          <w:rtl/>
        </w:rPr>
        <w:t xml:space="preserve">‎FIN.READINESS_AMBER‎</w:t>
      </w:r>
      <w:r>
        <w:rPr>
          <w:rFonts w:ascii="Arial" w:cs="Arial" w:eastAsia="Arial" w:hAnsi="Arial"/>
          <w:b w:val="false"/>
          <w:bCs w:val="false"/>
          <w:sz w:val="21"/>
          <w:szCs w:val="21"/>
          <w:rtl/>
        </w:rPr>
        <w:t xml:space="preserve"> في التطبيق ويجوز جمعه في الملخص اليومي. والرسالة بلغة المستلم، العربية أو الإنجليزية. تذكر نوع الموعد ومرجعه وتاريخه والأيام الباقية، وسبب الجاهزية (أول قاعدة حددتها)، ودرجة التقييم وسيولته. ورسالة البريد تضيف ثلاث خطوات قبل الموعد، وتنبّه إلى أن الدرجة معايرة النظام الداخلية لا تصنيف جهة التمويل. والقوالب في حزمة المشترك </w:t>
      </w:r>
      <w:r>
        <w:rPr>
          <w:rFonts w:ascii="Courier New" w:cs="Courier New" w:eastAsia="Courier New" w:hAnsi="Courier New"/>
          <w:b w:val="false"/>
          <w:bCs w:val="false"/>
          <w:color w:val="1F2937"/>
          <w:sz w:val="18"/>
          <w:szCs w:val="18"/>
          <w:shd w:fill="F1F3F5" w:color="auto" w:val="clear"/>
          <w:rtl/>
        </w:rPr>
        <w:t xml:space="preserve">‎NTF.BASE‎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المعايرة في الجاهزية (ADR 0030):</w:t>
      </w:r>
      <w:r>
        <w:rPr>
          <w:rFonts w:ascii="Arial" w:cs="Arial" w:eastAsia="Arial" w:hAnsi="Arial"/>
          <w:b w:val="false"/>
          <w:bCs w:val="false"/>
          <w:sz w:val="21"/>
          <w:szCs w:val="21"/>
          <w:rtl/>
        </w:rPr>
        <w:t xml:space="preserve"> إن كانت الشركة تقيّم نفسها أعلى من جهاتها بدرجة فأكثر في المتوسط، أو كان آخر تصنيف لجهة تمويل أقدم من 12 شهرًا (إعداد لكل شركة)، صار الموعد أصفر بعد كل الأسباب الأخرى. وإن لم يكن للشركة تصنيف حديث طلب ملف الجاهزية تصنيفًا من جهاتها.</w:t>
      </w:r>
    </w:p>
    <w:p>
      <w:pPr>
        <w:pStyle w:val="ListParagraph"/>
        <w:numPr>
          <w:ilvl w:val="0"/>
          <w:numId w:val="3"/>
        </w:numPr>
        <w:bidi/>
        <w:spacing w:after="70" w:before="0" w:line="300"/>
      </w:pPr>
      <w:r>
        <w:rPr>
          <w:rFonts w:ascii="Arial" w:cs="Arial" w:eastAsia="Arial" w:hAnsi="Arial"/>
          <w:b/>
          <w:bCs/>
          <w:sz w:val="21"/>
          <w:szCs w:val="21"/>
          <w:rtl/>
        </w:rPr>
        <w:t xml:space="preserve">مصفوفة مخصص الذمم (ADR 0030):</w:t>
      </w:r>
      <w:r>
        <w:rPr>
          <w:rFonts w:ascii="Arial" w:cs="Arial" w:eastAsia="Arial" w:hAnsi="Arial"/>
          <w:b w:val="false"/>
          <w:bCs w:val="false"/>
          <w:sz w:val="21"/>
          <w:szCs w:val="21"/>
          <w:rtl/>
        </w:rPr>
        <w:t xml:space="preserve"> المخصص المتوقع من أعمار الذمم بنسب تعتمدها الخزينة، بجانب المخصص المسجَّل. وإن قل المسجَّل عن 90% من المتوقع طلب الملف تفسيره. والفحص لا يغيّر الدرجة.</w:t>
      </w:r>
    </w:p>
    <w:p>
      <w:pPr>
        <w:bidi/>
        <w:spacing w:after="60" w:before="0"/>
      </w:pPr>
    </w:p>
    <w:p>
      <w:pPr>
        <w:pStyle w:val="Heading2"/>
        <w:bidi/>
      </w:pPr>
      <w:bookmarkStart w:name="_sec50" w:id="50"/>
      <w:r>
        <w:rPr>
          <w:rFonts w:ascii="Arial" w:cs="Arial" w:eastAsia="Arial" w:hAnsi="Arial"/>
          <w:b/>
          <w:bCs/>
          <w:color w:val="2B5C8A"/>
          <w:sz w:val="26"/>
          <w:szCs w:val="26"/>
          <w:rtl/>
        </w:rPr>
        <w:t xml:space="preserve">15.3 تقييم القوائم التقديرية (الموازنة) قبل تنفيذ الخطة (ADR 0025)</w:t>
      </w:r>
      <w:bookmarkEnd w:id="50"/>
    </w:p>
    <w:p>
      <w:pPr>
        <w:bidi/>
        <w:spacing w:after="110" w:before="0" w:line="312"/>
      </w:pPr>
      <w:r>
        <w:rPr>
          <w:rFonts w:ascii="Arial" w:cs="Arial" w:eastAsia="Arial" w:hAnsi="Arial"/>
          <w:b w:val="false"/>
          <w:bCs w:val="false"/>
          <w:sz w:val="21"/>
          <w:szCs w:val="21"/>
          <w:rtl/>
        </w:rPr>
        <w:t xml:space="preserve">تُدخل الشركة قوائم السنة القادمة المقدّرة قائمةً </w:t>
      </w:r>
      <w:r>
        <w:rPr>
          <w:rFonts w:ascii="Arial" w:cs="Arial" w:eastAsia="Arial" w:hAnsi="Arial"/>
          <w:b/>
          <w:bCs/>
          <w:sz w:val="21"/>
          <w:szCs w:val="21"/>
          <w:rtl/>
        </w:rPr>
        <w:t xml:space="preserve">بطبيعة «موازنة»</w:t>
      </w:r>
      <w:r>
        <w:rPr>
          <w:rFonts w:ascii="Arial" w:cs="Arial" w:eastAsia="Arial" w:hAnsi="Arial"/>
          <w:b w:val="false"/>
          <w:bCs w:val="false"/>
          <w:sz w:val="21"/>
          <w:szCs w:val="21"/>
          <w:rtl/>
        </w:rPr>
        <w:t xml:space="preserve">: موازنة، أو خطة توسع، أو تمويلًا جديدًا. وتعمل بالقواعد الآتية:</w:t>
      </w:r>
    </w:p>
    <w:p>
      <w:pPr>
        <w:pStyle w:val="ListParagraph"/>
        <w:numPr>
          <w:ilvl w:val="0"/>
          <w:numId w:val="3"/>
        </w:numPr>
        <w:bidi/>
        <w:spacing w:after="70" w:before="0" w:line="300"/>
      </w:pPr>
      <w:r>
        <w:rPr>
          <w:rFonts w:ascii="Arial" w:cs="Arial" w:eastAsia="Arial" w:hAnsi="Arial"/>
          <w:b/>
          <w:bCs/>
          <w:sz w:val="21"/>
          <w:szCs w:val="21"/>
          <w:rtl/>
        </w:rPr>
        <w:t xml:space="preserve">إعداد الإدارة، وتبقى مسودة:</w:t>
      </w:r>
      <w:r>
        <w:rPr>
          <w:rFonts w:ascii="Arial" w:cs="Arial" w:eastAsia="Arial" w:hAnsi="Arial"/>
          <w:b w:val="false"/>
          <w:bCs w:val="false"/>
          <w:sz w:val="21"/>
          <w:szCs w:val="21"/>
          <w:rtl/>
        </w:rPr>
        <w:t xml:space="preserve"> لا رأي مراجع لها، ولا تُقدَّم ولا تُعتمد. فلا تدخل في اختبار تعهد، ولا في التوحيد، ولا في التحويلات، ولا تكون قائمة مقارنة.</w:t>
      </w:r>
    </w:p>
    <w:p>
      <w:pPr>
        <w:pStyle w:val="ListParagraph"/>
        <w:numPr>
          <w:ilvl w:val="0"/>
          <w:numId w:val="3"/>
        </w:numPr>
        <w:bidi/>
        <w:spacing w:after="70" w:before="0" w:line="300"/>
      </w:pPr>
      <w:r>
        <w:rPr>
          <w:rFonts w:ascii="Arial" w:cs="Arial" w:eastAsia="Arial" w:hAnsi="Arial"/>
          <w:b/>
          <w:bCs/>
          <w:sz w:val="21"/>
          <w:szCs w:val="21"/>
          <w:rtl/>
        </w:rPr>
        <w:t xml:space="preserve">سلسلة إصدارات منفصلة:</w:t>
      </w:r>
      <w:r>
        <w:rPr>
          <w:rFonts w:ascii="Arial" w:cs="Arial" w:eastAsia="Arial" w:hAnsi="Arial"/>
          <w:b w:val="false"/>
          <w:bCs w:val="false"/>
          <w:sz w:val="21"/>
          <w:szCs w:val="21"/>
          <w:rtl/>
        </w:rPr>
        <w:t xml:space="preserve"> موازنة 2026 لا تتعارض مع القائمة الفعلية لعام 2026 حين تُدخل لاحقًا.</w:t>
      </w:r>
    </w:p>
    <w:p>
      <w:pPr>
        <w:pStyle w:val="ListParagraph"/>
        <w:numPr>
          <w:ilvl w:val="0"/>
          <w:numId w:val="3"/>
        </w:numPr>
        <w:bidi/>
        <w:spacing w:after="70" w:before="0" w:line="300"/>
      </w:pPr>
      <w:r>
        <w:rPr>
          <w:rFonts w:ascii="Arial" w:cs="Arial" w:eastAsia="Arial" w:hAnsi="Arial"/>
          <w:b/>
          <w:bCs/>
          <w:sz w:val="21"/>
          <w:szCs w:val="21"/>
          <w:rtl/>
        </w:rPr>
        <w:t xml:space="preserve">تقييم تجريبي فقط</w:t>
      </w:r>
      <w:r>
        <w:rPr>
          <w:rFonts w:ascii="Arial" w:cs="Arial" w:eastAsia="Arial" w:hAnsi="Arial"/>
          <w:b w:val="false"/>
          <w:bCs w:val="false"/>
          <w:sz w:val="21"/>
          <w:szCs w:val="21"/>
          <w:rtl/>
        </w:rPr>
        <w:t xml:space="preserve">، وقائمة المقارنة فيه قائمة فعلية معتمدة، ويذكر الملخص أنه لموازنة. وتُقرأ بمستوى تأكيد قائمة المقارنة ورأي مراجعها، لأن الموازنة إعداد الإدارة بطبيعتها، ولولا ذلك لظهرت في كل موازنة درجة القائمة السنوية غير المدققة فغطّت أثر الخطة نفسها.</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الموازنة بجانب آخر تقييم لقائمة فعلية سابقة: الدرجة والمجموع والسيولة والنظرة والمخاطر الحرجة، وكم درجة تكسب الخطة أو تخسر، وكل مقياس بجانب نظيره (</w:t>
      </w:r>
      <w:r>
        <w:rPr>
          <w:rFonts w:ascii="Courier New" w:cs="Courier New" w:eastAsia="Courier New" w:hAnsi="Courier New"/>
          <w:b w:val="false"/>
          <w:bCs w:val="false"/>
          <w:color w:val="1F2937"/>
          <w:sz w:val="18"/>
          <w:szCs w:val="18"/>
          <w:shd w:fill="F1F3F5" w:color="auto" w:val="clear"/>
          <w:rtl/>
        </w:rPr>
        <w:t xml:space="preserve">‎fin.v_BudgetComparison‎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‎fin.v_BudgetFactorComparison‎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بدائل الخطة:</w:t>
      </w:r>
      <w:r>
        <w:rPr>
          <w:rFonts w:ascii="Arial" w:cs="Arial" w:eastAsia="Arial" w:hAnsi="Arial"/>
          <w:b w:val="false"/>
          <w:bCs w:val="false"/>
          <w:sz w:val="21"/>
          <w:szCs w:val="21"/>
          <w:rtl/>
        </w:rPr>
        <w:t xml:space="preserve"> قرض أم رأس مال، وأجل قصير أم طويل، تُبنى نسخَ عرض للموازنة (§15.1)، ويُقارن بينها.</w:t>
      </w:r>
    </w:p>
    <w:p>
      <w:pPr>
        <w:pStyle w:val="ListParagraph"/>
        <w:numPr>
          <w:ilvl w:val="0"/>
          <w:numId w:val="3"/>
        </w:numPr>
        <w:bidi/>
        <w:spacing w:after="70" w:before="0" w:line="300"/>
      </w:pPr>
      <w:r>
        <w:rPr>
          <w:rFonts w:ascii="Arial" w:cs="Arial" w:eastAsia="Arial" w:hAnsi="Arial"/>
          <w:b/>
          <w:bCs/>
          <w:sz w:val="21"/>
          <w:szCs w:val="21"/>
          <w:rtl/>
        </w:rPr>
        <w:t xml:space="preserve">لا إنذار مبكر من الموازنة</w:t>
      </w:r>
      <w:r>
        <w:rPr>
          <w:rFonts w:ascii="Arial" w:cs="Arial" w:eastAsia="Arial" w:hAnsi="Arial"/>
          <w:b w:val="false"/>
          <w:bCs w:val="false"/>
          <w:sz w:val="21"/>
          <w:szCs w:val="21"/>
          <w:rtl/>
        </w:rPr>
        <w:t xml:space="preserve">، لأنها تنظر إلى ما بعد المواعيد ولا تخبر عنها.</w:t>
      </w:r>
    </w:p>
    <w:p>
      <w:pPr>
        <w:bidi/>
        <w:spacing w:after="60" w:before="0"/>
      </w:pPr>
    </w:p>
    <w:p>
      <w:pPr>
        <w:pStyle w:val="Heading2"/>
        <w:bidi/>
      </w:pPr>
      <w:bookmarkStart w:name="_sec51" w:id="51"/>
      <w:r>
        <w:rPr>
          <w:rFonts w:ascii="Arial" w:cs="Arial" w:eastAsia="Arial" w:hAnsi="Arial"/>
          <w:b/>
          <w:bCs/>
          <w:color w:val="2B5C8A"/>
          <w:sz w:val="26"/>
          <w:szCs w:val="26"/>
          <w:rtl/>
        </w:rPr>
        <w:t xml:space="preserve">15.4 التصنيف الذي يبلغ به البنك الشركة (ADR 0026)</w:t>
      </w:r>
      <w:bookmarkEnd w:id="51"/>
    </w:p>
    <w:p>
      <w:pPr>
        <w:bidi/>
        <w:spacing w:after="110" w:before="0" w:line="312"/>
      </w:pPr>
      <w:r>
        <w:rPr>
          <w:rFonts w:ascii="Arial" w:cs="Arial" w:eastAsia="Arial" w:hAnsi="Arial"/>
          <w:b w:val="false"/>
          <w:bCs w:val="false"/>
          <w:sz w:val="21"/>
          <w:szCs w:val="21"/>
          <w:rtl/>
        </w:rPr>
        <w:t xml:space="preserve">تسجّل إدارة الخزينة كل تصنيف يبلغها به بنك عن الشركة، بتاريخه ومستنده: درجة البنك بتسميته الداخلية، ومقابلها على سلّم الإحدى والعشرين درجة (يعطيه البنك أو تقابله الخزينة فتُبقي تسميته)، وما ذكره من أسباب. ثم:</w:t>
      </w:r>
    </w:p>
    <w:p>
      <w:pPr>
        <w:pStyle w:val="ListParagraph"/>
        <w:numPr>
          <w:ilvl w:val="0"/>
          <w:numId w:val="3"/>
        </w:numPr>
        <w:bidi/>
        <w:spacing w:after="70" w:before="0" w:line="300"/>
      </w:pPr>
      <w:r>
        <w:rPr>
          <w:rFonts w:ascii="Arial" w:cs="Arial" w:eastAsia="Arial" w:hAnsi="Arial"/>
          <w:b/>
          <w:bCs/>
          <w:sz w:val="21"/>
          <w:szCs w:val="21"/>
          <w:rtl/>
        </w:rPr>
        <w:t xml:space="preserve">المقارنة:</w:t>
      </w:r>
      <w:r>
        <w:rPr>
          <w:rFonts w:ascii="Arial" w:cs="Arial" w:eastAsia="Arial" w:hAnsi="Arial"/>
          <w:b w:val="false"/>
          <w:bCs w:val="false"/>
          <w:sz w:val="21"/>
          <w:szCs w:val="21"/>
          <w:rtl/>
        </w:rPr>
        <w:t xml:space="preserve"> يوضع التصنيف بجانب آخر تقييم محسوب لقائمة فعلية في تاريخه أو قبله، بالفرق بالدرجات واتجاهه: البنك أشد، أو أيسر، أو مثله.</w:t>
      </w:r>
    </w:p>
    <w:p>
      <w:pPr>
        <w:pStyle w:val="ListParagraph"/>
        <w:numPr>
          <w:ilvl w:val="0"/>
          <w:numId w:val="3"/>
        </w:numPr>
        <w:bidi/>
        <w:spacing w:after="70" w:before="0" w:line="300"/>
      </w:pPr>
      <w:r>
        <w:rPr>
          <w:rFonts w:ascii="Arial" w:cs="Arial" w:eastAsia="Arial" w:hAnsi="Arial"/>
          <w:b/>
          <w:bCs/>
          <w:sz w:val="21"/>
          <w:szCs w:val="21"/>
          <w:rtl/>
        </w:rPr>
        <w:t xml:space="preserve">موضع الافتراق:</w:t>
      </w:r>
      <w:r>
        <w:rPr>
          <w:rFonts w:ascii="Arial" w:cs="Arial" w:eastAsia="Arial" w:hAnsi="Arial"/>
          <w:b w:val="false"/>
          <w:bCs w:val="false"/>
          <w:sz w:val="21"/>
          <w:szCs w:val="21"/>
          <w:rtl/>
        </w:rPr>
        <w:t xml:space="preserve"> إن كان البنك أيسر، فالمقاييس التي يدرّجها التقييم أسوأ من درجة البنك. وإن كان أشد، فالتي يدرّجها أفضل منها. ولكل مقياس وزنه وبعده عن درجة البنك، ثم كل تعديل وسقف طبّقه التقييم، لأن البنك قد يزنها بغير وزنها. وهذه قراءة للتقييم أمام درجة واحدة، لا نموذج البنك.</w:t>
      </w:r>
    </w:p>
    <w:p>
      <w:pPr>
        <w:pStyle w:val="ListParagraph"/>
        <w:numPr>
          <w:ilvl w:val="0"/>
          <w:numId w:val="3"/>
        </w:numPr>
        <w:bidi/>
        <w:spacing w:after="70" w:before="0" w:line="300"/>
      </w:pPr>
      <w:r>
        <w:rPr>
          <w:rFonts w:ascii="Arial" w:cs="Arial" w:eastAsia="Arial" w:hAnsi="Arial"/>
          <w:b/>
          <w:bCs/>
          <w:sz w:val="21"/>
          <w:szCs w:val="21"/>
          <w:rtl/>
        </w:rPr>
        <w:t xml:space="preserve">الجاهزية:</w:t>
      </w:r>
      <w:r>
        <w:rPr>
          <w:rFonts w:ascii="Arial" w:cs="Arial" w:eastAsia="Arial" w:hAnsi="Arial"/>
          <w:b w:val="false"/>
          <w:bCs w:val="false"/>
          <w:sz w:val="21"/>
          <w:szCs w:val="21"/>
          <w:rtl/>
        </w:rPr>
        <w:t xml:space="preserve"> تجديد تسهيل بنكٍ آخرُ تصنيفه للشركة B3 فأسوأ أحمر، وأدنى من درجة التقييم بدرجتين فأكثر أصفر.</w:t>
      </w:r>
    </w:p>
    <w:p>
      <w:pPr>
        <w:bidi/>
        <w:spacing w:after="60" w:before="0"/>
      </w:pPr>
    </w:p>
    <w:p>
      <w:pPr>
        <w:pStyle w:val="Heading1"/>
        <w:bidi/>
      </w:pPr>
      <w:bookmarkStart w:name="_sec52" w:id="52"/>
      <w:r>
        <w:rPr>
          <w:rFonts w:ascii="Arial" w:cs="Arial" w:eastAsia="Arial" w:hAnsi="Arial"/>
          <w:b/>
          <w:bCs/>
          <w:color w:val="1F3A5F"/>
          <w:sz w:val="32"/>
          <w:szCs w:val="32"/>
          <w:rtl/>
        </w:rPr>
        <w:t xml:space="preserve">16. النظرة المستقبلية ومحفزات الدرجة</w:t>
      </w:r>
      <w:bookmarkEnd w:id="52"/>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53" w:id="53"/>
      <w:r>
        <w:rPr>
          <w:rFonts w:ascii="Arial" w:cs="Arial" w:eastAsia="Arial" w:hAnsi="Arial"/>
          <w:b/>
          <w:bCs/>
          <w:color w:val="1F3A5F"/>
          <w:sz w:val="32"/>
          <w:szCs w:val="32"/>
          <w:rtl/>
        </w:rPr>
        <w:t xml:space="preserve">17. اكتمال البيانات وما يطلبه التقرير</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18. التقرير</w:t>
      </w:r>
      <w:bookmarkEnd w:id="54"/>
    </w:p>
    <w:p>
      <w:pPr>
        <w:bidi/>
        <w:spacing w:after="110" w:before="0" w:line="312"/>
      </w:pPr>
      <w:r>
        <w:rPr>
          <w:rFonts w:ascii="Arial" w:cs="Arial" w:eastAsia="Arial" w:hAnsi="Arial"/>
          <w:b w:val="false"/>
          <w:bCs w:val="false"/>
          <w:sz w:val="21"/>
          <w:szCs w:val="21"/>
          <w:rtl/>
        </w:rPr>
        <w:t xml:space="preserve">يُقرأ التقرير من سؤال الشركة: </w:t>
      </w:r>
      <w:r>
        <w:rPr>
          <w:rFonts w:ascii="Arial" w:cs="Arial" w:eastAsia="Arial" w:hAnsi="Arial"/>
          <w:b/>
          <w:bCs/>
          <w:sz w:val="21"/>
          <w:szCs w:val="21"/>
          <w:rtl/>
        </w:rPr>
        <w:t xml:space="preserve">ماذا سيرى البنك، وماذا نفعل قبله؟</w:t>
      </w:r>
      <w:r>
        <w:rPr>
          <w:rFonts w:ascii="Arial" w:cs="Arial" w:eastAsia="Arial" w:hAnsi="Arial"/>
          <w:b w:val="false"/>
          <w:bCs w:val="false"/>
          <w:sz w:val="21"/>
          <w:szCs w:val="21"/>
          <w:rtl/>
        </w:rPr>
        <w:t xml:space="preserve"> فتبدأ قراءته بالدرجة المتوقعة والسيولة والنظرة، ثم أهم نقاط الضعف والمخاطر، ثم الحلول وخطط التقوية بترتيب أثرها، ثم البيانات التي ستطلبها جهة التمويل. والتقييم التجريبي يحمل في ملخصه أنه على قائمة لم تُعتمد نهائيًا.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19. مثال محسوب</w:t>
      </w:r>
      <w:bookmarkEnd w:id="55"/>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معدّ التقييم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6"/>
        <w:gridCol w:w="1409"/>
        <w:gridCol w:w="1409"/>
        <w:gridCol w:w="1207"/>
        <w:gridCol w:w="1006"/>
        <w:gridCol w:w="1207"/>
        <w:gridCol w:w="1610"/>
      </w:tblGrid>
      <w:tr>
        <w:trPr>
          <w:cantSplit/>
          <w:tblHeader/>
        </w:trPr>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معدّ التقييم</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20. الحوكمة والتحقق قبل الاستعمال</w:t>
      </w:r>
      <w:bookmarkEnd w:id="56"/>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اعتماد خطة الشركة أو تقديم قوائمها.</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7" w:id="57"/>
      <w:r>
        <w:rPr>
          <w:rFonts w:ascii="Arial" w:cs="Arial" w:eastAsia="Arial" w:hAnsi="Arial"/>
          <w:b/>
          <w:bCs/>
          <w:color w:val="1F3A5F"/>
          <w:sz w:val="32"/>
          <w:szCs w:val="32"/>
          <w:rtl/>
        </w:rPr>
        <w:t xml:space="preserve">21. التحقق من التنفيذ</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20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ومستورد أغذية في الكويت بحدود ملتزمة غير مسحوبة توقفها البنوك في نزاع الخليج، وقرارات فعلية لبنوك على بعض التسهيلات) والحجم الصغير جدًا، مرة للنواة (كل كمية ومقياس وعامل ومستوى بند وتعديل ودرجة وسيولة واكتمال ودرجة تسهيلات) ومرة للتقييم كله (السيناريوهات السبعة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22. المراجعة المستقلة</w:t>
      </w:r>
      <w:bookmarkEnd w:id="58"/>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7"/>
        <w:gridCol w:w="603"/>
        <w:gridCol w:w="603"/>
        <w:gridCol w:w="603"/>
        <w:gridCol w:w="603"/>
        <w:gridCol w:w="603"/>
        <w:gridCol w:w="603"/>
        <w:gridCol w:w="603"/>
        <w:gridCol w:w="603"/>
        <w:gridCol w:w="603"/>
        <w:gridCol w:w="603"/>
        <w:gridCol w:w="603"/>
        <w:gridCol w:w="603"/>
        <w:gridCol w:w="1161"/>
      </w:tblGrid>
      <w:tr>
        <w:trPr>
          <w:cantSplit/>
          <w:tblHeader/>
        </w:trPr>
        <w:tc>
          <w:tcPr>
            <w:tcW w:type="dxa" w:w="1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الخليج وممرات الملاحة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(بلا مدى)</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(بلا مدى)</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23. الوثائق التي أرفقها المالك في 2026-10-19</w:t>
      </w:r>
      <w:bookmarkEnd w:id="59"/>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60" w:id="60"/>
      <w:r>
        <w:rPr>
          <w:rFonts w:ascii="Arial" w:cs="Arial" w:eastAsia="Arial" w:hAnsi="Arial"/>
          <w:b/>
          <w:bCs/>
          <w:color w:val="1F3A5F"/>
          <w:sz w:val="32"/>
          <w:szCs w:val="32"/>
          <w:rtl/>
        </w:rPr>
        <w:t xml:space="preserve">24. قرارات المالك والأسئلة الباقية</w:t>
      </w:r>
      <w:bookmarkEnd w:id="60"/>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7"/>
        <w:gridCol w:w="3853"/>
        <w:gridCol w:w="4884"/>
      </w:tblGrid>
      <w:tr>
        <w:trPr>
          <w:cantSplit/>
          <w:tblHeader/>
        </w:trPr>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4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4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وأُعطيت تفاصيله في صفحة الأسئلة (أدناه) فبُني سيناريو سابعًا في الإصدار 2.2</w:t>
            </w:r>
          </w:p>
        </w:tc>
      </w:tr>
    </w:tbl>
    <w:p>
      <w:pPr>
        <w:bidi/>
        <w:spacing w:after="120" w:before="0"/>
      </w:pPr>
    </w:p>
    <w:p>
      <w:pPr>
        <w:bidi/>
        <w:spacing w:after="110" w:before="0" w:line="312"/>
      </w:pPr>
      <w:r>
        <w:rPr>
          <w:rFonts w:ascii="Arial" w:cs="Arial" w:eastAsia="Arial" w:hAnsi="Arial"/>
          <w:b/>
          <w:bCs/>
          <w:sz w:val="21"/>
          <w:szCs w:val="21"/>
          <w:rtl/>
        </w:rPr>
        <w:t xml:space="preserve">تفاصيل سيناريو الحدث الجاري (2026-10-19):</w:t>
      </w:r>
      <w:r>
        <w:rPr>
          <w:rFonts w:ascii="Arial" w:cs="Arial" w:eastAsia="Arial" w:hAnsi="Arial"/>
          <w:b w:val="false"/>
          <w:bCs w:val="false"/>
          <w:sz w:val="21"/>
          <w:szCs w:val="21"/>
          <w:rtl/>
        </w:rPr>
        <w:t xml:space="preserve"> اعتمد المالك المقترح في EV-01 إلى EV-05، وأجاب عن EV-06 بنفسه: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69"/>
        <w:gridCol w:w="2196"/>
        <w:gridCol w:w="5101"/>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الإجابة</w:t>
            </w:r>
          </w:p>
        </w:tc>
        <w:tc>
          <w:tcPr>
            <w:tcW w:type="dxa" w:w="5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بُني (</w:t>
            </w:r>
            <w:r>
              <w:rPr>
                <w:rFonts w:ascii="Courier New" w:cs="Courier New" w:eastAsia="Courier New" w:hAnsi="Courier New"/>
                <w:b/>
                <w:bCs/>
                <w:color w:val="FFFFFF"/>
                <w:sz w:val="16"/>
                <w:szCs w:val="16"/>
                <w:rtl/>
              </w:rPr>
              <w:t xml:space="preserve">‎GULF_SHIPPING_CONFLICT‎</w:t>
            </w:r>
            <w:r>
              <w:rPr>
                <w:rFonts w:ascii="Arial" w:cs="Arial" w:eastAsia="Arial" w:hAnsi="Arial"/>
                <w:b/>
                <w:bCs/>
                <w:color w:val="FFFFFF"/>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نزاع إقليمي ممتد في الخليج يطال طرق الملاحة في مضيق هرمز والبحر الأحمر سنة كاملة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النزاع 1 والاستيراد 1، والطلب 0.4 والعقار 0.4 والحكومة 0.2 والائتمان 0.3؛ والمخزون بقيمة الركود؛ والفائدة +150 نقطة أساس؛ وخسارة الذمم الخاصة 8%</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EV-02</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البلدان الأشد تأثرًا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 الخليج الست والأردن ومصر، وأشدها البحرين والكويت والإمارات</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مضاعف البلد: البحرين والكويت والإمارات 1.3، والسعودية وقطر وعُمان 1.0، والأردن ومصر 0.9، وغيرها 0.5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أثر الاضطراب لا مستوى السعر</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النفط 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المدة</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‎DurationMonths‎</w:t>
            </w:r>
            <w:r>
              <w:rPr>
                <w:rFonts w:ascii="Arial" w:cs="Arial" w:eastAsia="Arial" w:hAnsi="Arial"/>
                <w:b w:val="false"/>
                <w:bCs w:val="false"/>
                <w:sz w:val="18"/>
                <w:szCs w:val="18"/>
                <w:rtl/>
              </w:rPr>
              <w:t xml:space="preserve"> 12؛ والضغط على سنة القائمة كبقية السيناريوهات</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EV-05</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القطاعات الأشد تأثرًا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والطيران والفنادق والشحن البحري والتجارة المعتمدة على الاستيراد ومواد البناء المستوردة</w:t>
            </w:r>
          </w:p>
        </w:tc>
        <w:tc>
          <w:tcPr>
            <w:tcW w:type="dxa" w:w="5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حساسية كل نشاط للنزاع والاستيراد، دون قائمة قطاعات مستقلة</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EV-06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تسحب البنوك الخطوط؟</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حد الائتمان الذي لم يتم إطلاقه»</w:t>
            </w:r>
          </w:p>
        </w:tc>
        <w:tc>
          <w:tcPr>
            <w:tcW w:type="dxa" w:w="5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يُسحب شيء من الخطوط المستعملة (نسبة السحب 0)، ويتوقف كل حد ملتزم غير مسحوب (</w:t>
            </w:r>
            <w:r>
              <w:rPr>
                <w:rFonts w:ascii="Courier New" w:cs="Courier New" w:eastAsia="Courier New" w:hAnsi="Courier New"/>
                <w:b w:val="false"/>
                <w:bCs w:val="false"/>
                <w:color w:val="1F2937"/>
                <w:sz w:val="16"/>
                <w:szCs w:val="16"/>
                <w:shd w:fill="F1F3F5" w:color="auto" w:val="clear"/>
                <w:rtl/>
              </w:rPr>
              <w:t xml:space="preserve">‎UndrawnAvailablePct‎</w:t>
            </w:r>
            <w:r>
              <w:rPr>
                <w:rFonts w:ascii="Arial" w:cs="Arial" w:eastAsia="Arial" w:hAnsi="Arial"/>
                <w:b w:val="false"/>
                <w:bCs w:val="false"/>
                <w:sz w:val="18"/>
                <w:szCs w:val="18"/>
                <w:rtl/>
              </w:rPr>
              <w:t xml:space="preserve"> 0) فلا يُحسب في السيولة. فُهمت الإجابة هكذا؛ وإن أراد المالك سحب جزء من الخطوط المستعملة أيضًا فتكفي نسبة السحب</w:t>
            </w:r>
          </w:p>
        </w:tc>
      </w:tr>
    </w:tbl>
    <w:p>
      <w:pPr>
        <w:bidi/>
        <w:spacing w:after="120" w:before="0"/>
      </w:pPr>
    </w:p>
    <w:p>
      <w:pPr>
        <w:bidi/>
        <w:spacing w:after="110" w:before="0" w:line="312"/>
      </w:pPr>
      <w:r>
        <w:rPr>
          <w:rFonts w:ascii="Arial" w:cs="Arial" w:eastAsia="Arial" w:hAnsi="Arial"/>
          <w:b/>
          <w:bCs/>
          <w:sz w:val="21"/>
          <w:szCs w:val="21"/>
          <w:rtl/>
        </w:rPr>
        <w:t xml:space="preserve">وموقف البنك (2026-10-19، القرار 32):</w:t>
      </w:r>
      <w:r>
        <w:rPr>
          <w:rFonts w:ascii="Arial" w:cs="Arial" w:eastAsia="Arial" w:hAnsi="Arial"/>
          <w:b w:val="false"/>
          <w:bCs w:val="false"/>
          <w:sz w:val="21"/>
          <w:szCs w:val="21"/>
          <w:rtl/>
        </w:rPr>
        <w:t xml:space="preserve"> أوضح المالك أن البنك الذي يرى مخاطر مرتفعة لا يسحب التسهيلات عادة، لكن له أن يوقف الحدود التي لم تُطلق، أو يخفضها، أو يرفع التسعير والمصاريف الإدارية إن ارتفعت مخاطر القطاع، وكله بتقدير الجهة المانحة. فطُبّق في السيناريوهات السبعة كلها بعامل البنك (§14). وفي نسخة أولى أُضيف الهامش إلى كل الدين المصرفي، فنزل مستثمر عقاري بدين طويل الأجل تحت مدى المراجع في التصحيح العقاري؛ ولأن البنك لا يعيد تسعير القرض طويل الأجل قبل أجله، صُحّح الأساس إلى التسهيلات التي تتجدد، ولم يُوسَّع المدى، فبقيت الحالات الـ51 في مداها، وتحركت خمس خلايا سيناريو درجة واحدة.</w:t>
      </w:r>
    </w:p>
    <w:p>
      <w:pPr>
        <w:bidi/>
        <w:spacing w:after="110" w:before="0" w:line="312"/>
      </w:pPr>
      <w:r>
        <w:rPr>
          <w:rFonts w:ascii="Arial" w:cs="Arial" w:eastAsia="Arial" w:hAnsi="Arial"/>
          <w:b w:val="false"/>
          <w:bCs w:val="false"/>
          <w:sz w:val="21"/>
          <w:szCs w:val="21"/>
          <w:rtl/>
        </w:rPr>
        <w:t xml:space="preserve">ولم يراجع وكيل مستقل هذا السيناريو بعد، فليس لحالات المراجعة الـ51 مدى فيه؛ وتظهر درجتها فيه في جدول §22 «بلا مدى».</w:t>
      </w:r>
    </w:p>
    <w:p>
      <w:pPr>
        <w:pStyle w:val="Heading1"/>
        <w:bidi/>
      </w:pPr>
      <w:bookmarkStart w:name="_sec61" w:id="61"/>
      <w:r>
        <w:rPr>
          <w:rFonts w:ascii="Arial" w:cs="Arial" w:eastAsia="Arial" w:hAnsi="Arial"/>
          <w:b/>
          <w:bCs/>
          <w:color w:val="1F3A5F"/>
          <w:sz w:val="32"/>
          <w:szCs w:val="32"/>
          <w:rtl/>
        </w:rPr>
        <w:t xml:space="preserve">25. حدود معروفة</w:t>
      </w:r>
      <w:bookmarkEnd w:id="61"/>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62" w:id="62"/>
      <w:r>
        <w:rPr>
          <w:rFonts w:ascii="Arial" w:cs="Arial" w:eastAsia="Arial" w:hAnsi="Arial"/>
          <w:b/>
          <w:bCs/>
          <w:color w:val="1F3A5F"/>
          <w:sz w:val="32"/>
          <w:szCs w:val="32"/>
          <w:rtl/>
        </w:rPr>
        <w:t xml:space="preserve">26. المراجع</w:t>
      </w:r>
      <w:bookmarkEnd w:id="62"/>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2.2)</dc:title>
  <dc:creator>Claude</dc:creator>
  <dc:description>BankFas database design document</dc:description>
  <cp:lastModifiedBy>Un-named</cp:lastModifiedBy>
  <cp:revision>1</cp:revision>
  <dcterms:created xsi:type="dcterms:W3CDTF">2026-10-20T20:44:35.783Z</dcterms:created>
  <dcterms:modified xsi:type="dcterms:W3CDTF">2026-10-20T20:44:35.783Z</dcterms:modified>
</cp:coreProperties>
</file>

<file path=docProps/custom.xml><?xml version="1.0" encoding="utf-8"?>
<Properties xmlns="http://schemas.openxmlformats.org/officeDocument/2006/custom-properties" xmlns:vt="http://schemas.openxmlformats.org/officeDocument/2006/docPropsVTypes"/>
</file>