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2.9 (database hardening after the independent architecture review: row-level security and a data class on every table, typed references, ledger, seat and business rules as constraints, retention and erasure, scopes, purposes and keys, 16.27; one source of truth for seats and money, 16.28; builds on 2.8: passenger categories, family accounts, carrier-issued manifests and data isolation)</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6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Eight main phases and two extensions (intermediary platforms, rail)</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and payout schedules)</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and car rental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Redis (search and availability cache only), a trip search engine, file storage, a Message Queue for events</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w:t>
      </w:r>
      <w:r>
        <w:rPr>
          <w:rFonts w:ascii="Arial" w:cs="Arial" w:eastAsia="Arial" w:hAnsi="Arial"/>
          <w:sz w:val="22"/>
          <w:szCs w:val="22"/>
        </w:rPr>
        <w:t xml:space="preserve"> daily reports for each seller, a cap on cash held by the driver (in future),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Splitting the account into sub-accounts (Shards) by company or day, batching entries in small groups, then merging balances periodically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pipeline (Kafka then a time-series database), time partitioning, compression, 90-day hot retention then archiving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connection pooling (PgBouncer), date partitioning of large tables, considered indexes, read replicas for reports, archiving; the financial ledger stays in its own schema of the same database and is written in the booking's transaction (16.28)</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w:t>
      </w:r>
      <w:r>
        <w:rPr>
          <w:rFonts w:ascii="Arial" w:cs="Arial" w:eastAsia="Arial" w:hAnsi="Arial"/>
          <w:sz w:val="22"/>
          <w:szCs w:val="22"/>
        </w:rPr>
        <w:t xml:space="preserve"> search p95 under 500 ms, booking p95 under 3 seconds, QR scan under 1 second, booking and payment availability 99.95%.</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Warning:</w:t>
      </w:r>
      <w:r>
        <w:rPr>
          <w:rFonts w:ascii="Arial" w:cs="Arial" w:eastAsia="Arial" w:hAnsi="Arial"/>
          <w:sz w:val="22"/>
          <w:szCs w:val="22"/>
        </w:rPr>
        <w:t xml:space="preserve"> the current prototype runs on SQLite on a single node; migration to PostgreSQL is a prerequisite before any public launch.</w:t>
      </w:r>
    </w:p>
    <w:p>
      <w:pPr>
        <w:spacing w:after="80"/>
      </w:pP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instead of seats, </w:t>
            </w:r>
            <w:r>
              <w:rPr>
                <w:rFonts w:ascii="Arial" w:cs="Arial" w:eastAsia="Arial" w:hAnsi="Arial"/>
                <w:b/>
                <w:bCs/>
                <w:sz w:val="19"/>
                <w:szCs w:val="19"/>
              </w:rPr>
              <w:t xml:space="preserve">the approved line catalog, regulated tariff, line licenses and route compliance (4.15)</w:t>
            </w:r>
            <w:r>
              <w:rPr>
                <w:rFonts w:ascii="Arial" w:cs="Arial" w:eastAsia="Arial" w:hAnsi="Arial"/>
                <w:b w:val="false"/>
                <w:bCs w:val="false"/>
                <w:sz w:val="19"/>
                <w:szCs w:val="19"/>
              </w:rPr>
              <w:t xml:space="preserve">,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independent devices (a second source), improving driver-app tracking, and station gates and displays + notifying authorities of vehicles with expired licenses operating outside the platform (4.18 f)</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1"/>
      </w:pPr>
      <w:r>
        <w:rPr>
          <w:rFonts w:ascii="Arial" w:cs="Arial" w:eastAsia="Arial" w:hAnsi="Arial"/>
        </w:rPr>
        <w:t xml:space="preserve">23. Risks and Required Decisions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payment from the wallet,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 (for the driver/staff)</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netting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and recording remittances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(6.5), local wallets, alternatives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2.6)</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