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2.8 (passenger categories: adults, children and infants with ages and fares set by the carrier, family offers and family accounts, 4.19 and 4.20; manifests issued by the carrier for domestic and international trips and routed to the linked authorities, 11.10; data isolation between companies, carriers and shippers, 16.26; builds on 2.7)</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6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Eight main phases and two extensions (intermediary platforms, rail)</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and car rental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Redis (seat locking), a trip search engine, file storage, a Message Queue for events</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Redis primarily + a database copy for audit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in Redis</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(Redis Lua/lock row),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connection pooling (PgBouncer), date partitioning of large tables, considered indexes, read replicas, archiving, and separation of the financial ledger database from the operational database starting in the growth phase.</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database (separate)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(seat locks and caching)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instead of seats, </w:t>
            </w:r>
            <w:r>
              <w:rPr>
                <w:rFonts w:ascii="Arial" w:cs="Arial" w:eastAsia="Arial" w:hAnsi="Arial"/>
                <w:b/>
                <w:bCs/>
                <w:sz w:val="19"/>
                <w:szCs w:val="19"/>
              </w:rPr>
              <w:t xml:space="preserve">the approved line catalog, regulated tariff, line licenses and route compliance (4.15)</w:t>
            </w:r>
            <w:r>
              <w:rPr>
                <w:rFonts w:ascii="Arial" w:cs="Arial" w:eastAsia="Arial" w:hAnsi="Arial"/>
                <w:b w:val="false"/>
                <w:bCs w:val="false"/>
                <w:sz w:val="19"/>
                <w:szCs w:val="19"/>
              </w:rPr>
              <w:t xml:space="preserve">,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independent devices (a second source), improving driver-app tracking, and station gates and displays + notifying authorities of vehicles with expired licenses operating outside the platform (4.18 f)</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1"/>
      </w:pPr>
      <w:r>
        <w:rPr>
          <w:rFonts w:ascii="Arial" w:cs="Arial" w:eastAsia="Arial" w:hAnsi="Arial"/>
        </w:rPr>
        <w:t xml:space="preserve">23. Risks and Required Decisions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2.6)</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