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 w:before="600"/>
        <w:jc w:val="right"/>
      </w:pPr>
      <w:r>
        <w:rPr>
          <w:rFonts w:ascii="Arial" w:cs="Arial" w:eastAsia="Arial" w:hAnsi="Arial"/>
          <w:b/>
          <w:bCs/>
          <w:color w:val="1F3A5F"/>
          <w:sz w:val="44"/>
          <w:szCs w:val="44"/>
          <w:rtl/>
        </w:rPr>
        <w:t xml:space="preserve">مخطط علاقات جداول قاعدة البيانات</w:t>
      </w:r>
    </w:p>
    <w:p>
      <w:pPr>
        <w:bidi/>
        <w:spacing w:after="360" w:before="0"/>
        <w:jc w:val="right"/>
      </w:pPr>
      <w:r>
        <w:rPr>
          <w:rFonts w:ascii="Arial" w:cs="Arial" w:eastAsia="Arial" w:hAnsi="Arial"/>
          <w:color w:val="5B6670"/>
          <w:sz w:val="26"/>
          <w:szCs w:val="26"/>
          <w:rtl/>
        </w:rPr>
        <w:t xml:space="preserve">مخطط ERD بتدوين Crow's Foot · SQL Server 2025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38"/>
      </w:tblGrid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الوثيقة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مخطط علاقات الجداول (ERD) لكل وحدة وللنواة، مع جداول العلاقات الكاملة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الإصدار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v0.3 مسودة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التاريخ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2026-10-11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الجداول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194 جدولًا في 20 مخططًا (schema)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المفاتيح الأجنبية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763 مفتاحًا في DDL = 184 ملكية المشترك (TenantId → plat.Tenant، تُولَّد آليًا) + 579 مفتاحًا في النموذج، منها 75 أعمدة إثبات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القيود الفريدة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515 قيدًا في DDL (قيود UQ والفهارس الفريدة)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مجموعات الرسم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60 مجموعة: النواة + 55 مجموعة للوحدات م0 إلى م7/م8، بحد 4 جداول لكل رسم</w:t>
            </w:r>
          </w:p>
        </w:tc>
      </w:tr>
      <w:tr>
        <w:tc>
          <w:tcPr>
            <w:tcW w:type="dxa" w:w="30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  <w:rtl/>
              </w:rPr>
              <w:t xml:space="preserve">المصدر</w:t>
            </w:r>
          </w:p>
        </w:tc>
        <w:tc>
          <w:tcPr>
            <w:tcW w:type="dxa" w:w="120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db/model/*.model (الأعمدة والعلاقات) · db/generated/tsql (المفاتيح والقيود) · tools/dbgen/erd_manifest.py</w:t>
            </w:r>
          </w:p>
        </w:tc>
      </w:tr>
    </w:tbl>
    <w:p>
      <w:pPr>
        <w:pStyle w:val="Heading1"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قراءة المخطط</w:t>
      </w:r>
    </w:p>
    <w:p>
      <w:pPr>
        <w:keepNext w:val="false"/>
        <w:bidi/>
        <w:spacing w:after="14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ترسم المخططات بتدوين Crow's Foot. كل خط يربط جدول الأب بجدول الابن، واسمه أعمدة الربط بينهما.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9"/>
        <w:gridCol w:w="2845"/>
        <w:gridCol w:w="10974"/>
      </w:tblGrid>
      <w:tr>
        <w:trPr>
          <w:cantSplit/>
          <w:tblHeader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الرمز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الطرف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المعنى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||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الأب، إلزامي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كل صف ابن يجب أن يشير إلى أب واحد، فالعمود الإلزامي لا يقبل NULL.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|o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الأب، اختياري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الابن قد لا يشير إلى أب، والعمود يقبل NULL.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}o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طرف الابن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الأب الواحد يمكن أن يملك صفرًا أو أكثر من الأبناء.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PK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أساسي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كما في DDL؛ يسبقه TenantId في المفاتيح المركّبة.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FK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أجنبي عملي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يشير إلى جدول آخر. عمود الملكية TenantId لا يُعدّ هنا (انظر الملاحظات).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UK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عدد القيود الفريدة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عدد قيود UQ والفهارس الفريدة في DDL، ومنها المصفّى بشرط؛ لا يُرسم في الشكل.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الحذف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 / يمنع الحذف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متسلسل: يُحذف الابن مع أبيه. يمنع الحذف: لا يُحذف الأب ما دام له أبناء.</w:t>
            </w:r>
          </w:p>
        </w:tc>
      </w:tr>
      <w:tr>
        <w:trPr>
          <w:cantSplit/>
        </w:trPr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الرسم</w:t>
            </w:r>
          </w:p>
        </w:tc>
        <w:tc>
          <w:tcPr>
            <w:tcW w:type="dxa" w:w="28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 / لا</w:t>
            </w:r>
          </w:p>
        </w:tc>
        <w:tc>
          <w:tcPr>
            <w:tcW w:type="dxa" w:w="109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يعرض العلاقات بين جداول المجموعة نفسها. العلاقة إلى جدول في مجموعة أخرى، وعمود الإثبات، تُذكر في جدول العلاقات فقط.</w:t>
            </w:r>
          </w:p>
        </w:tc>
      </w:tr>
    </w:tbl>
    <w:p>
      <w:pPr>
        <w:keepNext w:val="false"/>
        <w:bidi/>
        <w:spacing w:after="8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  <w:rtl/>
        </w:rPr>
        <w:t xml:space="preserve">ملاحظات الرسم والجداول: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كل جدول مملوك للمشترك يحمل عمود TenantId يشير إلى plat.Tenant، وهي 184 علاقة ملكية. لا تُرسم ولا تُعرض في جداول العلاقات.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أعمدة الإثبات والتتبع (ActorUserId، AssignedBy، CandidateASourceDocumentId، CandidateBSourceDocumentId، ConflictId، CreatedBy، EndedBy، GrantedBy، OnBehalfOfUserId، RevokedBy، SourceDocumentId، SupersedesId، UpdatedBy، VerifiedBy) تُعلَّم «إثبات» في جداول العلاقات إذا كانت مفاتيح أجنبية، ولا تُرسم.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كل جدول يظهر في مجموعة واحدة بالضبط في الملحق أ؛ وقد يظهر أيضًا في مخطط النواة.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• الأرقام تُحسب من النموذج والـDDL المولَّد، وتُقارَن بينهما قبل كتابة هذا الملف: 194 جدولًا، و763 مفتاحًا أجنبيًا، و515 قيدًا فريدًا.</w:t>
      </w:r>
    </w:p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خريطة المخططات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كل مخطط (schema) صندوق، والعلاقة بين مخططين عدد المفاتيح الأجنبية التي تربط جداولهما. تُرسم الأزواج التي فيها خمسة مفاتيح فأكثر فقط؛ الباقي يظهر في جداول المجموعات.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238500"/>
            <wp:effectExtent t="0" r="0" b="0" l="0"/>
            <wp:docPr id="1" name="diagrams/erd/schema_map.png" descr="الشكل 1: خريطة المخططات وعدد المفاتيح الأجنبية بين كل مخططين" title="الشكل 1: خريطة المخططات وعدد المفاتيح الأجنبية بين كل مخططي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1: خريطة المخططات وعدد المفاتيح الأجنبية بين كل مخططين</w:t>
      </w:r>
    </w:p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 بين المخططات (5 مفاتيح فأكثر)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9"/>
        <w:gridCol w:w="5639"/>
        <w:gridCol w:w="3760"/>
      </w:tblGrid>
      <w:tr>
        <w:trPr>
          <w:cantSplit/>
          <w:tblHeader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 الأب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 الابن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المفاتيح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37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pageBreakBefore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المخططات والجداول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39"/>
        <w:gridCol w:w="4699"/>
        <w:gridCol w:w="4700"/>
      </w:tblGrid>
      <w:tr>
        <w:trPr>
          <w:cantSplit/>
          <w:tblHeader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الجداول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تحمل TenantId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56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</w:t>
            </w:r>
          </w:p>
        </w:tc>
        <w:tc>
          <w:tcPr>
            <w:tcW w:type="dxa" w:w="4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</w:t>
            </w:r>
          </w:p>
        </w:tc>
        <w:tc>
          <w:tcPr>
            <w:tcW w:type="dxa" w:w="47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19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النواة: المشترك والهوية والصلاحيات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تُرسم جداول النواة (17 جدولًا) في 5 رسوم متتالية، لكل رسم أربعة جداول على الأكثر. العلاقات بين رسوم النواة تظهر في جداول العلاقات.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2.1 النواة (1/5)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النواة في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314700"/>
            <wp:effectExtent t="0" r="0" b="0" l="0"/>
            <wp:docPr id="1" name="diagrams/erd/core_tenancy_1.png" descr="الشكل 2: النواة (1/5) · المشترك والهوية والصلاحيات (4 جداول)" title="الشكل 2: النواة (1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2: النواة (1/5)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TenantModuleId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SupportAccessGrantId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HomeCountryId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EnabledBy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GrantedBy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2.2 النواة (2/5)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النواة في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619500"/>
            <wp:effectExtent t="0" r="0" b="0" l="0"/>
            <wp:docPr id="1" name="diagrams/erd/core_tenancy_2.png" descr="الشكل 3: النواة (2/5) · المشترك والهوية والصلاحيات (4 جداول)" title="الشكل 3: النواة (2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3: النواة (2/5)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PlatformOperatorId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TenantKeyId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AppUserId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LineManagerUserId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MfaKeyId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2.3 النواة (3/5)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النواة في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990975"/>
            <wp:effectExtent t="0" r="0" b="0" l="0"/>
            <wp:docPr id="1" name="diagrams/erd/core_tenancy_3.png" descr="الشكل 4: النواة (3/5) · المشترك والهوية والصلاحيات (4 جداول)" title="الشكل 4: النواة (3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4: النواة (3/5)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RoleId, 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2.4 النواة (4/5)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النواة في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5086350"/>
            <wp:effectExtent t="0" r="0" b="0" l="0"/>
            <wp:docPr id="1" name="diagrams/erd/core_tenancy_4.png" descr="الشكل 5: النواة (4/5) · المشترك والهوية والصلاحيات (4 جداول)" title="الشكل 5: النواة (4/5) · المشترك والهوية والصلاحيات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5: النواة (4/5) · المشترك والهوية والصلاحيات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UserSessionId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DepartmentId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AuditLogId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EndedBy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2.5 النواة (5/5) · المشترك والهوية والصلاحيات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جداول النواة في رسم مستقل ليبقى النص مقروءًا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2524125" cy="1066800"/>
            <wp:effectExtent t="0" r="0" b="0" l="0"/>
            <wp:docPr id="1" name="diagrams/erd/core_tenancy_5.png" descr="الشكل 6: النواة (5/5) · المشترك والهوية والصلاحيات (جدول واحد)" title="الشكل 6: النواة (5/5) · المشترك والهوية والصلاحيات (جدول واحد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41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6: النواة (5/5) · المشترك والهوية والصلاحيات (جدول واحد)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لجداول هذه المجموعة.</w:t>
      </w:r>
    </w:p>
    <w:p>
      <w:pPr>
        <w:pStyle w:val="Heading1"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مخططات الوحدات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تغطي 55 مجموعة رسم كل جداول النموذج، وكل جدول يظهر في مجموعة واحدة بالضبط. الجدول التالي يلخص الوحدات: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2"/>
        <w:gridCol w:w="5012"/>
        <w:gridCol w:w="5014"/>
      </w:tblGrid>
      <w:tr>
        <w:trPr>
          <w:cantSplit/>
          <w:tblHeader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الوحدة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مجموعات الرسم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عدد الجداول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م0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38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م1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م2–م3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م4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م5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12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42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م6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م7/م8</w:t>
            </w:r>
          </w:p>
        </w:tc>
        <w:tc>
          <w:tcPr>
            <w:tcW w:type="dxa" w:w="50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50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م0 · المشترك والاشتراكات والمشغّلون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Tenancy &amp; platform operators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686050"/>
            <wp:effectExtent t="0" r="0" b="0" l="0"/>
            <wp:docPr id="1" name="diagrams/erd/m0_tenancy_1.png" descr="الشكل 7: م0 · المشترك والاشتراكات والمشغّلون (1/2) (4 جداول)" title="الشكل 7: م0 · المشترك والاشتراكات والمشغّلون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7: م0 · المشترك والاشتراكات والمشغّلون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وحدات الباقة (يحل محل Plan.IncludedModules json)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PlanId, ModuleCode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PlatformOperatorId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plat.ReservedSubdomain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عناوين فرعية محجوزة للنظام: www · admin · api · app… (FR-PLT-046)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ReservedSubdomainId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م0 · المشترك والاشتراكات والمشغّلون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Tenancy &amp; platform operators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390650"/>
            <wp:effectExtent t="0" r="0" b="0" l="0"/>
            <wp:docPr id="1" name="diagrams/erd/m0_tenancy_2.png" descr="الشكل 8: م0 · المشترك والاشتراكات والمشغّلون (2/2) (3 جداول)" title="الشكل 8: م0 · المشترك والاشتراكات والمشغّلون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8: م0 · المشترك والاشتراكات والمشغّلون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SupportAccessGrantId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TenantModuleId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GrantedBy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HomeCountryId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EnabledBy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 م0 · الهوية والصلاحيات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Identity &amp; authorisation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257675"/>
            <wp:effectExtent t="0" r="0" b="0" l="0"/>
            <wp:docPr id="1" name="diagrams/erd/m0_identity_1.png" descr="الشكل 9: م0 · الهوية والصلاحيات (1/2) (4 جداول)" title="الشكل 9: م0 · الهوية والصلاحي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9: م0 · الهوية والصلاحيات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AppUserId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RoleId, PermissionId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LineManagerUserId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MfaKeyId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 م0 · الهوية والصلاحيات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Identity &amp; authorisation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524000"/>
            <wp:effectExtent t="0" r="0" b="0" l="0"/>
            <wp:docPr id="1" name="diagrams/erd/m0_identity_2.png" descr="الشكل 10: م0 · الهوية والصلاحيات (2/2) (3 جداول)" title="الشكل 10: م0 · الهوية والصلاحي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10: م0 · الهوية والصلاحيات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RoleId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UserId,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هوية خارجية OIDC/Entra بالمستخدم؛ جاهزية فقط (FR-PLT-015، §11)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ExternalIdentityId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 م0 · الجلسات والمفاتيح والمحاولات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Sessions, keys &amp; attempts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009650"/>
            <wp:effectExtent t="0" r="0" b="0" l="0"/>
            <wp:docPr id="1" name="diagrams/erd/m0_sessions_1.png" descr="الشكل 11: م0 · الجلسات والمفاتيح والمحاولات (1/2) (4 جداول)" title="الشكل 11: م0 · الجلسات والمفاتيح والمحاول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11: م0 · الجلسات والمفاتيح والمحاولات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UserSessionId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محاولات الدخول لخنق المعدل ونوافذ القفل؛ الأثر الدائم في aud.AuditLog (BR-PLT-005)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LoginAttemptId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 رموز استرداد لمرة واحدة مُجزَّأة (FR-PLT-011، BR-PLT-006؛ بديل AppUser.RecoveryCodesHash json)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MfaRecoveryCodeId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رابط دعوة (48 ساعة) أو إعادة تعيين كلمة المرور (30 دقيقة) لمرة واحدة (FR-PLT-013)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UserTokenId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EndedBy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RequestedByUserId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3.6 م0 · الجلسات والمفاتيح والمحاولات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Sessions, keys &amp; attempts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429625" cy="4029075"/>
            <wp:effectExtent t="0" r="0" b="0" l="0"/>
            <wp:docPr id="1" name="diagrams/erd/m0_sessions_2.png" descr="الشكل 12: م0 · الجلسات والمفاتيح والمحاولات (2/2) (3 جداول)" title="الشكل 12: م0 · الجلسات والمفاتيح والمحاول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29625" cy="402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12: م0 · الجلسات والمفاتيح والمحاولات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آخر 5 كلمات مرور لمنع إعادة استعمالها (BR-PLT-004)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UserPasswordHistoryId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TenantKeyId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أحداث المفاتيح: إنشاء وتدوير وإبطال (FR-PLT-037؛ شدة عالية BR-PLT-009)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KeyEventId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TenantKeyId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3.7 م0 · التدقيق والمستندات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Audit &amp; documents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257675"/>
            <wp:effectExtent t="0" r="0" b="0" l="0"/>
            <wp:docPr id="1" name="diagrams/erd/m0_audit_docs_1.png" descr="الشكل 13: م0 · التدقيق والمستندات (1/2) (4 جداول)" title="الشكل 13: م0 · التدقيق والمستند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13: م0 · التدقيق والمستندات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AuditLogId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كشف الهويات والصور والتصدير والتنزيل المقيّد؛ لكشف الشذوذ &gt;20/ساعة وR-PLT-3 (BR-PTY-009)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SensitiveAccessLogId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المستند المنطقي: بيانات المستند وحالته؛ الملف في doc.DocumentVersion (FR-PLT-027/028، BR-PLT-011)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بأي كيان بدور وصفحة مرجعية؛ إلغاء الربط منطقي (FR-PLT-028)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DocumentLinkId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OperatorId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OwnerCompanyId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CurrentVersionId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DeletedBy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UnlinkedBy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3.8 م0 · التدقيق والمستندات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Audit &amp; documents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619500" cy="1933575"/>
            <wp:effectExtent t="0" r="0" b="0" l="0"/>
            <wp:docPr id="1" name="diagrams/erd/m0_audit_docs_2.png" descr="الشكل 14: م0 · التدقيق والمستندات (2/2) (جدول واحد)" title="الشكل 14: م0 · التدقيق والمستندات (2/2) (جدول واحد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14: م0 · التدقيق والمستندات (2/2) (جدول واحد)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ثابت من الملف؛ لا يُستبدل بل يُنشأ إصدار جديد (FR-PLT-027، BR-PLT-011)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DocumentVersionId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3.9 م0 · الإعدادات والمهام الخلفية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638550"/>
            <wp:effectExtent t="0" r="0" b="0" l="0"/>
            <wp:docPr id="1" name="diagrams/erd/m0_config_1.png" descr="الشكل 15: م0 · الإعدادات والمهام الخلفية (1/3) (4 جداول)" title="الشكل 15: م0 · الإعدادات والمهام الخلفية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15: م0 · الإعدادات والمهام الخلفية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طلب تصدير بيانات المشترك (FR-PLT-039، BR-PLT-016)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DataExportJobId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التنبيهات المرسَلة: حدث واحد لكل (عنصر، عتبة) ولا تكرار في اليوم نفسه (FR-PLT-038)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ExpiryAlertLogId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تنبيه انتهاء لكل نوع عنصر (FR-PLT-038، BR-PLT-013)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ExpiryAlertRuleId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cfg.JobRun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المهام الخلفية: آخر تشغيل ومدته ونتيجته ظاهر لمدير الحساب (FR-PLT-044)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JobRunId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PackageDocumentId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ExpiryAlertRuleId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3.10 م0 · الإعدادات والمهام الخلفية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524625" cy="5143500"/>
            <wp:effectExtent t="0" r="0" b="0" l="0"/>
            <wp:docPr id="1" name="diagrams/erd/m0_config_2.png" descr="الشكل 16: م0 · الإعدادات والمهام الخلفية (2/3) (4 جداول)" title="الشكل 16: م0 · الإعدادات والمهام الخلفية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16: م0 · الإعدادات والمهام الخلفية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يوم غير عمل؛ TenantId الفارغ = عطلة المنصة للقراءة فقط (FR-PLT-035، BR-PLT-014)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NonWorkingDayId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الأرقام الصادرة؛ الملغى لا يُعاد استعماله (FR-PLT-026، BR-PLT-010)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NumberIssueId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عدّاد لكل (تعريف، شركة اختيارية، فترة)؛ يُقفل صفه عند التخصيص داخل معاملة المستدعي (BR-PLT-010)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NumberSequenceId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الترقيم بصيغة بوسوم مثل {seq:000}-{erp}-{yy} (FR-PLT-026)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NumberSequenceDefinitionId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SequenceId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VoidedBy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DefinitionId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3.11 م0 · الإعدادات والمهام الخلفية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Configuration &amp; background jobs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600075"/>
            <wp:effectExtent t="0" r="0" b="0" l="0"/>
            <wp:docPr id="1" name="diagrams/erd/m0_config_3.png" descr="الشكل 17: م0 · الإعدادات والمهام الخلفية (3/3) (4 جداول)" title="الشكل 17: م0 · الإعدادات والمهام الخلفية (3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17: م0 · الإعدادات والمهام الخلفية (3/3)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cfg.OutboxEvent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طابور الإرسال: تسليم مرة واحدة على الأقل؛ الحمولة معرّفات بلا بيانات مقيّدة (FR-PLT-042)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OutboxEventId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cfg.SeedRun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البذر المُرقَّم لكل حزمة؛ تكرار التشغيل لا يكرر شيئًا (FR-PLT-008)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SeedRunId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cfg.SettingDefinition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مفتاح إعداد بحدود المنصة الدنيا والقصوى (BR-PLT-018، FR-PLT-043)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SettingDefinitionId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cfg.TenantSetting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إعدادات المشترك: سياسات الأمان والمهل والعتبات وwork.start/work.end (FR-PLT-043)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TenantSettingId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لجداول هذه المجموعة.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3.12 م1 · الشركات والحوكمة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structure &amp; governance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714875"/>
            <wp:effectExtent t="0" r="0" b="0" l="0"/>
            <wp:docPr id="1" name="diagrams/erd/m1_company_1.png" descr="الشكل 18: م1 · الشركات والحوكمة (1/2) (4 جداول)" title="الشكل 18: م1 · الشركات والحوكم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71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18: م1 · الشركات والحوكمة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نسبة ضريبة بتاريخ سريان؛ CompanyId فارغ = افتراضي المشترك (FR-ORG-007، BR-ORG-005)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CompanyTaxRateId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DepartmentId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حصة ملكية بتاريخ سريان؛ المالك Party فرد أو جهة (FR-ORG-015..018، BR-ORG-006..008، G-7)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ShareholdingId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HolderPartyId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3.13 م1 · الشركات والحوكمة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structure &amp; governance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2343150" cy="5143500"/>
            <wp:effectExtent t="0" r="0" b="0" l="0"/>
            <wp:docPr id="1" name="diagrams/erd/m1_company_2.png" descr="الشكل 19: م1 · الشركات والحوكمة (2/2) (3 جداول)" title="الشكل 19: م1 · الشركات والحوكم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19: م1 · الشركات والحوكمة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هيئة حوكمة (FR-ORG-019، BR-ORG-009)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GoverningBodyId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عضوية في هيئة (FR-ORG-020، FR-ORG-021، BR-ORG-010)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BodyMemberId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تفويض/منحة صلاحية لشركة (FR-ORG-023..028، BR-ORG-011..014)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AuthorityGrantId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PositionId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RepresentedPartyId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AppointmentDocumentId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BodyMemberId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PowerTypeId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CeilingCurrencyId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SupersedesGrantId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3.14 م1 · ملف الشركة و KYC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profile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676650"/>
            <wp:effectExtent t="0" r="0" b="0" l="0"/>
            <wp:docPr id="1" name="diagrams/erd/m1_company_kyc_1.png" descr="الشكل 20: م1 · ملف الشركة و KYC (1/2) (4 جداول)" title="الشكل 20: م1 · ملف الشركة و KYC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20: م1 · ملف الشركة و KYC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ملف تعريف الشركة 1:1 (G-1)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فرع/مستودع/تابعة خارج الحساب كنص (G-3)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CompanyBranchId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الملف المالي KYC بتاريخ سريان: شريحة الإيرادات والغرض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CompanyKycFinancialProfileId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مصفوفة الحركة المتوقعة الشهرية CTP: اتجاه × 5 بنود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CompanyExpectedFlowId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HeadquartersCountryId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SectorId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EmployeeBandId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RevenueBandId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AccountCurrencyId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FinancialProfileId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3.15 م1 · ملف الشركة و KYC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Company profile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295400"/>
            <wp:effectExtent t="0" r="0" b="0" l="0"/>
            <wp:docPr id="1" name="diagrams/erd/m1_company_kyc_2.png" descr="الشكل 21: م1 · ملف الشركة و KYC (2/2) (3 جداول)" title="الشكل 21: م1 · ملف الشركة و KYC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21: م1 · ملف الشركة و KYC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مصادر الأموال والثروة: قائمة متعددة (G-4)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FinancialProfileId, WealthSourceId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إفصاحات الشركة (G-5)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CompanyDisclosureId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أصحاب العلاقة: مدققون، مستشار قانوني، جهات تنظيمية، أبرز العملاء/الموردين (G-6)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CompanyKeyRelationId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FinancialProfileId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WealthSourceId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3.16 م1 · الأشخاص والهوية و KYC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695450"/>
            <wp:effectExtent t="0" r="0" b="0" l="0"/>
            <wp:docPr id="1" name="diagrams/erd/m1_party_1.png" descr="الشكل 22: م1 · الأشخاص والهوية و KYC (1/3) (4 جداول)" title="الشكل 22: م1 · الأشخاص والهوية و KYC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22: م1 · الأشخاص والهوية و KYC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عنوان متعدد الملكية: OwnerType+OwnerId بلا FK (مزوّد المالك يتحقق منه التطبيق) (FR-PTY-011، BR-PTY-015)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AddressId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وسيلة اتصال متعددة الملكية (FR-PTY-012، BR-PTY-015)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ContactMethodId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مخصص (FR-PTY-013، BR-PTY-014)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CustomFieldDefinitionId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هوية؛ الرقم مشفّر والصور مستندات مقيَّدة (FR-PTY-004..009، FR-PTY-020..022، BR-PTY-002..008)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IdentityDocumentId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IssuingCountryId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3.17 م1 · الأشخاص والهوية و KYC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848225" cy="5143500"/>
            <wp:effectExtent t="0" r="0" b="0" l="0"/>
            <wp:docPr id="1" name="diagrams/erd/m1_party_2.png" descr="الشكل 23: م1 · الأشخاص والهوية و KYC (2/3) (4 جداول)" title="الشكل 23: م1 · الأشخاص والهوية و KYC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82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23: م1 · الأشخاص والهوية و KYC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اكتمال KYC لكل بنك ودور (FR-PTY-023، BR-PTY-012..013، G-8، G-14)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اكتمال (FR-PTY-023، FR-PTY-024، G-14)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KycProfileItemId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ظهور البند بحسب الشكل القانوني؛ غياب الصفوف = ينطبق على الكل (G-15)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KycProfileItemId, LegalEntityTypeId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شخص أو جهة؛ لا دور مخزَّن (FR-PTY-001..003، BR-PTY-001..004، BR-PTY-016..018)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ProfileId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KycProfileItemId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حذف متسلسل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LegalEntityTypeId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BirthCountryId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EducationLevelId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LinkedCompanyId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MergedIntoPartyId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3.18 م1 · الأشخاص والهوية و KYC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Parties, identity documents &amp; KYC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943100"/>
            <wp:effectExtent t="0" r="0" b="0" l="0"/>
            <wp:docPr id="1" name="diagrams/erd/m1_party_3.png" descr="الشكل 24: م1 · الأشخاص والهوية و KYC (3/3) (3 جداول)" title="الشكل 24: م1 · الأشخاص والهوية و KYC (3/3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24: م1 · الأشخاص والهوية و KYC (3/3)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إقرارات امتثال بتاريخ لكل شخص بصفته: PEP، عقوبات، تحقيقات، حصانة (G-9)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PartyComplianceId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حقل مخصص لشخص (FR-PTY-013، FR-PTY-014)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PartyCustomFieldId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الهوية الضريبية والإقرار الضريبي FATCA/CRS (G-13)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TaxIdentityId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DefinitionId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FatcaClassificationId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CrsClassificationId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3.19 م2–م3 · الجهات المالية والحسابات والمفوّضون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353050" cy="5143500"/>
            <wp:effectExtent t="0" r="0" b="0" l="0"/>
            <wp:docPr id="1" name="diagrams/erd/m2_3_institutions_1.png" descr="الشكل 25: م2–م3 · الجهات المالية والحسابات والمفوّضون (1/3) (4 جداول)" title="الشكل 25: م2–م3 · الجهات المالية والحسابات والمفوّضون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25: م2–م3 · الجهات المالية والحسابات والمفوّضون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جهة اتصال لدى البنك: سجل خفيف بلا هوية، PartyId اختياري للترقية (FR-INS-007/008، BR-INS-005/006/014)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ContactId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المنشأة المالية (FR-INS-001..004، BR-INS-001..003، BR-INS-012)؛ Locality محلي/أجنبي مشتقة (BR-INS-002) فلا تُخزَّن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وحدة في هيكل المنشأة: إدارة/قسم/فرع، شجرة ذاتية حتى 4 مستويات (FR-INS-005/006، BR-INS-004)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InstitutionUnitId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علاقة شركة–منشأة (D-4)؛ فريدة مهما كانت حالتها (FR-INS-009، BR-INS-007/011)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ReportsToContactId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ParentUnitId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UnitTypeId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3.20 م2–م3 · الجهات المالية والحسابات والمفوّضون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495550"/>
            <wp:effectExtent t="0" r="0" b="0" l="0"/>
            <wp:docPr id="1" name="diagrams/erd/m2_3_institutions_2.png" descr="الشكل 26: م2–م3 · الجهات المالية والحسابات والمفوّضون (2/3) (4 جداول)" title="الشكل 26: م2–م3 · الجهات المالية والحسابات والمفوّضون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26: م2–م3 · الجهات المالية والحسابات والمفوّضون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تغطية العلاقة (الطبقة الأولى): جهة اتصال بدور ورتبة وفترة (FR-INS-010، BR-INS-008/009)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RelationshipContactId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منتج يُتعامل به ضمن علاقة مع جهة افتراضية وقناة (FR-INS-011..013، BR-INS-010)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صلاحية المفوّض بالحوكمة وقرار المراجع (S1-ب) (FR-ACC-018، BR-ACC-015)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AuthorityConflictId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حساب شركة لدى منشأة (FR-ACC-001..009، BR-ACC-001..006، BR-ACC-016)؛ الرقم وIBAN مشفّران بفهرس أعمى للفرادة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BankAccountId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DefaultContactId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SignatoryAuthorityId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ReviewedBy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AccountTypeId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MasterAccountId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InstitutionId, 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BranchUnitId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3.21 م2–م3 · الجهات المالية والحسابات والمفوّضون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Institutions, bank accounts &amp; signatories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848100" cy="5143500"/>
            <wp:effectExtent t="0" r="0" b="0" l="0"/>
            <wp:docPr id="1" name="diagrams/erd/m2_3_institutions_3.png" descr="الشكل 27: م2–م3 · الجهات المالية والحسابات والمفوّضون (3/3) (4 جداول)" title="الشكل 27: م2–م3 · الجهات المالية والحسابات والمفوّضون (3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27: م2–م3 · الجهات المالية والحسابات والمفوّضون (3/3)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حساب بتسهيل بغرض (S2) (FR-ACC-010، BR-ACC-007)؛ يُملأ من شاشة التسهيل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شخص لدى علاقة (S1-ب) (FR-ACC-012، FR-ACC-023، BR-ACC-008/009) + إضافات docs/05 G-10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صلاحية المفوّض لعملية على حساب أو على البنك (S1-ب) (FR-ACC-013/014/017، BR-ACC-010/011)؛ لا تعديل في مكانه: الإغلاق والفتح؛ حالتها مشتقة فلا تُخزَّن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SignatoryAuthorityId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فئات التوقيع المطلوبة للتوقيع المشترك (JointClassIds) (BR-ACC-013)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SignatoryAuthorityId, SignatureClassId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PurposeId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SignatureClassId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PositionId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AuthorisationBasisId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CashWithdrawalCurrencyId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AuthorizationDocumentId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SpecimenDocumentId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RelationshipId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OperationTypeId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SignatoryId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SignatoryAuthorityId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SignatureClassId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3.22 م4 · المنتجات والرسوم والتمويل والضمانات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2857500"/>
            <wp:effectExtent t="0" r="0" b="0" l="0"/>
            <wp:docPr id="1" name="diagrams/erd/m4_products_1.png" descr="الشكل 28: م4 · المنتجات والرسوم والتمويل والضمانات (1/3) (4 جداول)" title="الشكل 28: م4 · المنتجات والرسوم والتمويل والضمانات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28: م4 · المنتجات والرسوم والتمويل والضمانات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تصنيف المنتجات: مسطّح (FR-CAT-007)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ProductCategoryId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 البنكي بأعلامه (FR-CAT-007، BR-CAT-004)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المصروف: فئة عريضة لا بند تعرفة (FR-CAT-008، BR-CAT-005، Q-CAT-10)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FeeTypeId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التمويل (FR-CAT-009، BR-CAT-006)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FinancingTypeId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ProductCategoryId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3.23 م4 · المنتجات والرسوم والتمويل والضمانات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047750"/>
            <wp:effectExtent t="0" r="0" b="0" l="0"/>
            <wp:docPr id="1" name="diagrams/erd/m4_products_2.png" descr="الشكل 29: م4 · المنتجات والرسوم والتمويل والضمانات (2/3) (4 جداول)" title="الشكل 29: م4 · المنتجات والرسوم والتمويل والضمانات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29: م4 · المنتجات والرسوم والتمويل والضمانات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المصاريف المسموحة للمنتج؛ تعطيل الربط = حذفه ولا يمس قواعد تسعير قائمة (FR-CAT-010، BR-CAT-007)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ProductFeeTypeId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أنواع التمويل المسموحة للمنتج (FR-CAT-010، BR-CAT-007)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ProductFinancingTypeId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التسهيل (FR-CAT-011)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الحد: رئيسي/جزئي (FR-CAT-012، BR-CAT-008)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FinancingTypeId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ParentLimitTypeId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3.24 م4 · المنتجات والرسوم والتمويل والضمانات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Products, fees, financing &amp; collateral types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571875"/>
            <wp:effectExtent t="0" r="0" b="0" l="0"/>
            <wp:docPr id="1" name="diagrams/erd/m4_products_3.png" descr="الشكل 30: م4 · المنتجات والرسوم والتمويل والضمانات (3/3) (4 جداول)" title="الشكل 30: م4 · المنتجات والرسوم والتمويل والضمانات (3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30: م4 · المنتجات والرسوم والتمويل والضمانات (3/3)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المنتجات المسموحة لنوع الحد؛ غياب الصفوف = أي منتج بعلامة ظاهرة (BR-CAT-008)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LimitTypeId, ProductId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الضمان بنوع بنية وقالب سمات (FR-CAT-013)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سمة في قالب نوع الضمان؛ لا تُحذف بل تُرمَّز Retired (BR-CAT-009)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CollateralTypeAttributeId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الالتزام بأربع عائلات (FR-CAT-014، BR-CAT-010)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3.25 م4 · الكتالوجات المرجعية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Reference catalogues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876300"/>
            <wp:effectExtent t="0" r="0" b="0" l="0"/>
            <wp:docPr id="1" name="diagrams/erd/m4_reference_1.png" descr="الشكل 31: م4 · الكتالوجات المرجعية (1/2) (4 جداول)" title="الشكل 31: م4 · الكتالوجات المرجعي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31: م4 · الكتالوجات المرجعية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العملات المفعّلة للمشترك: تفعيل مجموعة جزئية من المرجع العالمي (FR-CAT-023، Q-CAT-08)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CurrencyId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المنشأة المالية: بنك، شركة تمويل، استثمارية، مالية، فرد (FR-INS-001)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الحساب (FR-ACC-001)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القانوني: الكيان وسماته يعرّفها 10 (FR-ORG-002، BR-CAT-017) وتبذره هذه الوحدة؛ أعمدة الكتالوج مكتوبة يدويًا لأن فرادة الرمز بالدولة (10 §6.2) لا فرادته وحده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LegalEntityTypeId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3.26 م4 · الكتالوجات المرجعية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Reference catalogues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885825"/>
            <wp:effectExtent t="0" r="0" b="0" l="0"/>
            <wp:docPr id="1" name="diagrams/erd/m4_reference_2.png" descr="الشكل 32: م4 · الكتالوجات المرجعية (2/2) (3 جداول)" title="الشكل 32: م4 · الكتالوجات المرجعي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32: م4 · الكتالوجات المرجعية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الوثيقة؛ يطبّق 10 أعلامه عند الرفع (FR-CAT-018، BR-CAT-016، FR-PLT-028)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DocumentTypeId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المنصب: السمات يعرّفها 10 §6.2 وحده وتبذر هذه الوحدة صفوفه (FR-CAT-019، BR-CAT-017)؛ SortOrder من أساس الكتالوج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PositionId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الصلاحية: السمات يعرّفها 10 §6.2 وحده وتبذر هذه الوحدة صفوفه (FR-CAT-019، FR-ORG-024)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PowerTypeId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p>
      <w:pPr>
        <w:keepNext w:val="false"/>
        <w:bidi/>
        <w:spacing w:after="110" w:before="0" w:line="300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لا توجد مفاتيح أجنبية عملية لجداول هذه المجموعة.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3.27 م4 · الأسعار المرجعية والقوائم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Base rates &amp; lookup lists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286750" cy="4867275"/>
            <wp:effectExtent t="0" r="0" b="0" l="0"/>
            <wp:docPr id="1" name="diagrams/erd/m4_rates_lookups_1.png" descr="الشكل 33: م4 · الأسعار المرجعية والقوائم (1/2) (4 جداول)" title="الشكل 33: م4 · الأسعار المرجعية والقوائم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8675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33: م4 · الأسعار المرجعية والقوائم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العملية البنكية المفوَّض بها (FR-ACC-013، BR-CAT-014)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OperationTypeId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عملية بنوع/أنواع صلاحية حوكمة؛ «أي واحد يكفي» (BR-CAT-014، FR-CAT-019، Q-ACC-05)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OperationTypeId, PowerTypeId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سعر الأساس: سوق (InstitutionId فارغ) أو داخلي لبنك (FR-CAT-015، BR-CAT-011)؛ الأسماء البديلة في BaseRateAlias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اسم بديل لسعر أساس (SIBOR ≡ SAIBOR) بحث بلا حساسية حالة وفريد ضمن النطاق (BR-CAT-011، FR-CAT-015)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BaseRateAliasId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OperationTypeId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PowerTypeId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3.28 م4 · الأسعار المرجعية والقوائم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Base rates &amp; lookup lists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7715250" cy="4448175"/>
            <wp:effectExtent t="0" r="0" b="0" l="0"/>
            <wp:docPr id="1" name="diagrams/erd/m4_rates_lookups_2.png" descr="الشكل 34: م4 · الأسعار المرجعية والقوائم (2/2) (3 جداول)" title="الشكل 34: م4 · الأسعار المرجعية والقوائم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525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34: م4 · الأسعار المرجعية والقوائم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سعر الأساس بتاريخ سريان؛ لا حذف: التصحيح صف جديد والقديم SUPERSEDED (FR-CAT-016، BR-CAT-012/013)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BaseRateValueId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DR-03: مملوك للمشترك؛ نسخة النظام تُهيَّأ لكل مشترك من قالب المنصة # قائمة قيم؛ TenantId فارغ = قائمة عالمية يملكها المشغّل للقراءة (FR-CAT-020،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LookupListId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DR-03/05/07: مملوك للمشترك (نسخ النظام لكل مشترك) # بند في قائمة قيم؛ TenantId فارغ = بند عالمي للقراءة فقط؛ أعمدة الكتالوج يدوية لأن فرادة الرمز داخل القائمة لا المشترك (FR-CAT-020)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LookupItemId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BaseRateId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EnteredBy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LookupListId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3.29 م4 · المراجع العامة (ref)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Global references (shared, read-only)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685800"/>
            <wp:effectExtent t="0" r="0" b="0" l="0"/>
            <wp:docPr id="1" name="diagrams/erd/m4_global_ref.png" descr="الشكل 35: م4 · المراجع العامة (ref) (4 جداول)" title="الشكل 35: م4 · المراجع العامة (ref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35: م4 · المراجع العامة (ref)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العملة: مرجع عالمي ISO 4217 للقراءة فقط (FR-CAT-021، Q-CAT-08)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مصطلح تسليم Incoterms: مرجع عالمي للقراءة فقط يديره المشغّل؛ القديم LEGACY للعرض لا للاختيار (FR-LCT-013، FR-CAT-021، BR-CAT-015)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IncotermId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مادة UCP 600 مرجعية: TenantId الفارغ = صف عام للقراءة فقط ينشره المشغّل وحده (FR-LCT-006، BR-LCT-018، BR-PLT-001)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UcpArticleId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3.30 م5 · التسهيلات والمراجعات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Facilities &amp; revisions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257675"/>
            <wp:effectExtent t="0" r="0" b="0" l="0"/>
            <wp:docPr id="1" name="diagrams/erd/m5_facility_core_1.png" descr="الشكل 36: م5 · التسهيلات والمراجعات (1/2) (4 جداول)" title="الشكل 36: م5 · التسهيلات والمراجع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25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36: م5 · التسهيلات والمراجعات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حزمة الاتفاقية الائتمانية: جذر التجميعة (FR-FAC-001..008، BR-FAC-001/005/006)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مراجعة معدّ/معتمِد لشروط التسهيل (FR-FAC-024، BR-FAC-003/004،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FacilityRevisionId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ضمن الحزمة بأسبقية (FR-FAC-004، BR-FAC-008، V-FAC-03)؛ نوعها من doc.Document.DocumentTypeId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مقرض وحصته (FR-FAC-003، BR-FAC-007، V-FAC-02)؛ مجموع الحصص 100 ووكيل واحد يتحقق منهما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FacilityLenderId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BorrowerCompanyId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PreviousFacilityId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SubmittedBy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AmendsFacilityDocumentId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3.31 م5 · التسهيلات والمراجعات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Facilities &amp; revisions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639175" cy="2800350"/>
            <wp:effectExtent t="0" r="0" b="0" l="0"/>
            <wp:docPr id="1" name="diagrams/erd/m5_facility_core_2.png" descr="الشكل 37: م5 · التسهيلات والمراجعات (2/2) (جدولان)" title="الشكل 37: م5 · التسهيلات والمراجعات (2/2) (جدولان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3917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37: م5 · التسهيلات والمراجعات (2/2) (جدولان)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لقطة الرصيد المعترف به (FR-FAC-009، BR-FAC-017)؛ PctOfLimit مشتق لا يُخزَّن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OutstandingSnapshotId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تعارض قيمتين لحقل واحد وحسمه (FR-FAC-026، BR-FAC-019، BR-FAC-008)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ValueConflictId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CandidateASourceDocumentId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CandidateBSourceDocumentId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ResolvedBy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3.32 م5 · الحدود والاستخدام والحجوزات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Limits, utilisation &amp; reservations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162550" cy="5143500"/>
            <wp:effectExtent t="0" r="0" b="0" l="0"/>
            <wp:docPr id="1" name="diagrams/erd/m5_limits_1.png" descr="الشكل 38: م5 · الحدود والاستخدام والحجوزات (1/2) (4 جداول)" title="الشكل 38: م5 · الحدود والاستخدام والحجوز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2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38: م5 · الحدود والاستخدام والحجوزات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عقدة شجرة الحدود (FR-FAC-010/011، BR-FAC-009/010، V-FAC-04..07)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 منتج داخل حد: سقف اختياري SHARED_CAP دائمًا (FR-FAC-012، V-FAC-08)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LimitProductLineId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شركة على حد: مسموح/مستثنى/تخصيص (FR-FAC-013، BR-FAC-012، V-FAC-09)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LimitCompanyRuleId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العملية لخط المنتج بتواريخ سريان؛ الفارغ = «غير محدد» لا صفر (FR-FAC-014، BR-FAC-016)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ProductLineTermId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3.33 م5 · الحدود والاستخدام والحجوزات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Limits, utilisation &amp; reservations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2419350" cy="5143500"/>
            <wp:effectExtent t="0" r="0" b="0" l="0"/>
            <wp:docPr id="1" name="diagrams/erd/m5_limits_2.png" descr="الشكل 39: م5 · الحدود والاستخدام والحجوزات (2/2) (3 جداول)" title="الشكل 39: م5 · الحدود والاستخدام والحجوز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93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39: م5 · الحدود والاستخدام والحجوزات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استخدام فعّال: يدوي أو مرتبط باعتماد مستندي؛ لا حذف (FR-FAC-016/030، BR-FAC-013/020)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UtilizationId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حجز مبلغ لطلب = ExposureAmount (FR-FAC-017/018/020، BR-FAC-015)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LimitReservationId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حركة على حجز أو استخدام؛ لا تعديل ولا حذف؛ مفتاح عدم التكرار (BR-FAC-015/020)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LimitMovementId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ConvertedUtilizationId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LimitReservationId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UtilizationId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3.34 م5 · التسعير وشروط المقارنة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Pricing, tariffs &amp; comparable terms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1343025" cy="5143500"/>
            <wp:effectExtent t="0" r="0" b="0" l="0"/>
            <wp:docPr id="1" name="diagrams/erd/m5_pricing_1.png" descr="الشكل 40: م5 · التسعير وشروط المقارنة (1/2) (4 جداول)" title="الشكل 40: م5 · التسعير وشروط المقارن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430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40: م5 · التسعير وشروط المقارنة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تسعير بنطاق ووراثة وطرق (FR-PRC-006..017، BR-PRC-006..012، V-PRC-02)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PricingRuleId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قاعدة TIERED بالمبلغ و/أو المدة (FR-PRC-003، BR-PRC-002)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PricingTierId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رسم في جدول التعرفة (FR-PRC-002، BR-PRC-002..005)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جدول رسوم لبنك؛ بخاص بتسهيل اختياريًا (FR-PRC-001، BR-PRC-001، V-PRC-01)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TariffScheduleId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ScopeLimitId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FinancingTypeId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TariffItemId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BaseRateId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PricingRuleId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ScheduleId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FeeTypeId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3.35 م5 · التسعير وشروط المقارنة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Pricing, tariffs &amp; comparable terms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791200" cy="5143500"/>
            <wp:effectExtent t="0" r="0" b="0" l="0"/>
            <wp:docPr id="1" name="diagrams/erd/m5_pricing_2.png" descr="الشكل 41: م5 · التسعير وشروط المقارنة (2/2) (3 جداول)" title="الشكل 41: م5 · التسعير وشروط المقارن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12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41: م5 · التسعير وشروط المقارنة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بند تعرفة بالمبلغ و/أو المدة (FR-PRC-003، BR-PRC-002)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TariffTierId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شرط قابل للمقارنة (FR-CMP-001)؛ الرمز بنمط PRC.MARGIN_PCT؛ النظامي لا يُحذف ولا تتغير وحدته (IsSystem)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TermTypeId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شرط في تسهيل بنطاقها ومصدرها (FR-CMP-002..006، BR-CMP-001..006، V-CMP-01)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TermValueId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TariffItemId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3.36 م5 · الضمانات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Collateral &amp; guarantees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733925"/>
            <wp:effectExtent t="0" r="0" b="0" l="0"/>
            <wp:docPr id="1" name="diagrams/erd/m5_collateral_1.png" descr="الشكل 42: م5 · الضمانات (1/2) (4 جداول)" title="الشكل 42: م5 · الضمان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42: م5 · الضمانات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ضمان؛ اعتماد مستقل عن مراجعة التسهيل والتعديل نسخة جديدة (FR-COL-001/014، V-COL-01،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ضمان بتسهيل أو حد؛ ضمان واحد لعدة تسهيلات (FR-COL-002، BR-COL-005)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CollateralLinkId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كفالة 1:1 مع Collateral؛ الكفيل Party دائمًا ولا أرقام هوية هنا (FR-COL-003/004، BR-COL-001)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GuaranteeId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تجيير وثيقة تأمين؛ مفتاح الفرادة (CollateralId,PolicyNo) يسمح بتجديد الوثيقة (FR-COL-006، BR-COL-003)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InsurancePolicyAssignmentId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OwnerPartyId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CashMarginAccountId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ReleaseDocumentId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GuarantorPartyId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GuarantorIdentityDocumentId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DeedDocumentId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AssignedToInstitutionId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PolicyDocumentId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3.37 م5 · الضمانات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Collateral &amp; guarantees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324850" cy="5143500"/>
            <wp:effectExtent t="0" r="0" b="0" l="0"/>
            <wp:docPr id="1" name="diagrams/erd/m5_collateral_2.png" descr="الشكل 43: م5 · الضمانات (2/2) (3 جداول)" title="الشكل 43: م5 · الضمان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3248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43: م5 · الضمانات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سند لأمر 1:1؛ مبلغ مستقل قد يفوق الحد (FR-COL-005، BR-COL-002)؛ NextRenewalDue وPNRatio مشتقان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PromissoryNoteId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موقّعو السند (SignerPartyIds)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PromissoryNoteId, 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مراحل تقييم عقار (FR-COL-008، BR-COL-004)؛ مثل 3 مقيّمين في السنة الأولى ثم مقيّم سنويًا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ValuationScheduleId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NoteDocumentId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PromissoryNoteId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CollateralId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3.38 م5 · الالتزامات والتعهدات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Obligations, covenants &amp; reporting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000500" cy="5143500"/>
            <wp:effectExtent t="0" r="0" b="0" l="0"/>
            <wp:docPr id="1" name="diagrams/erd/m5_obligations_1.png" descr="الشكل 44: م5 · الالتزامات والتعهدات (1/2) (4 جداول)" title="الشكل 44: م5 · الالتزامات والتعهد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44: م5 · الالتزامات والتعهدات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تعهد بتواريخ؛ الحدود المتدرجة = عدة نسخ (FR-OBL-006، BR-OBL-001/005/006، Q-OBL-01)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AccountIds لـ SELECTED_ACCOUNTS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CovenantId, BankAccountId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تقييم تعهد لفترة وإصدار تقييم؛ المخزَّن لا يُعدَّل (FR-OBL-011، FR-FIN-012/013، BR-OBL-006/007،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CovenantTestId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التزام على تسهيل (أو حد/خط/شركات)؛ العائلة من ObligationType ولا تُحرَّر (FR-OBL-001، BR-OBL-001)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FormulaId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TestedCompanyId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EvaluatedBy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EvidenceDocumentId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ReviewedBy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ScopeProductLineId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ParamCurrencyId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3.39 م5 · الالتزامات والتعهدات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Obligations, covenants &amp; reporting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343400" cy="5143500"/>
            <wp:effectExtent t="0" r="0" b="0" l="0"/>
            <wp:docPr id="1" name="diagrams/erd/m5_obligations_2.png" descr="الشكل 45: م5 · الالتزامات والتعهدات (2/2) (4 جداول)" title="الشكل 45: م5 · الالتزامات والتعهدات (2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45: م5 · الالتزامات والتعهدات (2/2)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خرق وعلاجه وتنازله (FR-OBL-012، BR-OBL-009/011،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ObligationBreachId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AppliesToCompanyIds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TenantId, ObligationId, CompanyId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أجندة مولَّد أو مسجَّل لحدث (FR-OBL-003..005، BR-OBL-003، §8)؛ DUE_SOON/OVERDUE مشتقتان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ReportingInstanceId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استحقاق تقرير/إخطار 1:1 مع Obligation (FR-OBL-002/003، BR-OBL-002، V-OBL-01)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ReportingObligationId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CovenantTestId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ReportingInstanceId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WaiverBankContactId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WaiverDocumentId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ReportingObligationId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SubmissionChannelUsedId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EvidenceDocumentId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ObligationId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SubmissionChannelId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3.40 م5 · البيانات المالية والأرصدة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Financial statements &amp; balances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885950"/>
            <wp:effectExtent t="0" r="0" b="0" l="0"/>
            <wp:docPr id="1" name="diagrams/erd/m5_financials_1.png" descr="الشكل 46: م5 · البيانات المالية والأرصدة (1/2) (4 جداول)" title="الشكل 46: م5 · البيانات المالية والأرصدة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46: م5 · البيانات المالية والأرصدة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رصيد شهري لحساب بعملة الحساب (FR-FIN-008، BR-FIN-005/006، V-FIN-02)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AccountMonthlyStatId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مبلغ محوَّل للبنك في شهر؛ تجميع سنوي آلي (FR-FIN-009/010، BR-FIN-007/008)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BankFlowEntryId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رأس قائمة مالية؛ سري جدًا (FR-FIN-002/005/006، BR-FIN-001..004،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FinancialStatementId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معياري للقوائم؛ 39 بندًا مبذورًا؛ النظامي في الصيغ لا يُحذف (FR-FIN-001، CatalogBase)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LineCatalogItemId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BankAccountId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FlowKindId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PreparedBy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3.41 م5 · البيانات المالية والأرصدة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Financial statements &amp; balances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657350"/>
            <wp:effectExtent t="0" r="0" b="0" l="0"/>
            <wp:docPr id="1" name="diagrams/erd/m5_financials_2.png" descr="الشكل 47: م5 · البيانات المالية والأرصدة (2/2) (3 جداول)" title="الشكل 47: م5 · البيانات المالية والأرصدة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47: م5 · البيانات المالية والأرصدة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الأسماء البديلة للبند (Aliases) للصق والمطابقة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LineCatalogItemAliasId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صيغة مقياس: قالب أو نسخة اتفاقية بإصدارات؛ لا تُنفَّذ نصًا (FR-FIN-011، BR-FIN-009، §12)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MeasureFormulaId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سطر قائمة؛ بعملة الرأس والمخزَّن = المُدخل x UnitScale؛ Variance مشتق؛ سري جدًا (BR-FIN-001/002)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StatementLineId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LineCatalogItemId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ApprovedBy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VerifiedBy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ConflictId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StatementId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LineCatalogItemId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3.42 م6 · قوالب دورات العمل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4362450"/>
            <wp:effectExtent t="0" r="0" b="0" l="0"/>
            <wp:docPr id="1" name="diagrams/erd/m6_wf_templates_1.png" descr="الشكل 48: م6 · قوالب دورات العمل (1/3) (4 جداول)" title="الشكل 48: م6 · قوالب دورات العمل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48: م6 · قوالب دورات العمل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الطلب (FR-REQ-001، BR-REQ-001، V-REQ-01)؛ الأنواع الجديدة بلا كود (FR-REQ-021)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جمهور النوع: من يحق له الطلب؛ غياب الصفوف = لا أحد (فشل مغلق) (FR-REQ-007)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RequestTypeAudienceId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المرحلة الظاهرة للطالب: DRAFT · IN_APPROVAL · RETURNED · AWAITING_REQUESTER · IN_PROGRESS · COMPLETED · REJECTED · CANCELLED (BR-WFL-011، D-6)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ExternalPhaseId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قالب دورة عمل؛ المنشورة ثابتة (FR-WFL-001/028، BR-WFL-019، AC-WFL-6)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PublishedBy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3.43 م6 · قوالب دورات العمل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210550" cy="5143500"/>
            <wp:effectExtent t="0" r="0" b="0" l="0"/>
            <wp:docPr id="1" name="diagrams/erd/m6_wf_templates_2.png" descr="الشكل 49: م6 · قوالب دورات العمل (2/3) (4 جداول)" title="الشكل 49: م6 · قوالب دورات العمل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10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49: م6 · قوالب دورات العمل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مرحلة في نسخة قالب (FR-WFL-003/004/005، BR-WFL-002/010/012)؛ حذف فعلي لمسودة النسخة فقط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WorkflowStageId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في مرحلة APPROVAL؛ ALL = كل الخانات، ودور بشخصين يلزمان معًا = خانتان (FR-WFL-007/041، BR-WFL-003/004)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StageApproverId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انتقال بين مرحلتين بشرط وأولوية؛ دورة خطية بتفرع شرطي بسيط (FR-WFL-006، BR-WFL-001، D-8)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WorkflowTransitionId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خطاف مسجَّل بالكود على مرحلة: مفتاح ومعاملات لا كود (FR-WFL-021، BR-WFL-015، §5.4)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WorkflowStageHookId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ExternalPhaseId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PoolPermissionId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FallbackRoleId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FallbackRoleId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FromStageId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ToStageId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ResumeStageId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3.44 م6 · قوالب دورات العمل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Workflow templates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505825" cy="1943100"/>
            <wp:effectExtent t="0" r="0" b="0" l="0"/>
            <wp:docPr id="1" name="diagrams/erd/m6_wf_templates_3.png" descr="الشكل 50: م6 · قوالب دورات العمل (3/3) (جدولان)" title="الشكل 50: م6 · قوالب دورات العمل (3/3) (جدولان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05825" cy="194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50: م6 · قوالب دورات العمل (3/3) (جدولان)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حقل في نسخة قالب يولّد النموذج بلا كود واجهة (FR-REQ-002..005، BR-REQ-003/004)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TemplateFieldId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مرفق على نسخة قالب (FR-REQ-006، BR-REQ-005، FR-WFL-024/025)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TemplateAttachmentRuleId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3.45 م6 · الطلبات وإجراءاتها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4886325" cy="5143500"/>
            <wp:effectExtent t="0" r="0" b="0" l="0"/>
            <wp:docPr id="1" name="diagrams/erd/m6_requests_1.png" descr="الشكل 51: م6 · الطلبات وإجراءاتها (1/3) (4 جداول)" title="الشكل 51: م6 · الطلبات وإجراءاتها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63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51: م6 · الطلبات وإجراءاتها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الطلب: أكثر الجداول ازدحامًا؛ الحالة الداخلية منفصلة عن المرحلة الظاهرة (FR-WFL-001، FR-REQ-009، D-6، BR-REQ-002/003)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تعليق ظاهر للطالب أو داخلي؛ غير قابل للتعديل (سحب مع بقاء الأصل) (FR-REQ-017، BR-REQ-014)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RequestCommentId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بطلب ينشئ DocumentLink (EntityType=Request) (FR-REQ-006، BR-REQ-005)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RequestAttachmentId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بنص حر؛ تعديل بالإحلال ويبقى التاريخ؛ بلا تحقق خارجي (FR-REQ-010، X-DAT-7، BR-REQ-006)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RequestExternalRefId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RequestTypeId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DepartmentId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RequesterUserId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CreatedByUserId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SubmittedByUserId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CurrentStageInstanceId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ExternalPhaseId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ClosedByUserId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CopiedFromRequestId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ReservationId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AuthorUserId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ParentCommentId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RetractedBy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EnteredBy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3.46 م6 · الطلبات وإجراءاتها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562975" cy="5143500"/>
            <wp:effectExtent t="0" r="0" b="0" l="0"/>
            <wp:docPr id="1" name="diagrams/erd/m6_requests_2.png" descr="الشكل 52: م6 · الطلبات وإجراءاتها (2/3) (4 جداول)" title="الشكل 52: م6 · الطلبات وإجراءاتها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6297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52: م6 · الطلبات وإجراءاتها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دخول طلب إلى مرحلة؛ مصدر مقاييس الأزمنة والسحب والـ SLA (BR-WFL-002/007/012،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RequestStageInstanceId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تُنشأ لكل دخول ودورة؛ الدورة الجديدة بخانات جديدة (BR-WFL-003، FR-WFL-007/008/011)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RequestApprovalId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7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إجراءات للإضافة فقط يغطي كل حدث؛ غير AuditLog الأمني (FR-WFL-033/034، §6.2)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RequestActionId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تنفيذ خطاف بمفتاح عدم تكرار يعيد النتيجة المخزَّنة (FR-WFL-021، BR-WFL-015)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HookExecutionId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AssigneeUserId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ResumeStageId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TemplateId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AssignedRoleId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ActedByUserId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OnBehalfOfUserId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DelegationId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ActorUserId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OnBehalfOfUserId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StageInstanceId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RequestId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3.47 م6 · الطلبات وإجراءاتها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Requests, approvals &amp; actions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429000" cy="2381250"/>
            <wp:effectExtent t="0" r="0" b="0" l="0"/>
            <wp:docPr id="1" name="diagrams/erd/m6_requests_3.png" descr="الشكل 53: م6 · الطلبات وإجراءاتها (3/3) (جدول واحد)" title="الشكل 53: م6 · الطلبات وإجراءاتها (3/3) (جدول واحد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53: م6 · الطلبات وإجراءاتها (3/3) (جدول واحد)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مهام بفترة ونطاق؛ لا تفويض متسلسل (FR-WFL-020، BR-WFL-021، V-WFL-06)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UserDelegationId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FromUserId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ToUserId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RevokedBy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3.48 م6 · الإشعارات (1/2)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Notifications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5543550" cy="5143500"/>
            <wp:effectExtent t="0" r="0" b="0" l="0"/>
            <wp:docPr id="1" name="diagrams/erd/m6_notifications_1.png" descr="الشكل 54: م6 · الإشعارات (1/2) (4 جداول)" title="الشكل 54: م6 · الإشعارات (1/2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54: م6 · الإشعارات (1/2)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دفعة ملخص لمستخدم وقناة وفترة؛ لا يُرسل فارغًا (FR-NTF-014، BR-NTF-004، JOB-NTF-DIGEST)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DigestBatchId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إشعار لمستخدم؛ المحتوى بلا قيم مقيّدة (FR-NTF-005/006/007/021، BR-NTF-001/002/007/008/011)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تسليم الإشعار لكل قناة بحالاته وإعادة المحاولة (FR-NTF-019، BR-NTF-009،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NotificationDeliveryId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الأحداث؛ تملكه 13 لكل الوحدات وتبذر فيه الوحدات أحداثها (FR-NTF-001، §9.2، §9.2-ب)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NotificationEventTypeId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NotificationId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DigestBatchId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3.49 م6 · الإشعارات (2/2)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Notifications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1905000"/>
            <wp:effectExtent t="0" r="0" b="0" l="0"/>
            <wp:docPr id="1" name="diagrams/erd/m6_notifications_2.png" descr="الشكل 55: م6 · الإشعارات (2/2) (3 جداول)" title="الشكل 55: م6 · الإشعارات (2/2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55: م6 · الإشعارات (2/2)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تفضيل المستخدم لكل مجموعة أحداث وقناة (FR-NTF-010، BR-NTF-003/014)؛ الإلزامي لا يُوقَف في التطبيق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NotificationPreferenceId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مستلمين لحدث؛ التعديل يسري على الأحداث التالية فقط (FR-NTF-003، BR-NTF-001، V-NTF-02)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NotificationRuleId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رسالة لكل (حدث، قناة، لغة)؛ الحذف = العودة إلى قالب البذرة (FR-NTF-012، FR-NTF-025)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NotificationTemplateId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RoleId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PermissionId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UserId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EventTypeId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3.50 م7/م8 · شروط الاعتماد والنماذج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9553575" cy="3781425"/>
            <wp:effectExtent t="0" r="0" b="0" l="0"/>
            <wp:docPr id="1" name="diagrams/erd/m7_8_lc_terms_1.png" descr="الشكل 56: م7/م8 · شروط الاعتماد والنماذج (1/3) (4 جداول)" title="الشكل 56: م7/م8 · شروط الاعتماد والنماذج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53575" cy="378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56: م7/م8 · شروط الاعتماد والنماذج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في شروط الاعتماد: بيانات تُبذر لكل مشترك (FR-LCT-004، BR-LCT-002)؛ مراجع UCP في lc.LcFieldUcpRef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LcFieldDefinitionId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0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لحقل: مادة + فقرة (UcpRefs في المواصفة)؛ يغذّي الشارة وR-LCT-01 وBR-LCT-018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LcFieldUcpRefId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الطرف المقابل: مورّد/عميل خفيف بلا هوية؛ يُرقّى إلى Party عند الحاجة (FR-LCT-036/037، BR-LCT-022، Q-PTY-03)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CounterpartyId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مكتبة بنود المستندات بإصدارات: نص قالب بمعاملات (FR-LCT-017..019، BR-LCT-012)؛ مراجع UCP في lc.LcDocumentClauseUcpRef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LcDocumentClauseId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LcFieldDefinitionId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UcpArticleId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CountryId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MergedIntoId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3.51 م7/م8 · شروط الاعتماد والنماذج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067425" cy="5143500"/>
            <wp:effectExtent t="0" r="0" b="0" l="0"/>
            <wp:docPr id="1" name="diagrams/erd/m7_8_lc_terms_2.png" descr="الشكل 57: م7/م8 · شروط الاعتماد والنماذج (2/3) (4 جداول)" title="الشكل 57: م7/م8 · شروط الاعتماد والنماذج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7425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57: م7/م8 · شروط الاعتماد والنماذج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لبند مستند: مادة + فقرة (UcpRefs في المواصفة)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LcDocumentClauseUcpRefId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شروط اعتماد: صف لكل نسخة بأعمدة قاموس §6.2؛ مشترك بين البروفورما والطلب والاعتماد والتعديل (FR-LCT-001..035)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مستند مختار في الشروط ومعاملاته؛ النص المصيَّر يُجمَّد عند القفل (FR-LCT-018، BR-LCT-012)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LcTermsDocumentId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رسوم الشروط: صف لكل فئة (6 صفوف كاملة يتحقق منها التطبيق V-LCT-12) (FR-LCT-020، BR-LCT-014)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LcChargesMatrixId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LcDocumentClauseId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UcpArticleId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ApplicantCompanyId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ApplicantCounterpartyId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BeneficiaryCompanyId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BeneficiaryCounterpartyId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EncKeyId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EncKeyPurpose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HashKeyId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HashKeyPurpose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IncotermId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MarginSettlementAccountId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ChargesAccountId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PrevLcCurrencyId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LockedBy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SupersedesTermsId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CopiedFromTermsId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ClauseId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3.52 م7/م8 · شروط الاعتماد والنماذج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LC terms, fields &amp; form maps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3467100" cy="5143500"/>
            <wp:effectExtent t="0" r="0" b="0" l="0"/>
            <wp:docPr id="1" name="diagrams/erd/m7_8_lc_terms_3.png" descr="الشكل 58: م7/م8 · شروط الاعتماد والنماذج (3/3) (جدولان)" title="الشكل 58: م7/م8 · شروط الاعتماد والنماذج (3/3) (جدولان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58: م7/م8 · شروط الاعتماد والنماذج (3/3) (جدولان)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نموذج بنك/منتج/نوع نموذج بإصدار وفترة نفاذ وملحق عقدي (FR-LCT-026، BR-LCT-017، 02 F-14)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LcFormTemplateId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تعيين حقل نظام إلى حقل PDF أو بند في ورقة البوابة (FR-LCT-027، BR-LCT-020)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LcFormFieldMapId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SourceDocumentId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إثبات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AnnexDocumentId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LetterheadDocumentId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TemplateId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3.53 م7/م8 · الاعتمادات والبروفورما (1/3)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6019800" cy="5143500"/>
            <wp:effectExtent t="0" r="0" b="0" l="0"/>
            <wp:docPr id="1" name="diagrams/erd/m7_8_lc_ops_1.png" descr="الشكل 59: م7/م8 · الاعتمادات والبروفورما (1/3) (4 جداول)" title="الشكل 59: م7/م8 · الاعتمادات والبروفورما (1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59: م7/م8 · الاعتمادات والبروفورما (1/3)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الاعتماد للجانبين: مشتريات (نحن الطالب) ومبيعات (نحن المستفيد) (FR-LCI-011..016، FR-LCE-009، BR-LCI-004/008/016، BR-LCE-007/009)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LetterOfCreditId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للاعتماد (ERP...)؛ بلا فرادة؛ البحث بالمطبَّع (FR-LCI-013، BR-REQ-006)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LcExternalRefId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تعديل اعتماد صادر أو مستلَم (FR-LCI-018/019، FR-LCE-020، BR-LCI-011/012، BR-LCE-014)؛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LcAmendmentId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6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سحب/تقديم مستندات تحت اعتماد؛ في التصدير يشمل تحويل التخصيص (FR-LCI-023، BR-LCI-013، BR-LCE-011)؛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LcDrawingId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5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CounterpartyId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InstitutionId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RelationshipId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CompanyId, InstitutionId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ProductId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FacilityId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LimitProductLineId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FacilityId, LimitId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UtilizationId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FacilityId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ProformaId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CurrentTermsId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AppliedBy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SettlementAccountId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3.54 م7/م8 · الاعتمادات والبروفورما (2/3)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267700" cy="5143500"/>
            <wp:effectExtent t="0" r="0" b="0" l="0"/>
            <wp:docPr id="1" name="diagrams/erd/m7_8_lc_ops_2.png" descr="الشكل 60: م7/م8 · الاعتمادات والبروفورما (2/3) (4 جداول)" title="الشكل 60: م7/م8 · الاعتمادات والبروفورما (2/3) (4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77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60: م7/م8 · الاعتمادات والبروفورما (2/3) (4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تخصيص أمر بيع على اعتماد مستلَم؛ لا يقابله حد ائتماني (FR-LCE-013..015، BR-LCE-009..013)؛ الحالات §8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LcSalesOrderId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توزيع سحب تصدير على أوامر بيع (FR-LCE-016/017، BR-LCE-011/013)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LcDrawingAllocationId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4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مخالفة على مستندات سحب أو اعتماد؛ القرار يتطلب lc.discrepancy.decide (FR-LCI-024، FR-LCE-021، §8)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LcDiscrepancyId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البروفورما الصادرة: لا تعديل بعد الإصدار؛ الرقم {seq:000}-{erp}-{yy} (FR-LCE-005..008، BR-LCE-001..006)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ProformaInvoiceId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8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9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DrawingId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LcId, 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SalesOrderId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LcId, 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DrawingId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DecidedBy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CompanyId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RequestId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CustomerId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ProceedsAccountId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DocumentId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SupersededById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CompanyId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3.55 م7/م8 · الاعتمادات والبروفورما (3/3)</w:t>
      </w:r>
    </w:p>
    <w:p>
      <w:pPr>
        <w:keepNext/>
        <w:bidi/>
        <w:spacing w:after="6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B6670"/>
          <w:sz w:val="16"/>
          <w:szCs w:val="16"/>
          <w:rtl/>
        </w:rPr>
        <w:t xml:space="preserve">Letters of credit &amp; proforma</w:t>
      </w:r>
    </w:p>
    <w:p>
      <w:pPr>
        <w:keepNext/>
        <w:bidi/>
        <w:spacing w:after="60" w:before="60"/>
        <w:jc w:val="center"/>
      </w:pPr>
      <w:r>
        <w:drawing>
          <wp:inline distT="0" distB="0" distL="0" distR="0">
            <wp:extent cx="8772525" cy="4905375"/>
            <wp:effectExtent t="0" r="0" b="0" l="0"/>
            <wp:docPr id="1" name="diagrams/erd/m7_8_lc_ops_3.png" descr="الشكل 61: م7/م8 · الاعتمادات والبروفورما (3/3) (3 جداول)" title="الشكل 61: م7/م8 · الاعتمادات والبروفورما (3/3) (3 جداو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72525" cy="490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60" w:before="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B6670"/>
          <w:sz w:val="16"/>
          <w:szCs w:val="16"/>
          <w:rtl/>
        </w:rPr>
        <w:t xml:space="preserve">الشكل 61: م7/م8 · الاعتمادات والبروفورما (3/3) (3 جداول)</w:t>
      </w:r>
    </w:p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الجداول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2"/>
        <w:gridCol w:w="1016"/>
        <w:gridCol w:w="7313"/>
        <w:gridCol w:w="2540"/>
        <w:gridCol w:w="711"/>
        <w:gridCol w:w="816"/>
      </w:tblGrid>
      <w:tr>
        <w:trPr>
          <w:cantSplit/>
          <w:tblHeader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PK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FK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UK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البروفورما (FR-LCE-003، BR-LCE-001)؛ يُثبَّت بعد الإصدار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ProformaLineId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شروط الاعتماد المستلَم بالبروفورما (FR-LCT-031، FR-LCE-023، BR-LCT-021)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LcTermsComparisonId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3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264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0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73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فرق حقل واحد وحكمه وقرار الخزينة (FR-LCT-031، BR-LCT-021)</w:t>
            </w:r>
          </w:p>
        </w:tc>
        <w:tc>
          <w:tcPr>
            <w:tcW w:type="dxa" w:w="25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LcTermsComparisonLineId</w:t>
            </w:r>
          </w:p>
        </w:tc>
        <w:tc>
          <w:tcPr>
            <w:tcW w:type="dxa" w:w="7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</w:t>
            </w:r>
          </w:p>
        </w:tc>
        <w:tc>
          <w:tcPr>
            <w:tcW w:type="dxa" w:w="8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2</w:t>
            </w:r>
          </w:p>
        </w:tc>
      </w:tr>
    </w:tbl>
    <w:p>
      <w:pPr>
        <w:pStyle w:val="Heading2"/>
        <w:bidi/>
      </w:pP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العلاقات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70"/>
        <w:gridCol w:w="2900"/>
        <w:gridCol w:w="1074"/>
        <w:gridCol w:w="1288"/>
        <w:gridCol w:w="2363"/>
        <w:gridCol w:w="1074"/>
        <w:gridCol w:w="969"/>
      </w:tblGrid>
      <w:tr>
        <w:trPr>
          <w:cantSplit/>
          <w:tblHeader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الابن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العمود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 الأب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الإلزام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نطاق الربط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النوع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الرسم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ProformaId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CurrencyId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CurrencyId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BaselineTermsId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ReceivedTermsId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RunBy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اختياري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24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ComparisonId</w:t>
            </w:r>
          </w:p>
        </w:tc>
        <w:tc>
          <w:tcPr>
            <w:tcW w:type="dxa" w:w="290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إلزامي</w:t>
            </w:r>
          </w:p>
        </w:tc>
        <w:tc>
          <w:tcPr>
            <w:tcW w:type="dxa" w:w="1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يمنع الحذف</w:t>
            </w:r>
          </w:p>
        </w:tc>
        <w:tc>
          <w:tcPr>
            <w:tcW w:type="dxa" w:w="23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—</w:t>
            </w:r>
          </w:p>
        </w:tc>
        <w:tc>
          <w:tcPr>
            <w:tcW w:type="dxa" w:w="10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عمل</w:t>
            </w:r>
          </w:p>
        </w:tc>
        <w:tc>
          <w:tcPr>
            <w:tcW w:type="dxa" w:w="9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مرسوم</w:t>
            </w:r>
          </w:p>
        </w:tc>
      </w:tr>
    </w:tbl>
    <w:p>
      <w:pPr>
        <w:pStyle w:val="Heading1"/>
        <w:pageBreakBefore/>
        <w:bidi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الملحق أ. فهرس الجداول</w:t>
      </w:r>
    </w:p>
    <w:p>
      <w:pPr>
        <w:keepNext w:val="false"/>
        <w:bidi/>
        <w:spacing w:after="120" w:before="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  <w:rtl/>
        </w:rPr>
        <w:t xml:space="preserve">194 جدولًا مرتبة بالمخطط ثم الاسم. عمود «المجموعة» يحدد مجموعة الرسم التي ترسم الجدول.</w:t>
      </w:r>
    </w:p>
    <w:tbl>
      <w:tblPr>
        <w:bidiVisual/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9"/>
        <w:gridCol w:w="1219"/>
        <w:gridCol w:w="4878"/>
        <w:gridCol w:w="5892"/>
      </w:tblGrid>
      <w:tr>
        <w:trPr>
          <w:cantSplit/>
          <w:tblHeader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الجدول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المخطط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المجموعة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  <w:rtl/>
              </w:rPr>
              <w:t xml:space="preserve">الغرض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acc.AuthorityConflict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صلاحية المفوّض بالحوكمة وقرار المراجع (S1-ب) (FR-ACC-018، BR-ACC-015)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acc.BankAccount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حساب شركة لدى منشأة (FR-ACC-001..009، BR-ACC-001..006، BR-ACC-016)؛ الرقم وIBAN مشفّران بفهرس أعمى للفرادة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acc.FacilityAccount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حساب بتسهيل بغرض (S2) (FR-ACC-010، BR-ACC-007)؛ يُملأ من شاشة التسهيل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شخص لدى علاقة (S1-ب) (FR-ACC-012، FR-ACC-023، BR-ACC-008/009) + إضافات docs/05 G-10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صلاحية المفوّض لعملية على حساب أو على البنك (S1-ب) (FR-ACC-013/014/017، BR-ACC-010/011)؛ لا تعديل في مكانه: الإغلاق والفتح؛ حالتها مشتقة فلا تُخزَّن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acc.SignatoryAuthorityJointClass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فئات التوقيع المطلوبة للتوقيع المشترك (JointClassIds) (BR-ACC-013)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aud.AuditLog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للإدراج فقط؛ TenantId الفارغ = حدث منصة لا يراه أي مشترك؛ سياسة RLS خاصة (BR-PLT-001/009)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aud.SensitiveAccessLog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aud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كشف الهويات والصور والتصدير والتنزيل المقيّد؛ لكشف الشذوذ &gt;20/ساعة وR-PLT-3 (BR-PTY-009)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cat.AccountType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الحساب (FR-ACC-001)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سعر الأساس: سوق (InstitutionId فارغ) أو داخلي لبنك (FR-CAT-015، BR-CAT-011)؛ الأسماء البديلة في BaseRateAlias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cat.BaseRateAlias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اسم بديل لسعر أساس (SIBOR ≡ SAIBOR) بحث بلا حساسية حالة وفريد ضمن النطاق (BR-CAT-011، FR-CAT-015)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cat.BaseRateValue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سعر الأساس بتاريخ سريان؛ لا حذف: التصحيح صف جديد والقديم SUPERSEDED (FR-CAT-016، BR-CAT-012/013)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الضمان بنوع بنية وقالب سمات (FR-CAT-013)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cat.CollateralTypeAttribute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سمة في قالب نوع الضمان؛ لا تُحذف بل تُرمَّز Retired (BR-CAT-009)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cat.DocumentType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الوثيقة؛ يطبّق 10 أعلامه عند الرفع (FR-CAT-018، BR-CAT-016، FR-PLT-028)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cat.FacilityType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التسهيل (FR-CAT-011)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cat.FeeType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المصروف: فئة عريضة لا بند تعرفة (FR-CAT-008، BR-CAT-005، Q-CAT-10)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cat.FinancingType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التمويل (FR-CAT-009، BR-CAT-006)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cat.InstitutionType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المنشأة المالية: بنك، شركة تمويل، استثمارية، مالية، فرد (FR-INS-001)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cat.LegalEntityType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الشكل القانوني: الكيان وسماته يعرّفها 10 (FR-ORG-002، BR-CAT-017) وتبذره هذه الوحدة؛ أعمدة الكتالوج مكتوبة يدويًا لأن فرادة الرمز بالدولة (10 §6.2) لا فرادته وحده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الحد: رئيسي/جزئي (FR-CAT-012، BR-CAT-008)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cat.LimitTypeProduct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المنتجات المسموحة لنوع الحد؛ غياب الصفوف = أي منتج بعلامة ظاهرة (BR-CAT-008)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DR-03/05/07: مملوك للمشترك (نسخ النظام لكل مشترك) # بند في قائمة قيم؛ TenantId فارغ = بند عالمي للقراءة فقط؛ أعمدة الكتالوج يدوية لأن فرادة الرمز داخل القائمة لا المشترك (FR-CAT-020)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cat.LookupList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DR-03: مملوك للمشترك؛ نسخة النظام تُهيَّأ لكل مشترك من قالب المنصة # قائمة قيم؛ TenantId فارغ = قائمة عالمية يملكها المشغّل للقراءة (FR-CAT-020،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cat.ObligationType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الالتزام بأربع عائلات (FR-CAT-014، BR-CAT-010)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العملية البنكية المفوَّض بها (FR-ACC-013، BR-CAT-014)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cat.OperationTypePowerType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الأسعار المرجعية والقوائم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عملية بنوع/أنواع صلاحية حوكمة؛ «أي واحد يكفي» (BR-CAT-014، FR-CAT-019، Q-ACC-05)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cat.Position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المنصب: السمات يعرّفها 10 §6.2 وحده وتبذر هذه الوحدة صفوفه (FR-CAT-019، BR-CAT-017)؛ SortOrder من أساس الكتالوج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cat.PowerType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نوع الصلاحية: السمات يعرّفها 10 §6.2 وحده وتبذر هذه الوحدة صفوفه (FR-CAT-019، FR-ORG-024)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المنتج البنكي بأعلامه (FR-CAT-007، BR-CAT-004)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cat.ProductCategory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تصنيف المنتجات: مسطّح (FR-CAT-007)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cat.ProductFeeType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المصاريف المسموحة للمنتج؛ تعطيل الربط = حذفه ولا يمس قواعد تسعير قائمة (FR-CAT-010، BR-CAT-007)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cat.ProductFinancingType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المنتجات والرسوم والتمويل والضمانات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أنواع التمويل المسموحة للمنتج (FR-CAT-010، BR-CAT-007)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cat.TenantCurrency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الكتالوجات المرجعية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العملات المفعّلة للمشترك: تفعيل مجموعة جزئية من المرجع العالمي (FR-CAT-023، Q-CAT-08)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cfg.DataExportJob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طلب تصدير بيانات المشترك (FR-PLT-039، BR-PLT-016)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cfg.ExpiryAlertLog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التنبيهات المرسَلة: حدث واحد لكل (عنصر، عتبة) ولا تكرار في اليوم نفسه (FR-PLT-038)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cfg.ExpiryAlertRule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تنبيه انتهاء لكل نوع عنصر (FR-PLT-038، BR-PLT-013)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cfg.JobRun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المهام الخلفية: آخر تشغيل ومدته ونتيجته ظاهر لمدير الحساب (FR-PLT-044)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cfg.NonWorkingDay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يوم غير عمل؛ TenantId الفارغ = عطلة المنصة للقراءة فقط (FR-PLT-035، BR-PLT-014)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cfg.NumberIssue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الأرقام الصادرة؛ الملغى لا يُعاد استعماله (FR-PLT-026، BR-PLT-010)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عدّاد لكل (تعريف، شركة اختيارية، فترة)؛ يُقفل صفه عند التخصيص داخل معاملة المستدعي (BR-PLT-010)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cfg.NumberSequenceDefinition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الترقيم بصيغة بوسوم مثل {seq:000}-{erp}-{yy} (FR-PLT-026)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cfg.OutboxEvent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طابور الإرسال: تسليم مرة واحدة على الأقل؛ الحمولة معرّفات بلا بيانات مقيّدة (FR-PLT-042)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cfg.SeedRun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تشغيل البذر المُرقَّم لكل حزمة؛ تكرار التشغيل لا يكرر شيئًا (FR-PLT-008)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cfg.SettingDefinition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مفتاح إعداد بحدود المنصة الدنيا والقصوى (BR-PLT-018، FR-PLT-043)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cfg.TenantSetting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cfg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الإعدادات والمهام الخلفية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إعدادات المشترك: سياسات الأمان والمهل والعتبات وwork.start/work.end (FR-PLT-043)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مفتاح شرط قابل للمقارنة (FR-CMP-001)؛ الرمز بنمط PRC.MARGIN_PCT؛ النظامي لا يُحذف ولا تتغير وحدته (IsSystem)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cmp.TermValue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cmp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شرط في تسهيل بنطاقها ومصدرها (FR-CMP-002..006، BR-CMP-001..006، V-CMP-01)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ضمان؛ اعتماد مستقل عن مراجعة التسهيل والتعديل نسخة جديدة (FR-COL-001/014، V-COL-01،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col.CollateralLink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ضمان بتسهيل أو حد؛ ضمان واحد لعدة تسهيلات (FR-COL-002، BR-COL-005)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col.Guarantee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كفالة 1:1 مع Collateral؛ الكفيل Party دائمًا ولا أرقام هوية هنا (FR-COL-003/004، BR-COL-001)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col.InsurancePolicyAssignment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تجيير وثيقة تأمين؛ مفتاح الفرادة (CollateralId,PolicyNo) يسمح بتجديد الوثيقة (FR-COL-006، BR-COL-003)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سند لأمر 1:1؛ مبلغ مستقل قد يفوق الحد (FR-COL-005، BR-COL-002)؛ NextRenewalDue وPNRatio مشتقان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col.PromissoryNoteSigner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موقّعو السند (SignerPartyIds)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col.ValuationSchedule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col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الضمانات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مراحل تقييم عقار (FR-COL-008، BR-COL-004)؛ مثل 3 مقيّمين في السنة الأولى ثم مقيّم سنويًا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المستند المنطقي: بيانات المستند وحالته؛ الملف في doc.DocumentVersion (FR-PLT-027/028، BR-PLT-011)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doc.DocumentLink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بأي كيان بدور وصفحة مرجعية؛ إلغاء الربط منطقي (FR-PLT-028)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doc.DocumentVersion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doc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التدقيق والمستندات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ثابت من الملف؛ لا يُستبدل بل يُنشأ إصدار جديد (FR-PLT-027، BR-PLT-011)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حزمة الاتفاقية الائتمانية: جذر التجميعة (FR-FAC-001..008، BR-FAC-001/005/006)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ضمن الحزمة بأسبقية (FR-FAC-004، BR-FAC-008، V-FAC-03)؛ نوعها من doc.Document.DocumentTypeId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fac.FacilityLender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مقرض وحصته (FR-FAC-003، BR-FAC-007، V-FAC-02)؛ مجموع الحصص 100 ووكيل واحد يتحقق منهما التطبيق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fac.FacilityRevision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مراجعة معدّ/معتمِد لشروط التسهيل (FR-FAC-024، BR-FAC-003/004،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عقدة شجرة الحدود (FR-FAC-010/011، BR-FAC-009/010، V-FAC-04..07)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fac.LimitCompanyRule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قيد شركة على حد: مسموح/مستثنى/تخصيص (FR-FAC-013، BR-FAC-012، V-FAC-09)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fac.LimitMovement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حركة على حجز أو استخدام؛ لا تعديل ولا حذف؛ مفتاح عدم التكرار (BR-FAC-015/020)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fac.LimitProductLine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 منتج داخل حد: سقف اختياري SHARED_CAP دائمًا (FR-FAC-012، V-FAC-08)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fac.LimitReservation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حجز مبلغ لطلب = ExposureAmount (FR-FAC-017/018/020، BR-FAC-015)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fac.OutstandingSnapshot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لقطة الرصيد المعترف به (FR-FAC-009، BR-FAC-017)؛ PctOfLimit مشتق لا يُخزَّن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fac.ProductLineTerm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العملية لخط المنتج بتواريخ سريان؛ الفارغ = «غير محدد» لا صفر (FR-FAC-014، BR-FAC-016)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fac.Utilization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الحدود والاستخدام والحجوزات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استخدام فعّال: يدوي أو مرتبط باعتماد مستندي؛ لا حذف (FR-FAC-016/030، BR-FAC-013/020)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fac.ValueConflict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fac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التسهيلات والمراجعات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تعارض قيمتين لحقل واحد وحسمه (FR-FAC-026، BR-FAC-019، BR-FAC-008)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fin.AccountMonthlyStat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رصيد شهري لحساب بعملة الحساب (FR-FIN-008، BR-FIN-005/006، V-FIN-02)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fin.BankFlowEntry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مبلغ محوَّل للبنك في شهر؛ تجميع سنوي آلي (FR-FIN-009/010، BR-FIN-007/008)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fin.FinancialStatement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رأس قائمة مالية؛ سري جدًا (FR-FIN-002/005/006، BR-FIN-001..004،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معياري للقوائم؛ 39 بندًا مبذورًا؛ النظامي في الصيغ لا يُحذف (FR-FIN-001، CatalogBase)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fin.LineCatalogItemAlias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الأسماء البديلة للبند (Aliases) للصق والمطابقة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fin.MeasureFormula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صيغة مقياس: قالب أو نسخة اتفاقية بإصدارات؛ لا تُنفَّذ نصًا (FR-FIN-011، BR-FIN-009، §12)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fin.StatementLine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fin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البيانات المالية والأرصدة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سطر قائمة؛ بعملة الرأس والمخزَّن = المُدخل x UnitScale؛ Variance مشتق؛ سري جدًا (BR-FIN-001/002)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ins.Contact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جهة اتصال لدى البنك: سجل خفيف بلا هوية، PartyId اختياري للترقية (FR-INS-007/008، BR-INS-005/006/014)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المنشأة المالية (FR-INS-001..004، BR-INS-001..003، BR-INS-012)؛ Locality محلي/أجنبي مشتقة (BR-INS-002) فلا تُخزَّن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ins.InstitutionUnit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وحدة في هيكل المنشأة: إدارة/قسم/فرع، شجرة ذاتية حتى 4 مستويات (FR-INS-005/006، BR-INS-004)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علاقة شركة–منشأة (D-4)؛ فريدة مهما كانت حالتها (FR-INS-009، BR-INS-007/011)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ins.RelationshipContact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تغطية العلاقة (الطبقة الأولى): جهة اتصال بدور ورتبة وفترة (FR-INS-010، BR-INS-008/009)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ins.RelationshipProduct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ins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م2–م3 · الجهات المالية والحسابات والمفوّضون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منتج يُتعامل به ضمن علاقة مع جهة افتراضية وقناة (FR-INS-011..013، BR-INS-010)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lc.Counterparty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الطرف المقابل: مورّد/عميل خفيف بلا هوية؛ يُرقّى إلى Party عند الحاجة (FR-LCT-036/037، BR-LCT-022، Q-PTY-03)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lc.LcAmendment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تعديل اعتماد صادر أو مستلَم (FR-LCI-018/019، FR-LCE-020، BR-LCI-011/012، BR-LCE-014)؛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lc.LcChargesMatrix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رسوم الشروط: صف لكل فئة (6 صفوف كاملة يتحقق منها التطبيق V-LCT-12) (FR-LCT-020، BR-LCT-014)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lc.LcDiscrepancy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مخالفة على مستندات سحب أو اعتماد؛ القرار يتطلب lc.discrepancy.decide (FR-LCI-024، FR-LCE-021،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مكتبة بنود المستندات بإصدارات: نص قالب بمعاملات (FR-LCT-017..019، BR-LCT-012)؛ مراجع UCP في lc.LcDocumentClauseUcpRef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lc.LcDocumentClauseUcpRef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لبند مستند: مادة + فقرة (UcpRefs في المواصفة)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سحب/تقديم مستندات تحت اعتماد؛ في التصدير يشمل تحويل التخصيص (FR-LCI-023، BR-LCI-013، BR-LCE-011)؛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lc.LcDrawingAllocation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توزيع سحب تصدير على أوامر بيع (FR-LCE-016/017، BR-LCE-011/013)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lc.LcExternalRef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للاعتماد (ERP...)؛ بلا فرادة؛ البحث بالمطبَّع (FR-LCI-013، BR-REQ-006)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في شروط الاعتماد: بيانات تُبذر لكل مشترك (FR-LCT-004، BR-LCT-002)؛ مراجع UCP في lc.LcFieldUcpRef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lc.LcFieldUcpRef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UCP لحقل: مادة + فقرة (UcpRefs في المواصفة)؛ يغذّي الشارة وR-LCT-01 وBR-LCT-018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lc.LcFormFieldMap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تعيين حقل نظام إلى حقل PDF أو بند في ورقة البوابة (FR-LCT-027، BR-LCT-020)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lc.LcFormTemplate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نموذج بنك/منتج/نوع نموذج بإصدار وفترة نفاذ وملحق عقدي (FR-LCT-026، BR-LCT-017، 02 F-14)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lc.LcSalesOrder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تخصيص أمر بيع على اعتماد مستلَم؛ لا يقابله حد ائتماني (FR-LCE-013..015، BR-LCE-009..013)؛ الحالات §8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شروط اعتماد: صف لكل نسخة بأعمدة قاموس §6.2؛ مشترك بين البروفورما والطلب والاعتماد والتعديل (FR-LCT-001..035)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نتيجة مقارنة شروط الاعتماد المستلَم بالبروفورما (FR-LCT-031، FR-LCE-023، BR-LCT-021)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lc.LcTermsComparisonLine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فرق حقل واحد وحكمه وقرار الخزينة (FR-LCT-031، BR-LCT-021)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lc.LcTermsDocument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شروط الاعتماد والنماذج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مستند مختار في الشروط ومعاملاته؛ النص المصيَّر يُجمَّد عند القفل (FR-LCT-018، BR-LCT-012)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lc.LetterOfCredit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الاعتماد للجانبين: مشتريات (نحن الطالب) ومبيعات (نحن المستفيد) (FR-LCI-011..016، FR-LCE-009، BR-LCI-004/008/016، BR-LCE-007/009)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lc.ProformaInvoice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البروفورما الصادرة: لا تعديل بعد الإصدار؛ الرقم {seq:000}-{erp}-{yy} (FR-LCE-005..008، BR-LCE-001..006)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lc.ProformaLine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lc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م7/م8 · الاعتمادات والبروفورما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في البروفورما (FR-LCE-003، BR-LCE-001)؛ يُثبَّت بعد الإصدار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ntf.DigestBatch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دفعة ملخص لمستخدم وقناة وفترة؛ لا يُرسل فارغًا (FR-NTF-014، BR-NTF-004، JOB-NTF-DIGEST)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إشعار لمستخدم؛ المحتوى بلا قيم مقيّدة (FR-NTF-005/006/007/021، BR-NTF-001/002/007/008/011)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ntf.NotificationDelivery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تسليم الإشعار لكل قناة بحالاته وإعادة المحاولة (FR-NTF-019، BR-NTF-009،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ntf.NotificationEventType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الأحداث؛ تملكه 13 لكل الوحدات وتبذر فيه الوحدات أحداثها (FR-NTF-001، §9.2، §9.2-ب)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ntf.NotificationPreference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تفضيل المستخدم لكل مجموعة أحداث وقناة (FR-NTF-010، BR-NTF-003/014)؛ الإلزامي لا يُوقَف في التطبيق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مستلمين لحدث؛ التعديل يسري على الأحداث التالية فقط (FR-NTF-003، BR-NTF-001، V-NTF-02)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ntf.NotificationTemplate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ntf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الإشعارات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قالب رسالة لكل (حدث، قناة، لغة)؛ الحذف = العودة إلى قالب البذرة (FR-NTF-012، FR-NTF-025)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تعهد بتواريخ؛ الحدود المتدرجة = عدة نسخ (FR-OBL-006، BR-OBL-001/005/006، Q-OBL-01)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obl.CovenantAccount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AccountIds لـ SELECTED_ACCOUNTS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obl.CovenantTest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تقييم تعهد لفترة وإصدار تقييم؛ المخزَّن لا يُعدَّل (FR-OBL-011، FR-FIN-012/013، BR-OBL-006/007،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التزام على تسهيل (أو حد/خط/شركات)؛ العائلة من ObligationType ولا تُحرَّر (FR-OBL-001، BR-OBL-001)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obl.ObligationBreach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خرق وعلاجه وتنازله (FR-OBL-012، BR-OBL-009/011،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obl.ObligationCompany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AppliesToCompanyIds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obl.ReportingInstance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أجندة مولَّد أو مسجَّل لحدث (FR-OBL-003..005، BR-OBL-003، §8)؛ DUE_SOON/OVERDUE مشتقتان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obl.ReportingObligation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obl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الالتزامات والتعهدات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استحقاق تقرير/إخطار 1:1 مع Obligation (FR-OBL-002/003، BR-OBL-002، V-OBL-01)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org.AuthorityGrant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تفويض/منحة صلاحية لشركة (FR-ORG-023..028، BR-ORG-011..014)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org.BodyMember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عضوية في هيئة (FR-ORG-020، FR-ORG-021، BR-ORG-010)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الشركة: جذر الهيكل المؤسسي (FR-ORG-001..010، BR-ORG-001..004)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org.CompanyBranch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فرع/مستودع/تابعة خارج الحساب كنص (G-3)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org.CompanyDisclosure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إفصاحات الشركة (G-5)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org.CompanyExpectedFlow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مصفوفة الحركة المتوقعة الشهرية CTP: اتجاه × 5 بنود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org.CompanyKeyRelation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أصحاب العلاقة: مدققون، مستشار قانوني، جهات تنظيمية، أبرز العملاء/الموردين (G-6)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org.CompanyKycFinancialProfile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الملف المالي KYC بتاريخ سريان: شريحة الإيرادات والغرض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ملف تعريف الشركة 1:1 (G-1)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org.CompanyTaxRate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نسبة ضريبة بتاريخ سريان؛ CompanyId فارغ = افتراضي المشترك (FR-ORG-007، BR-ORG-005)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org.CompanyWealthSource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ملف الشركة و KYC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مصادر الأموال والثروة: قائمة متعددة (G-4)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org.Department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الإدارة (FR-ORG-014، BR-ORG-016، Q-ORG-09: على مستوى المشترك وشركة اختيارية)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org.GoverningBody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هيئة حوكمة (FR-ORG-019، BR-ORG-009)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org.Shareholding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org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الشركات والحوكمة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حصة ملكية بتاريخ سريان؛ المالك Party فرد أو جهة (FR-ORG-015..018، BR-ORG-006..008، G-7)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باقة: حزمة وحدات وحدود ناعمة (FR-PLT-003/004، Q-PLT-11)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plat.PlanModule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وحدات الباقة (يحل محل Plan.IncludedModules json)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plat.PlatformOperator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يقرؤه تطبيق المشترك (tp_app) · حساب مشغّل المنصة: مخزن هوية منفصل عن AppUser (FR-PLT-006)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plat.ReservedSubdomain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عناوين فرعية محجوزة للنظام: www · admin · api · app… (FR-PLT-046)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plat.SupportAccessGrant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وصول الدعم المؤقت يفعّله مدير حساب المشترك (FR-PLT-007، BR-PLT-017)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لا وصول مباشر لتطبيق المشترك (يقرأ صفّه عبر plat.v_CurrentTenant) · جذر العزل: المشترك (FR-PLT-001/002/046، BR-PLT-001/002)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plat.TenantModule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plat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المشترك والاشتراكات والمشغّلون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الوحدات المفعّلة لكل مشترك؛ ملكية المنصة فقط: لا يكتبها تطبيق المشترك ويقرؤها عبر عرض مُحدَّد (DR-01)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تسعير بنطاق ووراثة وطرق (FR-PRC-006..017، BR-PRC-006..012، V-PRC-02)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prc.PricingTier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قاعدة TIERED بالمبلغ و/أو المدة (FR-PRC-003، BR-PRC-002)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رسم في جدول التعرفة (FR-PRC-002، BR-PRC-002..005)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prc.TariffSchedule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إصدار جدول رسوم لبنك؛ بخاص بتسهيل اختياريًا (FR-PRC-001، BR-PRC-001، V-PRC-01)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prc.TariffTier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prc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م5 · التسعير وشروط المقارنة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شريحة بند تعرفة بالمبلغ و/أو المدة (FR-PRC-003، BR-PRC-002)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pty.Address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عنوان متعدد الملكية: OwnerType+OwnerId بلا FK (مزوّد المالك يتحقق منه التطبيق) (FR-PTY-011، BR-PTY-015)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pty.ContactMethod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وسيلة اتصال متعددة الملكية (FR-PTY-012، BR-PTY-015)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pty.CustomFieldDefinition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حقل مخصص (FR-PTY-013، BR-PTY-014)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pty.IdentityDocument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وثيقة هوية؛ الرقم مشفّر والصور مستندات مقيَّدة (FR-PTY-004..009، FR-PTY-020..022، BR-PTY-002..008)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قائمة اكتمال KYC لكل بنك ودور (FR-PTY-023، BR-PTY-012..013، G-8، G-14)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بند اكتمال (FR-PTY-023، FR-PTY-024، G-14)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pty.KycProfileItemLegalForm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شروط ظهور البند بحسب الشكل القانوني؛ غياب الصفوف = ينطبق على الكل (G-15)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شخص أو جهة؛ لا دور مخزَّن (FR-PTY-001..003، BR-PTY-001..004، BR-PTY-016..018)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pty.PartyCompliance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إقرارات امتثال بتاريخ لكل شخص بصفته: PEP، عقوبات، تحقيقات، حصانة (G-9)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pty.PartyCustomField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قيمة حقل مخصص لشخص (FR-PTY-013، FR-PTY-014)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pty.TaxIdentity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pty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م1 · الأشخاص والهوية و KYC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الهوية الضريبية والإقرار الضريبي FATCA/CRS (G-13)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ref.Country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الدولة: مرجع عالمي للقراءة فقط يديره مشغّل المنصة (FR-CAT-026، BR-CAT-018،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ref.Currency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العملة: مرجع عالمي ISO 4217 للقراءة فقط (FR-CAT-021، Q-CAT-08)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ref.Incoterm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مصطلح تسليم Incoterms: مرجع عالمي للقراءة فقط يديره المشغّل؛ القديم LEGACY للعرض لا للاختيار (FR-LCT-013، FR-CAT-021، BR-CAT-015)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ref.UcpArticle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ref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م4 · المراجع العامة (ref)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مادة UCP 600 مرجعية: TenantId الفارغ = صف عام للقراءة فقط ينشره المشغّل وحده (FR-LCT-006، BR-LCT-018، BR-PLT-001)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sec.AppUser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مستخدم بوابة المشترك (FR-PLT-010..016، BR-PLT-004..006)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sec.ExternalIdentity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هوية خارجية OIDC/Entra بالمستخدم؛ جاهزية فقط (FR-PLT-015، §11)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sec.KeyEvent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أحداث المفاتيح: إنشاء وتدوير وإبطال (FR-PLT-037؛ شدة عالية BR-PLT-009)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sec.LoginAttempt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محاولات الدخول لخنق المعدل ونوافذ القفل؛ الأثر الدائم في aud.AuditLog (BR-PLT-005)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sec.MfaRecoveryCode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10 رموز استرداد لمرة واحدة مُجزَّأة (FR-PLT-011، BR-PLT-006؛ بديل AppUser.RecoveryCodesHash json)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sec.Permission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كتالوج الصلاحيات تملكه المنصة؛ لا يضيف المشترك صلاحية (FR-PLT-017)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دور يخصصه المشترك أو مبذور (FR-PLT-018)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sec.RolePermission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دور-صلاحية؛ PERMISSION_LOCKED يُفرض في الخدمة (BR-PLT-019)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sec.TenantKey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مفاتيح المشترك؛ المفتاح ملفوف بمفتاح رئيسي خارج القاعدة (FR-PLT-037، BR-PLT-015)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sec.UserCompanyScope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شركات يراها المستخدم؛ تُهمل إن كان CompanyScopeMode=ALL (FR-PLT-020)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sec.UserPasswordHistory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آخر 5 كلمات مرور لمنع إعادة استعمالها (BR-PLT-004)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sec.UserRole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الهوية والصلاحيات (2/2)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مستخدم-دور؛ اتحاد الصلاحيات (BR-PLT-007، FR-PLT-018)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sec.UserSession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جلسات المستخدم: خمول 30 دقيقة ومطلقة 12 ساعة (FR-PLT-014)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sec.UserToken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sec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م0 · الجلسات والمفاتيح والمحاولات (1/2)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رابط دعوة (48 ساعة) أو إعادة تعيين كلمة المرور (30 دقيقة) لمرة واحدة (FR-PLT-013)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wfl.ExternalPhase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المرحلة الظاهرة للطالب: DRAFT · IN_APPROVAL · RETURNED · AWAITING_REQUESTER · IN_PROGRESS · COMPLETED · REJECTED · CANCELLED (BR-WFL-011، D-6)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wfl.HookExecution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تنفيذ خطاف بمفتاح عدم تكرار يعيد النتيجة المخزَّنة (FR-WFL-021، BR-WFL-015)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الطلب: أكثر الجداول ازدحامًا؛ الحالة الداخلية منفصلة عن المرحلة الظاهرة (FR-WFL-001، FR-REQ-009، D-6، BR-REQ-002/003)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wfl.RequestAction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سجل إجراءات للإضافة فقط يغطي كل حدث؛ غير AuditLog الأمني (FR-WFL-033/034، §6.2)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wfl.RequestApproval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تُنشأ لكل دخول ودورة؛ الدورة الجديدة بخانات جديدة (BR-WFL-003، FR-WFL-007/008/011)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wfl.RequestAttachment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ربط مستند بطلب ينشئ DocumentLink (EntityType=Request) (FR-REQ-006، BR-REQ-005)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wfl.RequestComment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تعليق ظاهر للطالب أو داخلي؛ غير قابل للتعديل (سحب مع بقاء الأصل) (FR-REQ-017، BR-REQ-014)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wfl.RequestExternalRef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مرجع خارجي بنص حر؛ تعديل بالإحلال ويبقى التاريخ؛ بلا تحقق خارجي (FR-REQ-010، X-DAT-7، BR-REQ-006)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wfl.RequestStageInstance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دخول طلب إلى مرحلة؛ مصدر مقاييس الأزمنة والسحب والـ SLA (BR-WFL-002/007/012، §8)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تعريف نوع الطلب (FR-REQ-001، BR-REQ-001، V-REQ-01)؛ الأنواع الجديدة بلا كود (FR-REQ-021)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wfl.RequestTypeAudience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جمهور النوع: من يحق له الطلب؛ غياب الصفوف = لا أحد (فشل مغلق) (FR-REQ-007)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wfl.StageApprover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خانة موافقة في مرحلة APPROVAL؛ ALL = كل الخانات، ودور بشخصين يلزمان معًا = خانتان (FR-WFL-007/041، BR-WFL-003/004)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wfl.TemplateAttachmentRule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قاعدة مرفق على نسخة قالب (FR-REQ-006، BR-REQ-005، FR-WFL-024/025)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wfl.TemplateField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حقل في نسخة قالب يولّد النموذج بلا كود واجهة (FR-REQ-002..005، BR-REQ-003/004)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wfl.UserDelegation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الطلبات وإجراءاتها (3/3)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تفويض مهام بفترة ونطاق؛ لا تفويض متسلسل (FR-WFL-020، BR-WFL-021، V-WFL-06)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مرحلة في نسخة قالب (FR-WFL-003/004/005، BR-WFL-002/010/012)؛ حذف فعلي لمسودة النسخة فقط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wfl.WorkflowStageHook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خطاف مسجَّل بالكود على مرحلة: مفتاح ومعاملات لا كود (FR-WFL-021، BR-WFL-015، §5.4)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wfl.WorkflowTemplate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(1/3)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نسخة قالب دورة عمل؛ المنشورة ثابتة (FR-WFL-001/028، BR-WFL-019، AC-WFL-6)</w:t>
            </w:r>
          </w:p>
        </w:tc>
      </w:tr>
      <w:tr>
        <w:trPr>
          <w:cantSplit/>
        </w:trPr>
        <w:tc>
          <w:tcPr>
            <w:tcW w:type="dxa" w:w="30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Courier New" w:cs="Courier New" w:eastAsia="Courier New" w:hAnsi="Courier New"/>
                <w:b w:val="false"/>
                <w:bCs w:val="false"/>
                <w:i w:val="false"/>
                <w:iCs w:val="false"/>
                <w:sz w:val="15"/>
                <w:szCs w:val="15"/>
                <w:rtl w:val="false"/>
              </w:rPr>
              <w:t xml:space="preserve">wfl.WorkflowTransition</w:t>
            </w:r>
          </w:p>
        </w:tc>
        <w:tc>
          <w:tcPr>
            <w:tcW w:type="dxa" w:w="1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wfl</w:t>
            </w:r>
          </w:p>
        </w:tc>
        <w:tc>
          <w:tcPr>
            <w:tcW w:type="dxa" w:w="4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م6 · قوالب دورات العمل (2/3)</w:t>
            </w:r>
          </w:p>
        </w:tc>
        <w:tc>
          <w:tcPr>
            <w:tcW w:type="dxa" w:w="5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45"/>
              <w:left w:type="dxa" w:w="80"/>
              <w:bottom w:type="dxa" w:w="45"/>
              <w:right w:type="dxa" w:w="80"/>
            </w:tcMar>
            <w:vAlign w:val="center"/>
          </w:tcPr>
          <w:p>
            <w:pPr>
              <w:bidi/>
              <w:spacing w:after="0" w:before="0" w:line="252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  <w:rtl/>
              </w:rPr>
              <w:t xml:space="preserve">انتقال بين مرحلتين بشرط وأولوية؛ دورة خطية بتفرع شرطي بسيط (FR-WFL-006، BR-WFL-001، D-8)</w:t>
            </w:r>
          </w:p>
        </w:tc>
      </w:tr>
    </w:tbl>
    <w:sectPr>
      <w:headerReference w:type="default" r:id="rId7"/>
      <w:footerReference w:type="default" r:id="rId8"/>
      <w:pgSz w:w="16838" w:h="11906" w:orient="landscape"/>
      <w:pgMar w:top="1000" w:right="900" w:bottom="1000" w:left="900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6"/>
        <w:szCs w:val="16"/>
        <w:rtl/>
      </w:rPr>
      <w:t xml:space="preserve">صفحة </w:t>
    </w:r>
    <w:r>
      <w:rPr>
        <w:rFonts w:ascii="Arial" w:cs="Arial" w:eastAsia="Arial" w:hAnsi="Arial"/>
        <w:color w:val="5B6670"/>
        <w:sz w:val="16"/>
        <w:szCs w:val="16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6"/>
        <w:szCs w:val="16"/>
        <w:rtl/>
      </w:rPr>
      <w:t xml:space="preserve"> من </w:t>
    </w:r>
    <w:r>
      <w:rPr>
        <w:rFonts w:ascii="Arial" w:cs="Arial" w:eastAsia="Arial" w:hAnsi="Arial"/>
        <w:color w:val="5B6670"/>
        <w:sz w:val="16"/>
        <w:szCs w:val="16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6"/>
        <w:szCs w:val="16"/>
        <w:rtl/>
      </w:rPr>
      <w:t xml:space="preserve">مخطط علاقات جداول قاعدة البيانات · BankFas · v0.3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20"/>
      <w:outlineLvl w:val="1"/>
    </w:pPr>
    <w:rPr>
      <w:b/>
      <w:bCs/>
      <w:color w:val="2B5C8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8b9c0ec621ea7cabf6588d3f7e5cb2bf71c423d.png"/><Relationship Id="rId10" Type="http://schemas.openxmlformats.org/officeDocument/2006/relationships/image" Target="media/a4ff6d9a62c6555df386742bf7f3bd9f17b10a60.png"/><Relationship Id="rId11" Type="http://schemas.openxmlformats.org/officeDocument/2006/relationships/image" Target="media/b79bf7e556ee9fccce73945f5fa7582738653b9e.png"/><Relationship Id="rId12" Type="http://schemas.openxmlformats.org/officeDocument/2006/relationships/image" Target="media/227e92d34946866aa6913363950bf8438935e099.png"/><Relationship Id="rId13" Type="http://schemas.openxmlformats.org/officeDocument/2006/relationships/image" Target="media/4935599c5c0f3e3dd8ee79d81e75a2434f09df5b.png"/><Relationship Id="rId14" Type="http://schemas.openxmlformats.org/officeDocument/2006/relationships/image" Target="media/75aa688fc827119af42a6a7ac7a38bae08ff2847.png"/><Relationship Id="rId15" Type="http://schemas.openxmlformats.org/officeDocument/2006/relationships/image" Target="media/5d8dce999c4d46653ee8b8a0b0176dd9e80a9943.png"/><Relationship Id="rId16" Type="http://schemas.openxmlformats.org/officeDocument/2006/relationships/image" Target="media/a1e7668baf08875b2db070b292c9cb791ac4af82.png"/><Relationship Id="rId17" Type="http://schemas.openxmlformats.org/officeDocument/2006/relationships/image" Target="media/326a1b45db70c93e59a12a47cad5850093616dfb.png"/><Relationship Id="rId18" Type="http://schemas.openxmlformats.org/officeDocument/2006/relationships/image" Target="media/eab55583c3ee603db0aef400a2b09cac09a69bd6.png"/><Relationship Id="rId19" Type="http://schemas.openxmlformats.org/officeDocument/2006/relationships/image" Target="media/d3f2179fc08ce0eacd8158922885beb09b1d8d13.png"/><Relationship Id="rId20" Type="http://schemas.openxmlformats.org/officeDocument/2006/relationships/image" Target="media/c76002d011352f5395eb0b6c31f09f1d67c59208.png"/><Relationship Id="rId21" Type="http://schemas.openxmlformats.org/officeDocument/2006/relationships/image" Target="media/aa8eb0c4808e828da7507b27e8a0e0f5eed725ed.png"/><Relationship Id="rId22" Type="http://schemas.openxmlformats.org/officeDocument/2006/relationships/image" Target="media/29eb4df0aacf9c0072e337a761f788843d7a80cf.png"/><Relationship Id="rId23" Type="http://schemas.openxmlformats.org/officeDocument/2006/relationships/image" Target="media/6b1d29cc62baee06a5ba6683a9e07f069ed0d68a.png"/><Relationship Id="rId24" Type="http://schemas.openxmlformats.org/officeDocument/2006/relationships/image" Target="media/774fe46ecf3760c648c35a01cac1d50484330c0f.png"/><Relationship Id="rId25" Type="http://schemas.openxmlformats.org/officeDocument/2006/relationships/image" Target="media/c21bf5461509a6600882b3e0c661a8374c8e11e4.png"/><Relationship Id="rId26" Type="http://schemas.openxmlformats.org/officeDocument/2006/relationships/image" Target="media/2a8518d9205124dc48f849b119c8bb3c2dccc833.png"/><Relationship Id="rId27" Type="http://schemas.openxmlformats.org/officeDocument/2006/relationships/image" Target="media/54f3a13627e234fab83c57dcb066d7354ff23b92.png"/><Relationship Id="rId28" Type="http://schemas.openxmlformats.org/officeDocument/2006/relationships/image" Target="media/a7b8ed1cdeea67cf394d53d30f27f2b03d16b086.png"/><Relationship Id="rId29" Type="http://schemas.openxmlformats.org/officeDocument/2006/relationships/image" Target="media/8420ac0b2c1803dfcf9cd58aa0e458d263194aab.png"/><Relationship Id="rId30" Type="http://schemas.openxmlformats.org/officeDocument/2006/relationships/image" Target="media/cb5378df54720d21cfbfb53119ffd711e971f574.png"/><Relationship Id="rId31" Type="http://schemas.openxmlformats.org/officeDocument/2006/relationships/image" Target="media/40df921337ab0f68206da3f46edcc5b5e25bc46f.png"/><Relationship Id="rId32" Type="http://schemas.openxmlformats.org/officeDocument/2006/relationships/image" Target="media/49cb5193cf21a99ab8f6c97029a00bf1bad3271a.png"/><Relationship Id="rId33" Type="http://schemas.openxmlformats.org/officeDocument/2006/relationships/image" Target="media/0b3befb2ad45d773d831081bc7ef91c0560a8858.png"/><Relationship Id="rId34" Type="http://schemas.openxmlformats.org/officeDocument/2006/relationships/image" Target="media/bfbc43dc2641fe4ee7c54afaf0aaeeee19c85e21.png"/><Relationship Id="rId35" Type="http://schemas.openxmlformats.org/officeDocument/2006/relationships/image" Target="media/e4714e0b02fbbef0c2168f93b7b585e5d783eff7.png"/><Relationship Id="rId36" Type="http://schemas.openxmlformats.org/officeDocument/2006/relationships/image" Target="media/22eea4621d189d2ec2ce3de64049d504827489ba.png"/><Relationship Id="rId37" Type="http://schemas.openxmlformats.org/officeDocument/2006/relationships/image" Target="media/1746ffeda170d6f2fa48737447e4959fc0fa25b6.png"/><Relationship Id="rId38" Type="http://schemas.openxmlformats.org/officeDocument/2006/relationships/image" Target="media/fe6cb6bcdb0309c9078f977054070b9b819db77f.png"/><Relationship Id="rId39" Type="http://schemas.openxmlformats.org/officeDocument/2006/relationships/image" Target="media/e55c75bb4ecd61dc38405fa3aa360d66ad06b132.png"/><Relationship Id="rId40" Type="http://schemas.openxmlformats.org/officeDocument/2006/relationships/image" Target="media/93dccc242007585c67c314a8ec0d81704fe3501f.png"/><Relationship Id="rId41" Type="http://schemas.openxmlformats.org/officeDocument/2006/relationships/image" Target="media/7594685e073fdb8a74ccd9320f2451a6dce5920f.png"/><Relationship Id="rId42" Type="http://schemas.openxmlformats.org/officeDocument/2006/relationships/image" Target="media/1e2b41f142148e53cebb38d8af332c67607f10e7.png"/><Relationship Id="rId43" Type="http://schemas.openxmlformats.org/officeDocument/2006/relationships/image" Target="media/76e546e477c4da7d3bb36259438ed6a4d3726402.png"/><Relationship Id="rId44" Type="http://schemas.openxmlformats.org/officeDocument/2006/relationships/image" Target="media/c3a0a85dfa5070324f521b21415c1829c36d6b69.png"/><Relationship Id="rId45" Type="http://schemas.openxmlformats.org/officeDocument/2006/relationships/image" Target="media/63d48754eed442470525e2402aba12e000d32da3.png"/><Relationship Id="rId46" Type="http://schemas.openxmlformats.org/officeDocument/2006/relationships/image" Target="media/3056d314e3df6c0c8d907cbe57e24ad98877a280.png"/><Relationship Id="rId47" Type="http://schemas.openxmlformats.org/officeDocument/2006/relationships/image" Target="media/3734a7522653812e8f538e943ec35e349d97ca79.png"/><Relationship Id="rId48" Type="http://schemas.openxmlformats.org/officeDocument/2006/relationships/image" Target="media/719dcfc4d1a2bb585edcb893ae4bea494650a0f2.png"/><Relationship Id="rId49" Type="http://schemas.openxmlformats.org/officeDocument/2006/relationships/image" Target="media/e017a7b7068131182508c2f4a525c30806afc22f.png"/><Relationship Id="rId50" Type="http://schemas.openxmlformats.org/officeDocument/2006/relationships/image" Target="media/501b67cbb32f47b51061a57cae996b54871e0ca6.png"/><Relationship Id="rId51" Type="http://schemas.openxmlformats.org/officeDocument/2006/relationships/image" Target="media/b05732a832779ccdccd249545d5c938858ca0e1e.png"/><Relationship Id="rId52" Type="http://schemas.openxmlformats.org/officeDocument/2006/relationships/image" Target="media/3d3ae1819b4279f69d5db755b5b8f6bc6f4dd81a.png"/><Relationship Id="rId53" Type="http://schemas.openxmlformats.org/officeDocument/2006/relationships/image" Target="media/fa95c4fbc1777d8e1a9759aeb38d545017ac9934.png"/><Relationship Id="rId54" Type="http://schemas.openxmlformats.org/officeDocument/2006/relationships/image" Target="media/d5d06d0ed7e79795ab5ed0ed5dbdf50949842418.png"/><Relationship Id="rId55" Type="http://schemas.openxmlformats.org/officeDocument/2006/relationships/image" Target="media/18380ec040055fe9c8be5e4ea0af3b08a752371c.png"/><Relationship Id="rId56" Type="http://schemas.openxmlformats.org/officeDocument/2006/relationships/image" Target="media/494c0f4a1326e3bbc19667850012a84e52403045.png"/><Relationship Id="rId57" Type="http://schemas.openxmlformats.org/officeDocument/2006/relationships/image" Target="media/15ac141eb719e146a34df32de179502fa6708f6b.png"/><Relationship Id="rId58" Type="http://schemas.openxmlformats.org/officeDocument/2006/relationships/image" Target="media/d539d1be88e22a9ddb39b43fe087de6d95fef4aa.png"/><Relationship Id="rId59" Type="http://schemas.openxmlformats.org/officeDocument/2006/relationships/image" Target="media/09368cda492b936db6677c2a6c96bffed20e68eb.png"/><Relationship Id="rId60" Type="http://schemas.openxmlformats.org/officeDocument/2006/relationships/image" Target="media/32e4178cfcb0982981bc4df131be60ca723fa475.png"/><Relationship Id="rId61" Type="http://schemas.openxmlformats.org/officeDocument/2006/relationships/image" Target="media/7300a75f1e07f1ea9aec9b51ff08678436fe43ba.png"/><Relationship Id="rId62" Type="http://schemas.openxmlformats.org/officeDocument/2006/relationships/image" Target="media/96ebc6fa69822558c7c239d6a27c23f8a70b39d4.png"/><Relationship Id="rId63" Type="http://schemas.openxmlformats.org/officeDocument/2006/relationships/image" Target="media/29590e30561ea7b950cc1ca528df7a1885be854b.png"/><Relationship Id="rId64" Type="http://schemas.openxmlformats.org/officeDocument/2006/relationships/image" Target="media/3d0a1a9c12b91c01a9497500291826abcc49c78f.png"/><Relationship Id="rId65" Type="http://schemas.openxmlformats.org/officeDocument/2006/relationships/image" Target="media/a02c00607918550f1f61517f8a2eb4de37cf32d5.png"/><Relationship Id="rId66" Type="http://schemas.openxmlformats.org/officeDocument/2006/relationships/image" Target="media/b0939dc5f64d9418898980eb654a0547e53d205d.png"/><Relationship Id="rId67" Type="http://schemas.openxmlformats.org/officeDocument/2006/relationships/image" Target="media/368e9e663052afe531e6f34bcab0039696a53eac.png"/><Relationship Id="rId68" Type="http://schemas.openxmlformats.org/officeDocument/2006/relationships/image" Target="media/28008c047449f9746a9aa50dd1b9bb9a9385f222.png"/><Relationship Id="rId69" Type="http://schemas.openxmlformats.org/officeDocument/2006/relationships/image" Target="media/c07c181f6bb574f7b888c1c4f10db1da4b196022.png"/><Relationship Id="rId7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مخطط علاقات جداول قاعدة البيانات</dc:title>
  <dc:creator>Claude</dc:creator>
  <dc:description>مخطط علاقات جداول قاعدة البيانات — BankFas</dc:description>
  <cp:lastModifiedBy>Un-named</cp:lastModifiedBy>
  <cp:revision>1</cp:revision>
  <dcterms:created xsi:type="dcterms:W3CDTF">2026-10-11T01:54:11.502Z</dcterms:created>
  <dcterms:modified xsi:type="dcterms:W3CDTF">2026-10-11T01:54:11.503Z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