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2026-10-13</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79">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04">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18">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42">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62">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481">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499">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12">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194 جدولًا (tools/dbgen/erd_open_items.py:22)؛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لـ29 عمودًا مقيّدًا (db/generated/tsql/006_sensitive_columns.sql:7-35)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إلا لمسار الدعم (DQ-F01-2، DQ-F01-7)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2350"/>
        <w:gridCol w:w="4600"/>
        <w:gridCol w:w="194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غير منفّذ: لا إجراء يتحقق من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(O-12 في 20-database-design)</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286"/>
        <w:gridCol w:w="4863"/>
        <w:gridCol w:w="114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29 عمودًا.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(db/generated/tsql/006_sensitive_columns.sql:7-35).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23 عمودًا موسومًا،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‎pty.TaxIdentity.TaxNumber‎</w:t>
            </w:r>
            <w:r>
              <w:rPr>
                <w:rFonts w:ascii="Arial" w:cs="Arial" w:eastAsia="Arial" w:hAnsi="Arial"/>
                <w:b w:val="false"/>
                <w:bCs w:val="false"/>
                <w:sz w:val="18"/>
                <w:szCs w:val="18"/>
                <w:rtl/>
              </w:rPr>
              <w:t xml:space="preserve"> وVatNumber عبر </w:t>
            </w:r>
            <w:r>
              <w:rPr>
                <w:rFonts w:ascii="Courier New" w:cs="Courier New" w:eastAsia="Courier New" w:hAnsi="Courier New"/>
                <w:b w:val="false"/>
                <w:bCs w:val="false"/>
                <w:color w:val="1F2937"/>
                <w:sz w:val="16"/>
                <w:szCs w:val="16"/>
                <w:shd w:fill="F1F3F5" w:color="auto" w:val="clear"/>
                <w:rtl/>
              </w:rPr>
              <w:t xml:space="preserve">‎org.v_CompanyTaxIdentity‎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 لا نسخة في </w:t>
            </w: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(حُذفت)</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(ADR 0011)</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932"/>
        <w:gridCol w:w="3334"/>
        <w:gridCol w:w="1066"/>
        <w:gridCol w:w="1466"/>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بصيغة DQ-F12-11: لا يُنسخ شيء، وقيد يمنع قيمة IBAN في سطور المقارنة، والأعمدة الثلاثة موسومة سرّية؛ خدمة المقارنة قبل S3. المقترح الأصلي: 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جزئيًا (ADR 0011): الوسم السرّي ومنع القراءة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على النص الأصلي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الحجب عند الإدخال قبل S2 (DQ-S06-7). المقترح: 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حُذف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ويُقرأ الرقمان من الهوية الضريبية الحالية للمرآة في دولة التأسيس عبر </w:t>
            </w:r>
            <w:r>
              <w:rPr>
                <w:rFonts w:ascii="Courier New" w:cs="Courier New" w:eastAsia="Courier New" w:hAnsi="Courier New"/>
                <w:b w:val="false"/>
                <w:bCs w:val="false"/>
                <w:color w:val="1F2937"/>
                <w:sz w:val="16"/>
                <w:szCs w:val="16"/>
                <w:shd w:fill="F1F3F5" w:color="auto" w:val="clear"/>
                <w:rtl/>
              </w:rPr>
              <w:t xml:space="preserve">‎org.v_CompanyTaxIdentity‎</w:t>
            </w:r>
            <w:r>
              <w:rPr>
                <w:rFonts w:ascii="Arial" w:cs="Arial" w:eastAsia="Arial" w:hAnsi="Arial"/>
                <w:b w:val="false"/>
                <w:bCs w:val="false"/>
                <w:sz w:val="18"/>
                <w:szCs w:val="18"/>
                <w:rtl/>
              </w:rPr>
              <w:t xml:space="preserve">. المقترح: 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7"/>
        <w:gridCol w:w="1384"/>
        <w:gridCol w:w="1557"/>
        <w:gridCol w:w="1384"/>
        <w:gridCol w:w="1211"/>
        <w:gridCol w:w="1211"/>
      </w:tblGrid>
      <w:tr>
        <w:trPr>
          <w:cantSplit/>
          <w:tblHeader/>
        </w:trPr>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يُسجَّل في sec.LoginAttempt، وينسخه قادح إلى aud.AuditLog منذ ADR 0007 (DQ-F03-10)، وكذلك فك القفل وتغيير الحالة وإعادة MFA التي يكتبها إجراء كل منها.</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الصلاحيات في §3 مبذورة في db/seed/102_permissions.sql مع رموز DOC-F09، 138 رمزًا (DQ-F07-1). والترقيم في UC-PLT-18 وUC-PLT-19 منفّذ في القاعدة (docs/adr/0005-document-numbering-and-reference-seeds.md):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داخل معاملة الكتابة بلا فجوات، و</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بسبب إلزامي، وفحص النمط عند حفظ التعريف (50031)؛ وتمر الاختبارات N1 إلى N8 وفحص التزامن في CI.</w:t>
      </w: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تعريف </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1"/>
          <w:szCs w:val="21"/>
          <w:rtl/>
        </w:rPr>
        <w:t xml:space="preserve"> بسياسة ALLOW_GAPS: يُرفض (50031)، لأن أرقام الطلبات والبروفورما بلا فجوات بقرار المالك (DQ-B02-4، O-12 في erd_open_items، ADR 0005).</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رقم من سلسلة بلا فجوات خارج معاملة: يُرفض (50029)، لأن رقمًا يلتزم وحده يترك فجوة إن فشلت كتابة الكيان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سلسلة على مستوى الشركة بلا شركة، أو بوسم </w:t>
      </w:r>
      <w:r>
        <w:rPr>
          <w:rFonts w:ascii="Courier New" w:cs="Courier New" w:eastAsia="Courier New" w:hAnsi="Courier New"/>
          <w:b w:val="false"/>
          <w:bCs w:val="false"/>
          <w:color w:val="1F2937"/>
          <w:sz w:val="18"/>
          <w:szCs w:val="18"/>
          <w:shd w:fill="F1F3F5" w:color="auto" w:val="clear"/>
          <w:rtl/>
        </w:rPr>
        <w:t xml:space="preserve">‎{erp}‎</w:t>
      </w:r>
      <w:r>
        <w:rPr>
          <w:rFonts w:ascii="Arial" w:cs="Arial" w:eastAsia="Arial" w:hAnsi="Arial"/>
          <w:b w:val="false"/>
          <w:bCs w:val="false"/>
          <w:sz w:val="21"/>
          <w:szCs w:val="21"/>
          <w:rtl/>
        </w:rPr>
        <w:t xml:space="preserve"> لشركة بلا رمز ERP: يُرفض (50030).</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 تصدير ثانٍ قبل انتهاء الأول: يُرفض (50035)؛ جانب القاعدة منفّذ ويعمل في SUSPENDED وCLOSED خلال النافذة (ADR 0008)</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3144"/>
        <w:gridCol w:w="1876"/>
        <w:gridCol w:w="1582"/>
        <w:gridCol w:w="1812"/>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 تعديل بنود نسخة فعّالة أو مسحوبة أو إعادتها مسودة: يُرفض (50033)، والتعديل نسخة جديدة (ADR 0006)</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RequestStageInstance.ExitAction مع قيد يجعله يُنهي المثيل DONE؛ المثيل المفتوح للمرحلة النهائية يسمح به القيد القائم. المقترح: 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«تحت الإجراء» في المواصفة 13 ووثيقة التصميم وDOC-B10. المقترح: 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حُلّت البنود 1 إلى 8 في 2026-10-13</w:t>
      </w:r>
      <w:r>
        <w:rPr>
          <w:rFonts w:ascii="Arial" w:cs="Arial" w:eastAsia="Arial" w:hAnsi="Arial"/>
          <w:b w:val="false"/>
          <w:bCs w:val="false"/>
          <w:sz w:val="21"/>
          <w:szCs w:val="21"/>
          <w:rtl/>
        </w:rPr>
        <w:t xml:space="preserve"> بتعديل المواصفة 13 (BR-WFL-027، FR-WFL-042، الصف 29 في مصفوفة الصلاحيات، مخطط §8، تدفق F-WFL-1، كتالوج الأحداث)، وبإضافة CLOSE إلى </w:t>
      </w:r>
      <w:r>
        <w:rPr>
          <w:rFonts w:ascii="Courier New" w:cs="Courier New" w:eastAsia="Courier New" w:hAnsi="Courier New"/>
          <w:b w:val="false"/>
          <w:bCs w:val="false"/>
          <w:color w:val="1F2937"/>
          <w:sz w:val="18"/>
          <w:szCs w:val="18"/>
          <w:shd w:fill="F1F3F5" w:color="auto" w:val="clear"/>
          <w:rtl/>
        </w:rPr>
        <w:t xml:space="preserve">‎ExitAction‎</w:t>
      </w:r>
      <w:r>
        <w:rPr>
          <w:rFonts w:ascii="Arial" w:cs="Arial" w:eastAsia="Arial" w:hAnsi="Arial"/>
          <w:b w:val="false"/>
          <w:bCs w:val="false"/>
          <w:sz w:val="21"/>
          <w:szCs w:val="21"/>
          <w:rtl/>
        </w:rPr>
        <w:t xml:space="preserve">، وبتوحيد التسمية «تحت الإجراء». أرقام الأسطر أدناه تصف المصادر قبل التعديل.</w:t>
      </w:r>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وأُغلق آخر ما بقي من O-24 (R6) بـ ADR 0007 (2026-10-13): كل محاولة دخول تُنسخ إلى aud.AuditLog، فحذف صفوف sec.LoginAttempt لا يمحو الأثر (THR-30، الاختبار AU2).</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914"/>
        <w:gridCol w:w="2648"/>
        <w:gridCol w:w="3560"/>
        <w:gridCol w:w="914"/>
        <w:gridCol w:w="914"/>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5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الدعم غير منفّذ (DOC-F01 G-03)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دعم عبر TB-3 بدور بلا صلاحيات حساسة (DQ-F01-7)</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قادح ينسخ كل محاولة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فحذف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للمحاولات (db/generated/tsql/005_delete_grants.sql:11) لا يمحو الأثر</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931"/>
        <w:gridCol w:w="4732"/>
        <w:gridCol w:w="1107"/>
        <w:gridCol w:w="1232"/>
        <w:gridCol w:w="931"/>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4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 النشر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عضو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 (ADR 0010)؛ ولا أداة تثق بأي شهادة من تلقاء نفسها، ويحرس CI ذلك (ADR 0013، DQ-S05-7)</w:t>
            </w:r>
          </w:p>
        </w:tc>
        <w:tc>
          <w:tcPr>
            <w:tcW w:type="dxa" w:w="1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باقٍ في الغلاف (DQ-S11-6)؛ سكربت معدّل يعني سيطرة كاملة</w:t>
            </w:r>
          </w:p>
        </w:tc>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4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1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939"/>
        <w:gridCol w:w="3904"/>
        <w:gridCol w:w="1853"/>
        <w:gridCol w:w="1290"/>
        <w:gridCol w:w="939"/>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التدقيق وتنبيهاته منفّذة بـ ADR 0012، والشحن ينتظر DQ-S12-1)؛ مرساة دورية للسلسلة</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مقترحة RPO ≤ 15 دقيقة وRTO ≤ 4 ساعات (docs/10-detailed-analysis/00-overview-and-cross-cutting.md:169)</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منفّذة (O-14 في 20-database-design)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3946"/>
        <w:gridCol w:w="959"/>
        <w:gridCol w:w="959"/>
        <w:gridCol w:w="1239"/>
        <w:gridCol w:w="959"/>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مغلق بـ ADR 0007 (DQ-F03-10)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572"/>
        <w:gridCol w:w="4434"/>
        <w:gridCol w:w="1143"/>
        <w:gridCol w:w="1572"/>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وتنبيهات AL-18؛ الشحن ينتظر DQ-S12-1 وDQ-S12-2</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لم تُبنَ بعد، والإجراءات تستعمل قيم المنصة (30 دقيقة و12 ساعة).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‎tools/dbgen/check_deployed.py‎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CI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عاد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في أي منها.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النشر الإنتاجي يتحقق من شهادة الخادم واسمها دون تعريف شيء.</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 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2263"/>
        <w:gridCol w:w="3075"/>
        <w:gridCol w:w="1131"/>
        <w:gridCol w:w="1940"/>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في كل أدوات النشر و</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ويحرسه CI</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13"/>
        <w:gridCol w:w="1625"/>
        <w:gridCol w:w="1768"/>
        <w:gridCol w:w="2982"/>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شرط دخول S2. المقترح: نعم، بنمط IBAN وطول الحساب، مع إبقاء الأصل في المستند</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الحجب عند الإدخال (S2) وحذف الرقم الضريبي (S1) وخدمة المقارنة (S3) شروط دخول</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647700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إسقاط 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ينتظر شهادة موثوقة (O-08 في tools/dbgen/erd_open_items.py:55-60،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على خادم القاعدة يملكه الجذر وصلاحيته 0600، 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النشر</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النشر عبر </w:t>
            </w:r>
            <w:r>
              <w:rPr>
                <w:rFonts w:ascii="Courier New" w:cs="Courier New" w:eastAsia="Courier New" w:hAnsi="Courier New"/>
                <w:b w:val="false"/>
                <w:bCs w:val="false"/>
                <w:color w:val="1F2937"/>
                <w:sz w:val="16"/>
                <w:szCs w:val="16"/>
                <w:shd w:fill="F1F3F5" w:color="auto" w:val="clear"/>
                <w:rtl/>
              </w:rPr>
              <w:t xml:space="preserve">‎sudo‎</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كما في db/deploy.sql:9، فتبقى في تاريخ الصدفة وقائمة العمليات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3196"/>
        <w:gridCol w:w="2810"/>
        <w:gridCol w:w="2874"/>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29 عمودًا مقيّدًا (db/generated/tsql/006_sensitive_columns.sql:7-35)</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Arial" w:cs="Arial" w:eastAsia="Arial" w:hAnsi="Arial"/>
          <w:b w:val="false"/>
          <w:bCs w:val="false"/>
          <w:sz w:val="21"/>
          <w:szCs w:val="21"/>
          <w:rtl/>
        </w:rPr>
        <w:t xml:space="preserve">db/deploy.sql:9 يمرر كلمة المرور في سطر الأوامر في مثاله، وهذا يخالف القاعدة في §5.</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المقترحة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2391"/>
        <w:gridCol w:w="5680"/>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56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 (O-14، 20-database-design)</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56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DOC-B01 — استراتيجية الاختبار وخطته</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60" w:id="360"/>
      <w:r>
        <w:rPr>
          <w:rFonts w:ascii="Arial" w:cs="Arial" w:eastAsia="Arial" w:hAnsi="Arial"/>
          <w:b/>
          <w:bCs/>
          <w:color w:val="2B5C8A"/>
          <w:sz w:val="26"/>
          <w:szCs w:val="26"/>
          <w:rtl/>
        </w:rPr>
        <w:t xml:space="preserve">2. ما يوجد اليوم</w:t>
      </w:r>
      <w:bookmarkEnd w:id="360"/>
    </w:p>
    <w:p>
      <w:pPr>
        <w:pStyle w:val="Heading3"/>
        <w:bidi/>
      </w:pPr>
      <w:bookmarkStart w:name="_sec361" w:id="361"/>
      <w:r>
        <w:rPr>
          <w:rFonts w:ascii="Arial" w:cs="Arial" w:eastAsia="Arial" w:hAnsi="Arial"/>
          <w:b/>
          <w:bCs/>
          <w:color w:val="2B5C8A"/>
          <w:sz w:val="23"/>
          <w:szCs w:val="23"/>
          <w:rtl/>
        </w:rPr>
        <w:t xml:space="preserve">2.1 خط CI لقاعدة البيانات</w:t>
      </w:r>
      <w:bookmarkEnd w:id="361"/>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ملف الخط نفسه (السطور 7-20)، ويمكن تشغيله يدويًا (السطر 21)، وينفّذ أوامره داخل treasury-platform/ (السطور 26-28)، على ubuntu-24.04 (السطر 32) مع حاوية mcr.microsoft.com/mssql/server:2025-latest (السطر 37). يثبّت Pillow (pillow==12.3.0، السطور 57-59)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كلها، 6 حالات للمشغّلات و41 حالة عزل؛ والتشغيل الذي سبقه، قبل خطوة Pillow، فشل في الخطوة 3 (التشغيل 38267525934) (O-02، tools/dbgen/erd_open_items.py:22؛ docs/adr/0001-schema-work-on-linux.md:11). والسكربت tools/ci/db_ci.sh نفسه يمر كاملًا في حاوية التطوير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053"/>
        <w:gridCol w:w="540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6 سطور PASS بالضبط</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tools/ci/db_ci.sh:59-74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41 سطر PASS بالضبط</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tools/ci/db_ci.sh:75-92</w:t>
            </w:r>
          </w:p>
        </w:tc>
      </w:tr>
    </w:tbl>
    <w:p>
      <w:pPr>
        <w:bidi/>
        <w:spacing w:after="120" w:before="0"/>
      </w:pPr>
    </w:p>
    <w:p>
      <w:pPr>
        <w:pStyle w:val="Heading3"/>
        <w:bidi/>
      </w:pPr>
      <w:bookmarkStart w:name="_sec362" w:id="362"/>
      <w:r>
        <w:rPr>
          <w:rFonts w:ascii="Arial" w:cs="Arial" w:eastAsia="Arial" w:hAnsi="Arial"/>
          <w:b/>
          <w:bCs/>
          <w:color w:val="2B5C8A"/>
          <w:sz w:val="23"/>
          <w:szCs w:val="23"/>
          <w:rtl/>
        </w:rPr>
        <w:t xml:space="preserve">2.2 اختبارات قاعدة البيانات</w:t>
      </w:r>
      <w:bookmarkEnd w:id="362"/>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41 حالة (T1 إلى T38 مع T8b وT16b وT16c، tools/ci/db_ci.sh:87-88).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6 حالات لقاعدة حصص المقرضين V-FAC-02 (السطور 47 و70 و93 و113 و135 و150)، كل حالة في معاملتها (السطور 5-7).</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63" w:id="363"/>
      <w:r>
        <w:rPr>
          <w:rFonts w:ascii="Arial" w:cs="Arial" w:eastAsia="Arial" w:hAnsi="Arial"/>
          <w:b/>
          <w:bCs/>
          <w:color w:val="2B5C8A"/>
          <w:sz w:val="23"/>
          <w:szCs w:val="23"/>
          <w:rtl/>
        </w:rPr>
        <w:t xml:space="preserve">2.3 التحقق الثابت</w:t>
      </w:r>
      <w:bookmarkEnd w:id="3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64" w:id="364"/>
      <w:r>
        <w:rPr>
          <w:rFonts w:ascii="Arial" w:cs="Arial" w:eastAsia="Arial" w:hAnsi="Arial"/>
          <w:b/>
          <w:bCs/>
          <w:color w:val="2B5C8A"/>
          <w:sz w:val="23"/>
          <w:szCs w:val="23"/>
          <w:rtl/>
        </w:rPr>
        <w:t xml:space="preserve">2.4 الفجوات</w:t>
      </w:r>
      <w:bookmarkEnd w:id="364"/>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58"/>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58"/>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58"/>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58"/>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5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65" w:id="365"/>
      <w:r>
        <w:rPr>
          <w:rFonts w:ascii="Arial" w:cs="Arial" w:eastAsia="Arial" w:hAnsi="Arial"/>
          <w:b/>
          <w:bCs/>
          <w:color w:val="2B5C8A"/>
          <w:sz w:val="26"/>
          <w:szCs w:val="26"/>
          <w:rtl/>
        </w:rPr>
        <w:t xml:space="preserve">3. مستويات الاختبار</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66" w:id="366"/>
      <w:r>
        <w:rPr>
          <w:rFonts w:ascii="Arial" w:cs="Arial" w:eastAsia="Arial" w:hAnsi="Arial"/>
          <w:b/>
          <w:bCs/>
          <w:color w:val="2B5C8A"/>
          <w:sz w:val="26"/>
          <w:szCs w:val="26"/>
          <w:rtl/>
        </w:rPr>
        <w:t xml:space="preserve">4. بيئات الاختبار</w:t>
      </w:r>
      <w:bookmarkEnd w:id="3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67" w:id="367"/>
      <w:r>
        <w:rPr>
          <w:rFonts w:ascii="Arial" w:cs="Arial" w:eastAsia="Arial" w:hAnsi="Arial"/>
          <w:b/>
          <w:bCs/>
          <w:color w:val="2B5C8A"/>
          <w:sz w:val="26"/>
          <w:szCs w:val="26"/>
          <w:rtl/>
        </w:rPr>
        <w:t xml:space="preserve">5. معايير الدخول والخروج</w:t>
      </w:r>
      <w:bookmarkEnd w:id="367"/>
    </w:p>
    <w:p>
      <w:pPr>
        <w:pStyle w:val="Heading3"/>
        <w:bidi/>
      </w:pPr>
      <w:bookmarkStart w:name="_sec368" w:id="368"/>
      <w:r>
        <w:rPr>
          <w:rFonts w:ascii="Arial" w:cs="Arial" w:eastAsia="Arial" w:hAnsi="Arial"/>
          <w:b/>
          <w:bCs/>
          <w:color w:val="2B5C8A"/>
          <w:sz w:val="23"/>
          <w:szCs w:val="23"/>
          <w:rtl/>
        </w:rPr>
        <w:t xml:space="preserve">5.1 الشريحة S0</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69" w:id="369"/>
      <w:r>
        <w:rPr>
          <w:rFonts w:ascii="Arial" w:cs="Arial" w:eastAsia="Arial" w:hAnsi="Arial"/>
          <w:b/>
          <w:bCs/>
          <w:color w:val="2B5C8A"/>
          <w:sz w:val="23"/>
          <w:szCs w:val="23"/>
          <w:rtl/>
        </w:rPr>
        <w:t xml:space="preserve">5.2 الشريحة S1</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70" w:id="370"/>
      <w:r>
        <w:rPr>
          <w:rFonts w:ascii="Arial" w:cs="Arial" w:eastAsia="Arial" w:hAnsi="Arial"/>
          <w:b/>
          <w:bCs/>
          <w:color w:val="2B5C8A"/>
          <w:sz w:val="23"/>
          <w:szCs w:val="23"/>
          <w:rtl/>
        </w:rPr>
        <w:t xml:space="preserve">5.3 الشريحة S2</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6. اختبار خروج S0</w:t>
      </w:r>
      <w:bookmarkEnd w:id="371"/>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72" w:id="372"/>
      <w:r>
        <w:rPr>
          <w:rFonts w:ascii="Arial" w:cs="Arial" w:eastAsia="Arial" w:hAnsi="Arial"/>
          <w:b/>
          <w:bCs/>
          <w:color w:val="2B5C8A"/>
          <w:sz w:val="26"/>
          <w:szCs w:val="26"/>
          <w:rtl/>
        </w:rPr>
        <w:t xml:space="preserve">7. شدة العيوب وفرزها</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73" w:id="373"/>
      <w:r>
        <w:rPr>
          <w:rFonts w:ascii="Arial" w:cs="Arial" w:eastAsia="Arial" w:hAnsi="Arial"/>
          <w:b/>
          <w:bCs/>
          <w:color w:val="2B5C8A"/>
          <w:sz w:val="26"/>
          <w:szCs w:val="26"/>
          <w:rtl/>
        </w:rPr>
        <w:t xml:space="preserve">8. قواعد بيانات الاختبار</w:t>
      </w:r>
      <w:bookmarkEnd w:id="373"/>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59"/>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59"/>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59"/>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74" w:id="374"/>
      <w:r>
        <w:rPr>
          <w:rFonts w:ascii="Arial" w:cs="Arial" w:eastAsia="Arial" w:hAnsi="Arial"/>
          <w:b/>
          <w:bCs/>
          <w:color w:val="2B5C8A"/>
          <w:sz w:val="26"/>
          <w:szCs w:val="26"/>
          <w:rtl/>
        </w:rPr>
        <w:t xml:space="preserve">9. تسجيل النتائج والتتبع</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75" w:id="375"/>
      <w:r>
        <w:rPr>
          <w:rFonts w:ascii="Arial" w:cs="Arial" w:eastAsia="Arial" w:hAnsi="Arial"/>
          <w:b/>
          <w:bCs/>
          <w:color w:val="2B5C8A"/>
          <w:sz w:val="26"/>
          <w:szCs w:val="26"/>
          <w:rtl/>
        </w:rPr>
        <w:t xml:space="preserve">10. جدول الاختبار لكل شريحة</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11. القرارات المطلوبة</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5583"/>
        <w:gridCol w:w="1395"/>
        <w:gridCol w:w="962"/>
        <w:gridCol w:w="962"/>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12. تعارضات وفجوات في المصادر</w:t>
      </w:r>
      <w:bookmarkEnd w:id="377"/>
    </w:p>
    <w:p>
      <w:pPr>
        <w:pStyle w:val="ListParagraph"/>
        <w:numPr>
          <w:ilvl w:val="0"/>
          <w:numId w:val="60"/>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0"/>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0"/>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0"/>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0"/>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78" w:id="378"/>
      <w:r>
        <w:rPr>
          <w:rFonts w:ascii="Arial" w:cs="Arial" w:eastAsia="Arial" w:hAnsi="Arial"/>
          <w:b/>
          <w:bCs/>
          <w:color w:val="2B5C8A"/>
          <w:sz w:val="26"/>
          <w:szCs w:val="26"/>
          <w:rtl/>
        </w:rPr>
        <w:t xml:space="preserve">13. التتبع</w:t>
      </w:r>
      <w:bookmarkEnd w:id="3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79" w:id="379"/>
      <w:r>
        <w:rPr>
          <w:rFonts w:ascii="Arial" w:cs="Arial" w:eastAsia="Arial" w:hAnsi="Arial"/>
          <w:b/>
          <w:bCs/>
          <w:color w:val="1F3A5F"/>
          <w:sz w:val="32"/>
          <w:szCs w:val="32"/>
          <w:rtl/>
        </w:rPr>
        <w:t xml:space="preserve">DOC-B02 — سجل سيناريوهات القبول للشريحتين S0 وS1</w:t>
      </w:r>
      <w:bookmarkEnd w:id="3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2"/>
        <w:bidi/>
      </w:pPr>
      <w:bookmarkStart w:name="_sec380" w:id="380"/>
      <w:r>
        <w:rPr>
          <w:rFonts w:ascii="Arial" w:cs="Arial" w:eastAsia="Arial" w:hAnsi="Arial"/>
          <w:b/>
          <w:bCs/>
          <w:color w:val="2B5C8A"/>
          <w:sz w:val="26"/>
          <w:szCs w:val="26"/>
          <w:rtl/>
        </w:rPr>
        <w:t xml:space="preserve">1. الغرض والنطاق</w:t>
      </w:r>
      <w:bookmarkEnd w:id="380"/>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381" w:id="381"/>
      <w:r>
        <w:rPr>
          <w:rFonts w:ascii="Arial" w:cs="Arial" w:eastAsia="Arial" w:hAnsi="Arial"/>
          <w:b/>
          <w:bCs/>
          <w:color w:val="2B5C8A"/>
          <w:sz w:val="26"/>
          <w:szCs w:val="26"/>
          <w:rtl/>
        </w:rPr>
        <w:t xml:space="preserve">2. السجل</w:t>
      </w:r>
      <w:bookmarkEnd w:id="381"/>
    </w:p>
    <w:p>
      <w:pPr>
        <w:pStyle w:val="Heading3"/>
        <w:bidi/>
      </w:pPr>
      <w:bookmarkStart w:name="_sec382" w:id="382"/>
      <w:r>
        <w:rPr>
          <w:rFonts w:ascii="Arial" w:cs="Arial" w:eastAsia="Arial" w:hAnsi="Arial"/>
          <w:b/>
          <w:bCs/>
          <w:color w:val="2B5C8A"/>
          <w:sz w:val="23"/>
          <w:szCs w:val="23"/>
          <w:rtl/>
        </w:rPr>
        <w:t xml:space="preserve">2.1 سيناريوهات قائمة داخل النطاق</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383" w:id="383"/>
      <w:r>
        <w:rPr>
          <w:rFonts w:ascii="Arial" w:cs="Arial" w:eastAsia="Arial" w:hAnsi="Arial"/>
          <w:b/>
          <w:bCs/>
          <w:color w:val="2B5C8A"/>
          <w:sz w:val="23"/>
          <w:szCs w:val="23"/>
          <w:rtl/>
        </w:rPr>
        <w:t xml:space="preserve">2.2 سيناريوهات جديدة</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384" w:id="384"/>
      <w:r>
        <w:rPr>
          <w:rFonts w:ascii="Arial" w:cs="Arial" w:eastAsia="Arial" w:hAnsi="Arial"/>
          <w:b/>
          <w:bCs/>
          <w:color w:val="2B5C8A"/>
          <w:sz w:val="26"/>
          <w:szCs w:val="26"/>
          <w:rtl/>
        </w:rPr>
        <w:t xml:space="preserve">3. نصوص السيناريوهات الجديدة</w:t>
      </w:r>
      <w:bookmarkEnd w:id="384"/>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385" w:id="385"/>
      <w:r>
        <w:rPr>
          <w:rFonts w:ascii="Arial" w:cs="Arial" w:eastAsia="Arial" w:hAnsi="Arial"/>
          <w:b/>
          <w:bCs/>
          <w:color w:val="2B5C8A"/>
          <w:sz w:val="23"/>
          <w:szCs w:val="23"/>
          <w:rtl/>
        </w:rPr>
        <w:t xml:space="preserve">3.1 المنصة (PLT)</w:t>
      </w:r>
      <w:bookmarkEnd w:id="385"/>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386" w:id="386"/>
      <w:r>
        <w:rPr>
          <w:rFonts w:ascii="Arial" w:cs="Arial" w:eastAsia="Arial" w:hAnsi="Arial"/>
          <w:b/>
          <w:bCs/>
          <w:color w:val="2B5C8A"/>
          <w:sz w:val="23"/>
          <w:szCs w:val="23"/>
          <w:rtl/>
        </w:rPr>
        <w:t xml:space="preserve">3.2 الهيكل المؤسسي (ORG)</w:t>
      </w:r>
      <w:bookmarkEnd w:id="386"/>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387" w:id="387"/>
      <w:r>
        <w:rPr>
          <w:rFonts w:ascii="Arial" w:cs="Arial" w:eastAsia="Arial" w:hAnsi="Arial"/>
          <w:b/>
          <w:bCs/>
          <w:color w:val="2B5C8A"/>
          <w:sz w:val="23"/>
          <w:szCs w:val="23"/>
          <w:rtl/>
        </w:rPr>
        <w:t xml:space="preserve">3.3 الأشخاص والجهات (PTY)</w:t>
      </w:r>
      <w:bookmarkEnd w:id="387"/>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388" w:id="388"/>
      <w:r>
        <w:rPr>
          <w:rFonts w:ascii="Arial" w:cs="Arial" w:eastAsia="Arial" w:hAnsi="Arial"/>
          <w:b/>
          <w:bCs/>
          <w:color w:val="2B5C8A"/>
          <w:sz w:val="23"/>
          <w:szCs w:val="23"/>
          <w:rtl/>
        </w:rPr>
        <w:t xml:space="preserve">3.4 المنشآت المالية (INS)</w:t>
      </w:r>
      <w:bookmarkEnd w:id="388"/>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389" w:id="389"/>
      <w:r>
        <w:rPr>
          <w:rFonts w:ascii="Arial" w:cs="Arial" w:eastAsia="Arial" w:hAnsi="Arial"/>
          <w:b/>
          <w:bCs/>
          <w:color w:val="2B5C8A"/>
          <w:sz w:val="23"/>
          <w:szCs w:val="23"/>
          <w:rtl/>
        </w:rPr>
        <w:t xml:space="preserve">3.5 الحسابات (ACC)</w:t>
      </w:r>
      <w:bookmarkEnd w:id="389"/>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390" w:id="390"/>
      <w:r>
        <w:rPr>
          <w:rFonts w:ascii="Arial" w:cs="Arial" w:eastAsia="Arial" w:hAnsi="Arial"/>
          <w:b/>
          <w:bCs/>
          <w:color w:val="2B5C8A"/>
          <w:sz w:val="23"/>
          <w:szCs w:val="23"/>
          <w:rtl/>
        </w:rPr>
        <w:t xml:space="preserve">3.6 الكتالوجات (CAT)</w:t>
      </w:r>
      <w:bookmarkEnd w:id="390"/>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391" w:id="391"/>
      <w:r>
        <w:rPr>
          <w:rFonts w:ascii="Arial" w:cs="Arial" w:eastAsia="Arial" w:hAnsi="Arial"/>
          <w:b/>
          <w:bCs/>
          <w:color w:val="2B5C8A"/>
          <w:sz w:val="23"/>
          <w:szCs w:val="23"/>
          <w:rtl/>
        </w:rPr>
        <w:t xml:space="preserve">3.7 الإشعارات (NTF)</w:t>
      </w:r>
      <w:bookmarkEnd w:id="391"/>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392" w:id="392"/>
      <w:r>
        <w:rPr>
          <w:rFonts w:ascii="Arial" w:cs="Arial" w:eastAsia="Arial" w:hAnsi="Arial"/>
          <w:b/>
          <w:bCs/>
          <w:color w:val="2B5C8A"/>
          <w:sz w:val="26"/>
          <w:szCs w:val="26"/>
          <w:rtl/>
        </w:rPr>
        <w:t xml:space="preserve">4. معايير الخروج المرتبطة</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393" w:id="393"/>
      <w:r>
        <w:rPr>
          <w:rFonts w:ascii="Arial" w:cs="Arial" w:eastAsia="Arial" w:hAnsi="Arial"/>
          <w:b/>
          <w:bCs/>
          <w:color w:val="2B5C8A"/>
          <w:sz w:val="26"/>
          <w:szCs w:val="26"/>
          <w:rtl/>
        </w:rPr>
        <w:t xml:space="preserve">5. جدول التغطية: المتطلب إلى السيناريو</w:t>
      </w:r>
      <w:bookmarkEnd w:id="393"/>
    </w:p>
    <w:p>
      <w:pPr>
        <w:pStyle w:val="Heading3"/>
        <w:bidi/>
      </w:pPr>
      <w:bookmarkStart w:name="_sec394" w:id="394"/>
      <w:r>
        <w:rPr>
          <w:rFonts w:ascii="Arial" w:cs="Arial" w:eastAsia="Arial" w:hAnsi="Arial"/>
          <w:b/>
          <w:bCs/>
          <w:color w:val="2B5C8A"/>
          <w:sz w:val="23"/>
          <w:szCs w:val="23"/>
          <w:rtl/>
        </w:rPr>
        <w:t xml:space="preserve">5.1 المنصة (PLT)</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5.2 الهيكل المؤسسي (ORG)</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5.3 الأشخاص والجهات (PTY)</w:t>
      </w:r>
      <w:bookmarkEnd w:id="3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7" w:id="397"/>
      <w:r>
        <w:rPr>
          <w:rFonts w:ascii="Arial" w:cs="Arial" w:eastAsia="Arial" w:hAnsi="Arial"/>
          <w:b/>
          <w:bCs/>
          <w:color w:val="2B5C8A"/>
          <w:sz w:val="23"/>
          <w:szCs w:val="23"/>
          <w:rtl/>
        </w:rPr>
        <w:t xml:space="preserve">5.4 المنشآت المالية (INS)</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5.5 الحسابات (ACC)</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5.6 الكتالوجات (CAT)</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0" w:id="400"/>
      <w:r>
        <w:rPr>
          <w:rFonts w:ascii="Arial" w:cs="Arial" w:eastAsia="Arial" w:hAnsi="Arial"/>
          <w:b/>
          <w:bCs/>
          <w:color w:val="2B5C8A"/>
          <w:sz w:val="23"/>
          <w:szCs w:val="23"/>
          <w:rtl/>
        </w:rPr>
        <w:t xml:space="preserve">5.7 الإشعارات في S1 (NTF)</w:t>
      </w:r>
      <w:bookmarkEnd w:id="4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01" w:id="401"/>
      <w:r>
        <w:rPr>
          <w:rFonts w:ascii="Arial" w:cs="Arial" w:eastAsia="Arial" w:hAnsi="Arial"/>
          <w:b/>
          <w:bCs/>
          <w:color w:val="2B5C8A"/>
          <w:sz w:val="26"/>
          <w:szCs w:val="26"/>
          <w:rtl/>
        </w:rPr>
        <w:t xml:space="preserve">6. القرارات المطلوبة</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02" w:id="402"/>
      <w:r>
        <w:rPr>
          <w:rFonts w:ascii="Arial" w:cs="Arial" w:eastAsia="Arial" w:hAnsi="Arial"/>
          <w:b/>
          <w:bCs/>
          <w:color w:val="2B5C8A"/>
          <w:sz w:val="26"/>
          <w:szCs w:val="26"/>
          <w:rtl/>
        </w:rPr>
        <w:t xml:space="preserve">7. تعارضات وفجوات في المصادر</w:t>
      </w:r>
      <w:bookmarkEnd w:id="402"/>
    </w:p>
    <w:p>
      <w:pPr>
        <w:pStyle w:val="ListParagraph"/>
        <w:numPr>
          <w:ilvl w:val="0"/>
          <w:numId w:val="61"/>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1"/>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1"/>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1"/>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1"/>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1"/>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1"/>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03" w:id="403"/>
      <w:r>
        <w:rPr>
          <w:rFonts w:ascii="Arial" w:cs="Arial" w:eastAsia="Arial" w:hAnsi="Arial"/>
          <w:b/>
          <w:bCs/>
          <w:color w:val="2B5C8A"/>
          <w:sz w:val="26"/>
          <w:szCs w:val="26"/>
          <w:rtl/>
        </w:rPr>
        <w:t xml:space="preserve">8. التتبع</w:t>
      </w:r>
      <w:bookmarkEnd w:id="4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404" w:id="404"/>
      <w:r>
        <w:rPr>
          <w:rFonts w:ascii="Arial" w:cs="Arial" w:eastAsia="Arial" w:hAnsi="Arial"/>
          <w:b/>
          <w:bCs/>
          <w:color w:val="1F3A5F"/>
          <w:sz w:val="32"/>
          <w:szCs w:val="32"/>
          <w:rtl/>
        </w:rPr>
        <w:t xml:space="preserve">DOC-B03 — مواصفة المتطلبات غير الوظيفية</w:t>
      </w:r>
      <w:bookmarkEnd w:id="4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05" w:id="405"/>
      <w:r>
        <w:rPr>
          <w:rFonts w:ascii="Arial" w:cs="Arial" w:eastAsia="Arial" w:hAnsi="Arial"/>
          <w:b/>
          <w:bCs/>
          <w:color w:val="2B5C8A"/>
          <w:sz w:val="26"/>
          <w:szCs w:val="26"/>
          <w:rtl/>
        </w:rPr>
        <w:t xml:space="preserve">1. الغرض والنطاق</w:t>
      </w:r>
      <w:bookmarkEnd w:id="405"/>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06" w:id="406"/>
      <w:r>
        <w:rPr>
          <w:rFonts w:ascii="Arial" w:cs="Arial" w:eastAsia="Arial" w:hAnsi="Arial"/>
          <w:b/>
          <w:bCs/>
          <w:color w:val="2B5C8A"/>
          <w:sz w:val="26"/>
          <w:szCs w:val="26"/>
          <w:rtl/>
        </w:rPr>
        <w:t xml:space="preserve">2. الأداء والتزامن (NFR-PERF)</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2"/>
        <w:bidi/>
      </w:pPr>
      <w:bookmarkStart w:name="_sec407" w:id="407"/>
      <w:r>
        <w:rPr>
          <w:rFonts w:ascii="Arial" w:cs="Arial" w:eastAsia="Arial" w:hAnsi="Arial"/>
          <w:b/>
          <w:bCs/>
          <w:color w:val="2B5C8A"/>
          <w:sz w:val="26"/>
          <w:szCs w:val="26"/>
          <w:rtl/>
        </w:rPr>
        <w:t xml:space="preserve">3. التوفر (NFR-AVL)</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المقترح (4 ساعات) تستهلك أكثر من ميزانية الشهر (3.6 ساعات). القرار في DQ-B03-3.</w:t>
      </w:r>
    </w:p>
    <w:p>
      <w:pPr>
        <w:pStyle w:val="Heading2"/>
        <w:bidi/>
      </w:pPr>
      <w:bookmarkStart w:name="_sec408" w:id="408"/>
      <w:r>
        <w:rPr>
          <w:rFonts w:ascii="Arial" w:cs="Arial" w:eastAsia="Arial" w:hAnsi="Arial"/>
          <w:b/>
          <w:bCs/>
          <w:color w:val="2B5C8A"/>
          <w:sz w:val="26"/>
          <w:szCs w:val="26"/>
          <w:rtl/>
        </w:rPr>
        <w:t xml:space="preserve">4. التعافي (NFR-REC)</w:t>
      </w:r>
      <w:bookmarkEnd w:id="408"/>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09" w:id="409"/>
      <w:r>
        <w:rPr>
          <w:rFonts w:ascii="Arial" w:cs="Arial" w:eastAsia="Arial" w:hAnsi="Arial"/>
          <w:b/>
          <w:bCs/>
          <w:color w:val="2B5C8A"/>
          <w:sz w:val="26"/>
          <w:szCs w:val="26"/>
          <w:rtl/>
        </w:rPr>
        <w:t xml:space="preserve">5. الأمن (NFR-SEC، ويحل محل DOC-S14)</w:t>
      </w:r>
      <w:bookmarkEnd w:id="409"/>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10" w:id="410"/>
      <w:r>
        <w:rPr>
          <w:rFonts w:ascii="Arial" w:cs="Arial" w:eastAsia="Arial" w:hAnsi="Arial"/>
          <w:b/>
          <w:bCs/>
          <w:color w:val="2B5C8A"/>
          <w:sz w:val="26"/>
          <w:szCs w:val="26"/>
          <w:rtl/>
        </w:rPr>
        <w:t xml:space="preserve">6. قابلية التوسع (NFR-SCL)</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11" w:id="411"/>
      <w:r>
        <w:rPr>
          <w:rFonts w:ascii="Arial" w:cs="Arial" w:eastAsia="Arial" w:hAnsi="Arial"/>
          <w:b/>
          <w:bCs/>
          <w:color w:val="2B5C8A"/>
          <w:sz w:val="26"/>
          <w:szCs w:val="26"/>
          <w:rtl/>
        </w:rPr>
        <w:t xml:space="preserve">7. إمكانية الوصول (NFR-ACC)</w:t>
      </w:r>
      <w:bookmarkEnd w:id="411"/>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8. التشغيل (NFR-OPS)</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9. اللغة والتوطين (NFR-I18N)</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14" w:id="414"/>
      <w:r>
        <w:rPr>
          <w:rFonts w:ascii="Arial" w:cs="Arial" w:eastAsia="Arial" w:hAnsi="Arial"/>
          <w:b/>
          <w:bCs/>
          <w:color w:val="2B5C8A"/>
          <w:sz w:val="26"/>
          <w:szCs w:val="26"/>
          <w:rtl/>
        </w:rPr>
        <w:t xml:space="preserve">10. التحقق بحسب الشريحة</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11. القرارات المطلوبة</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12. تعارضات وفجوات في المصادر</w:t>
      </w:r>
      <w:bookmarkEnd w:id="416"/>
    </w:p>
    <w:p>
      <w:pPr>
        <w:pStyle w:val="ListParagraph"/>
        <w:numPr>
          <w:ilvl w:val="0"/>
          <w:numId w:val="62"/>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2"/>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2"/>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2"/>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17" w:id="417"/>
      <w:r>
        <w:rPr>
          <w:rFonts w:ascii="Arial" w:cs="Arial" w:eastAsia="Arial" w:hAnsi="Arial"/>
          <w:b/>
          <w:bCs/>
          <w:color w:val="2B5C8A"/>
          <w:sz w:val="26"/>
          <w:szCs w:val="26"/>
          <w:rtl/>
        </w:rPr>
        <w:t xml:space="preserve">13. التتبع</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18" w:id="418"/>
      <w:r>
        <w:rPr>
          <w:rFonts w:ascii="Arial" w:cs="Arial" w:eastAsia="Arial" w:hAnsi="Arial"/>
          <w:b/>
          <w:bCs/>
          <w:color w:val="1F3A5F"/>
          <w:sz w:val="32"/>
          <w:szCs w:val="32"/>
          <w:rtl/>
        </w:rPr>
        <w:t xml:space="preserve">DOC-B04 — عقد الواجهة البرمجية ونموذج الأخطاء</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19" w:id="419"/>
      <w:r>
        <w:rPr>
          <w:rFonts w:ascii="Arial" w:cs="Arial" w:eastAsia="Arial" w:hAnsi="Arial"/>
          <w:b/>
          <w:bCs/>
          <w:color w:val="2B5C8A"/>
          <w:sz w:val="26"/>
          <w:szCs w:val="26"/>
          <w:rtl/>
        </w:rPr>
        <w:t xml:space="preserve">1. الغرض والنطاق</w:t>
      </w:r>
      <w:bookmarkEnd w:id="419"/>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20" w:id="420"/>
      <w:r>
        <w:rPr>
          <w:rFonts w:ascii="Arial" w:cs="Arial" w:eastAsia="Arial" w:hAnsi="Arial"/>
          <w:b/>
          <w:bCs/>
          <w:color w:val="2B5C8A"/>
          <w:sz w:val="26"/>
          <w:szCs w:val="26"/>
          <w:rtl/>
        </w:rPr>
        <w:t xml:space="preserve">2. ما يوجد اليوم</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160 جدولًا في DDL</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21" w:id="421"/>
      <w:r>
        <w:rPr>
          <w:rFonts w:ascii="Arial" w:cs="Arial" w:eastAsia="Arial" w:hAnsi="Arial"/>
          <w:b/>
          <w:bCs/>
          <w:color w:val="2B5C8A"/>
          <w:sz w:val="26"/>
          <w:szCs w:val="26"/>
          <w:rtl/>
        </w:rPr>
        <w:t xml:space="preserve">3. المبادئ العامة</w:t>
      </w:r>
      <w:bookmarkEnd w:id="421"/>
    </w:p>
    <w:p>
      <w:pPr>
        <w:pStyle w:val="Heading3"/>
        <w:bidi/>
      </w:pPr>
      <w:bookmarkStart w:name="_sec422" w:id="422"/>
      <w:r>
        <w:rPr>
          <w:rFonts w:ascii="Arial" w:cs="Arial" w:eastAsia="Arial" w:hAnsi="Arial"/>
          <w:b/>
          <w:bCs/>
          <w:color w:val="2B5C8A"/>
          <w:sz w:val="23"/>
          <w:szCs w:val="23"/>
          <w:rtl/>
        </w:rPr>
        <w:t xml:space="preserve">3.1 العناوين والإصدار</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23" w:id="423"/>
      <w:r>
        <w:rPr>
          <w:rFonts w:ascii="Arial" w:cs="Arial" w:eastAsia="Arial" w:hAnsi="Arial"/>
          <w:b/>
          <w:bCs/>
          <w:color w:val="2B5C8A"/>
          <w:sz w:val="23"/>
          <w:szCs w:val="23"/>
          <w:rtl/>
        </w:rPr>
        <w:t xml:space="preserve">3.2 تسمية الموارد وشكل البيانات</w:t>
      </w:r>
      <w:bookmarkEnd w:id="423"/>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24" w:id="424"/>
      <w:r>
        <w:rPr>
          <w:rFonts w:ascii="Arial" w:cs="Arial" w:eastAsia="Arial" w:hAnsi="Arial"/>
          <w:b/>
          <w:bCs/>
          <w:color w:val="2B5C8A"/>
          <w:sz w:val="23"/>
          <w:szCs w:val="23"/>
          <w:rtl/>
        </w:rPr>
        <w:t xml:space="preserve">3.3 الارتباط والتتبع</w:t>
      </w:r>
      <w:bookmarkEnd w:id="424"/>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25" w:id="425"/>
      <w:r>
        <w:rPr>
          <w:rFonts w:ascii="Arial" w:cs="Arial" w:eastAsia="Arial" w:hAnsi="Arial"/>
          <w:b/>
          <w:bCs/>
          <w:color w:val="2B5C8A"/>
          <w:sz w:val="26"/>
          <w:szCs w:val="26"/>
          <w:rtl/>
        </w:rPr>
        <w:t xml:space="preserve">4. المعرّفات العامة والمفاتيح الداخلية</w:t>
      </w:r>
      <w:bookmarkEnd w:id="425"/>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26" w:id="426"/>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27" w:id="427"/>
      <w:r>
        <w:rPr>
          <w:rFonts w:ascii="Arial" w:cs="Arial" w:eastAsia="Arial" w:hAnsi="Arial"/>
          <w:b/>
          <w:bCs/>
          <w:color w:val="2B5C8A"/>
          <w:sz w:val="26"/>
          <w:szCs w:val="26"/>
          <w:rtl/>
        </w:rPr>
        <w:t xml:space="preserve">6. التزامن المتفائل (RowVersion وETag وIf-Match)</w:t>
      </w:r>
      <w:bookmarkEnd w:id="427"/>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28" w:id="428"/>
      <w:r>
        <w:rPr>
          <w:rFonts w:ascii="Arial" w:cs="Arial" w:eastAsia="Arial" w:hAnsi="Arial"/>
          <w:b/>
          <w:bCs/>
          <w:color w:val="2B5C8A"/>
          <w:sz w:val="26"/>
          <w:szCs w:val="26"/>
          <w:rtl/>
        </w:rPr>
        <w:t xml:space="preserve">7. مفتاح التكرار (Idempotency-Key)</w:t>
      </w:r>
      <w:bookmarkEnd w:id="4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29" w:id="429"/>
      <w:r>
        <w:rPr>
          <w:rFonts w:ascii="Arial" w:cs="Arial" w:eastAsia="Arial" w:hAnsi="Arial"/>
          <w:b/>
          <w:bCs/>
          <w:color w:val="2B5C8A"/>
          <w:sz w:val="26"/>
          <w:szCs w:val="26"/>
          <w:rtl/>
        </w:rPr>
        <w:t xml:space="preserve">8. مغلف الخطأ (application/problem+json)</w:t>
      </w:r>
      <w:bookmarkEnd w:id="429"/>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30" w:id="430"/>
      <w:r>
        <w:rPr>
          <w:rFonts w:ascii="Arial" w:cs="Arial" w:eastAsia="Arial" w:hAnsi="Arial"/>
          <w:b/>
          <w:bCs/>
          <w:color w:val="2B5C8A"/>
          <w:sz w:val="26"/>
          <w:szCs w:val="26"/>
          <w:rtl/>
        </w:rPr>
        <w:t xml:space="preserve">9. جداول التحويل إلى HTTP</w:t>
      </w:r>
      <w:bookmarkEnd w:id="430"/>
    </w:p>
    <w:p>
      <w:pPr>
        <w:pStyle w:val="Heading3"/>
        <w:bidi/>
      </w:pPr>
      <w:bookmarkStart w:name="_sec431" w:id="431"/>
      <w:r>
        <w:rPr>
          <w:rFonts w:ascii="Arial" w:cs="Arial" w:eastAsia="Arial" w:hAnsi="Arial"/>
          <w:b/>
          <w:bCs/>
          <w:color w:val="2B5C8A"/>
          <w:sz w:val="23"/>
          <w:szCs w:val="23"/>
          <w:rtl/>
        </w:rPr>
        <w:t xml:space="preserve">9.1 دليل الحالات</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32" w:id="432"/>
      <w:r>
        <w:rPr>
          <w:rFonts w:ascii="Arial" w:cs="Arial" w:eastAsia="Arial" w:hAnsi="Arial"/>
          <w:b/>
          <w:bCs/>
          <w:color w:val="2B5C8A"/>
          <w:sz w:val="23"/>
          <w:szCs w:val="23"/>
          <w:rtl/>
        </w:rPr>
        <w:t xml:space="preserve">9.2 رموز التحقق V-XXX-nn</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33" w:id="433"/>
      <w:r>
        <w:rPr>
          <w:rFonts w:ascii="Arial" w:cs="Arial" w:eastAsia="Arial" w:hAnsi="Arial"/>
          <w:b/>
          <w:bCs/>
          <w:color w:val="2B5C8A"/>
          <w:sz w:val="23"/>
          <w:szCs w:val="23"/>
          <w:rtl/>
        </w:rPr>
        <w:t xml:space="preserve">9.3 رموز الأعمال</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34" w:id="434"/>
      <w:r>
        <w:rPr>
          <w:rFonts w:ascii="Arial" w:cs="Arial" w:eastAsia="Arial" w:hAnsi="Arial"/>
          <w:b/>
          <w:bCs/>
          <w:color w:val="2B5C8A"/>
          <w:sz w:val="23"/>
          <w:szCs w:val="23"/>
          <w:rtl/>
        </w:rPr>
        <w:t xml:space="preserve">9.4 أخطاء قاعدة البيانات</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35" w:id="435"/>
      <w:r>
        <w:rPr>
          <w:rFonts w:ascii="Arial" w:cs="Arial" w:eastAsia="Arial" w:hAnsi="Arial"/>
          <w:b/>
          <w:bCs/>
          <w:color w:val="2B5C8A"/>
          <w:sz w:val="23"/>
          <w:szCs w:val="23"/>
          <w:rtl/>
        </w:rPr>
        <w:t xml:space="preserve">9.5 أخطاء الدخول</w:t>
      </w:r>
      <w:bookmarkEnd w:id="435"/>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36" w:id="436"/>
      <w:r>
        <w:rPr>
          <w:rFonts w:ascii="Arial" w:cs="Arial" w:eastAsia="Arial" w:hAnsi="Arial"/>
          <w:b/>
          <w:bCs/>
          <w:color w:val="2B5C8A"/>
          <w:sz w:val="26"/>
          <w:szCs w:val="26"/>
          <w:rtl/>
        </w:rPr>
        <w:t xml:space="preserve">10. توطين الرسائل</w:t>
      </w:r>
      <w:bookmarkEnd w:id="436"/>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37" w:id="437"/>
      <w:r>
        <w:rPr>
          <w:rFonts w:ascii="Arial" w:cs="Arial" w:eastAsia="Arial" w:hAnsi="Arial"/>
          <w:b/>
          <w:bCs/>
          <w:color w:val="2B5C8A"/>
          <w:sz w:val="26"/>
          <w:szCs w:val="26"/>
          <w:rtl/>
        </w:rPr>
        <w:t xml:space="preserve">11. مسار ترجمة الخطأ</w:t>
      </w:r>
      <w:bookmarkEnd w:id="437"/>
    </w:p>
    <w:p>
      <w:pPr>
        <w:keepNext/>
        <w:bidi/>
        <w:spacing w:after="60" w:before="160"/>
        <w:jc w:val="center"/>
      </w:pPr>
      <w:r>
        <w:drawing>
          <wp:inline distT="0" distB="0" distL="0" distR="0">
            <wp:extent cx="6096000" cy="63150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38" w:id="438"/>
      <w:r>
        <w:rPr>
          <w:rFonts w:ascii="Arial" w:cs="Arial" w:eastAsia="Arial" w:hAnsi="Arial"/>
          <w:b/>
          <w:bCs/>
          <w:color w:val="2B5C8A"/>
          <w:sz w:val="26"/>
          <w:szCs w:val="26"/>
          <w:rtl/>
        </w:rPr>
        <w:t xml:space="preserve">12. وثيقة OpenAPI</w:t>
      </w:r>
      <w:bookmarkEnd w:id="438"/>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39" w:id="439"/>
      <w:r>
        <w:rPr>
          <w:rFonts w:ascii="Arial" w:cs="Arial" w:eastAsia="Arial" w:hAnsi="Arial"/>
          <w:b/>
          <w:bCs/>
          <w:color w:val="2B5C8A"/>
          <w:sz w:val="26"/>
          <w:szCs w:val="26"/>
          <w:rtl/>
        </w:rPr>
        <w:t xml:space="preserve">13. القرارات المطلوبة</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40" w:id="440"/>
      <w:r>
        <w:rPr>
          <w:rFonts w:ascii="Arial" w:cs="Arial" w:eastAsia="Arial" w:hAnsi="Arial"/>
          <w:b/>
          <w:bCs/>
          <w:color w:val="2B5C8A"/>
          <w:sz w:val="26"/>
          <w:szCs w:val="26"/>
          <w:rtl/>
        </w:rPr>
        <w:t xml:space="preserve">14. تعارضات وفجوات في المصادر</w:t>
      </w:r>
      <w:bookmarkEnd w:id="440"/>
    </w:p>
    <w:p>
      <w:pPr>
        <w:pStyle w:val="ListParagraph"/>
        <w:numPr>
          <w:ilvl w:val="0"/>
          <w:numId w:val="6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41" w:id="441"/>
      <w:r>
        <w:rPr>
          <w:rFonts w:ascii="Arial" w:cs="Arial" w:eastAsia="Arial" w:hAnsi="Arial"/>
          <w:b/>
          <w:bCs/>
          <w:color w:val="2B5C8A"/>
          <w:sz w:val="26"/>
          <w:szCs w:val="26"/>
          <w:rtl/>
        </w:rPr>
        <w:t xml:space="preserve">15. التتبع</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42" w:id="442"/>
      <w:r>
        <w:rPr>
          <w:rFonts w:ascii="Arial" w:cs="Arial" w:eastAsia="Arial" w:hAnsi="Arial"/>
          <w:b/>
          <w:bCs/>
          <w:color w:val="1F3A5F"/>
          <w:sz w:val="32"/>
          <w:szCs w:val="32"/>
          <w:rtl/>
        </w:rPr>
        <w:t xml:space="preserve">DOC-B05 — خطة البذر والترحيل الأولي</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2"/>
        <w:bidi/>
      </w:pPr>
      <w:bookmarkStart w:name="_sec443" w:id="443"/>
      <w:r>
        <w:rPr>
          <w:rFonts w:ascii="Arial" w:cs="Arial" w:eastAsia="Arial" w:hAnsi="Arial"/>
          <w:b/>
          <w:bCs/>
          <w:color w:val="2B5C8A"/>
          <w:sz w:val="26"/>
          <w:szCs w:val="26"/>
          <w:rtl/>
        </w:rPr>
        <w:t xml:space="preserve">1. الغرض والنطاق</w:t>
      </w:r>
      <w:bookmarkEnd w:id="443"/>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4"/>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44" w:id="444"/>
      <w:r>
        <w:rPr>
          <w:rFonts w:ascii="Arial" w:cs="Arial" w:eastAsia="Arial" w:hAnsi="Arial"/>
          <w:b/>
          <w:bCs/>
          <w:color w:val="2B5C8A"/>
          <w:sz w:val="26"/>
          <w:szCs w:val="26"/>
          <w:rtl/>
        </w:rPr>
        <w:t xml:space="preserve">2. ما يوجد اليوم</w:t>
      </w:r>
      <w:bookmarkEnd w:id="4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45" w:id="445"/>
      <w:r>
        <w:rPr>
          <w:rFonts w:ascii="Arial" w:cs="Arial" w:eastAsia="Arial" w:hAnsi="Arial"/>
          <w:b/>
          <w:bCs/>
          <w:color w:val="2B5C8A"/>
          <w:sz w:val="26"/>
          <w:szCs w:val="26"/>
          <w:rtl/>
        </w:rPr>
        <w:t xml:space="preserve">3. طبقات التحميل</w:t>
      </w:r>
      <w:bookmarkEnd w:id="445"/>
    </w:p>
    <w:p>
      <w:pPr>
        <w:keepNext/>
        <w:bidi/>
        <w:spacing w:after="60" w:before="160"/>
        <w:jc w:val="center"/>
      </w:pPr>
      <w:r>
        <w:drawing>
          <wp:inline distT="0" distB="0" distL="0" distR="0">
            <wp:extent cx="466725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46" w:id="446"/>
      <w:r>
        <w:rPr>
          <w:rFonts w:ascii="Arial" w:cs="Arial" w:eastAsia="Arial" w:hAnsi="Arial"/>
          <w:b/>
          <w:bCs/>
          <w:color w:val="2B5C8A"/>
          <w:sz w:val="26"/>
          <w:szCs w:val="26"/>
          <w:rtl/>
        </w:rPr>
        <w:t xml:space="preserve">4. بذر المنصة (عالمي)</w:t>
      </w:r>
      <w:bookmarkEnd w:id="446"/>
    </w:p>
    <w:p>
      <w:pPr>
        <w:pStyle w:val="Heading3"/>
        <w:bidi/>
      </w:pPr>
      <w:bookmarkStart w:name="_sec447" w:id="447"/>
      <w:r>
        <w:rPr>
          <w:rFonts w:ascii="Arial" w:cs="Arial" w:eastAsia="Arial" w:hAnsi="Arial"/>
          <w:b/>
          <w:bCs/>
          <w:color w:val="2B5C8A"/>
          <w:sz w:val="23"/>
          <w:szCs w:val="23"/>
          <w:rtl/>
        </w:rPr>
        <w:t xml:space="preserve">4.1 الجداول والمحتوى</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48" w:id="448"/>
      <w:r>
        <w:rPr>
          <w:rFonts w:ascii="Arial" w:cs="Arial" w:eastAsia="Arial" w:hAnsi="Arial"/>
          <w:b/>
          <w:bCs/>
          <w:color w:val="2B5C8A"/>
          <w:sz w:val="23"/>
          <w:szCs w:val="23"/>
          <w:rtl/>
        </w:rPr>
        <w:t xml:space="preserve">4.2 ما لا يُبذر على مستوى المنصة</w:t>
      </w:r>
      <w:bookmarkEnd w:id="448"/>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49" w:id="449"/>
      <w:r>
        <w:rPr>
          <w:rFonts w:ascii="Arial" w:cs="Arial" w:eastAsia="Arial" w:hAnsi="Arial"/>
          <w:b/>
          <w:bCs/>
          <w:color w:val="2B5C8A"/>
          <w:sz w:val="23"/>
          <w:szCs w:val="23"/>
          <w:rtl/>
        </w:rPr>
        <w:t xml:space="preserve">4.3 الموقع في ترتيب النشر (منفّذ)</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50" w:id="450"/>
      <w:r>
        <w:rPr>
          <w:rFonts w:ascii="Arial" w:cs="Arial" w:eastAsia="Arial" w:hAnsi="Arial"/>
          <w:b/>
          <w:bCs/>
          <w:color w:val="2B5C8A"/>
          <w:sz w:val="26"/>
          <w:szCs w:val="26"/>
          <w:rtl/>
        </w:rPr>
        <w:t xml:space="preserve">5. بذر المشترك عند التهيئة</w:t>
      </w:r>
      <w:bookmarkEnd w:id="450"/>
    </w:p>
    <w:p>
      <w:pPr>
        <w:pStyle w:val="Heading3"/>
        <w:bidi/>
      </w:pPr>
      <w:bookmarkStart w:name="_sec451" w:id="451"/>
      <w:r>
        <w:rPr>
          <w:rFonts w:ascii="Arial" w:cs="Arial" w:eastAsia="Arial" w:hAnsi="Arial"/>
          <w:b/>
          <w:bCs/>
          <w:color w:val="2B5C8A"/>
          <w:sz w:val="23"/>
          <w:szCs w:val="23"/>
          <w:rtl/>
        </w:rPr>
        <w:t xml:space="preserve">5.1 الحزم</w:t>
      </w:r>
      <w:bookmarkEnd w:id="451"/>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5"/>
        <w:gridCol w:w="2073"/>
        <w:gridCol w:w="1555"/>
        <w:gridCol w:w="4075"/>
        <w:gridCol w:w="976"/>
      </w:tblGrid>
      <w:tr>
        <w:trPr>
          <w:cantSplit/>
          <w:tblHeader/>
        </w:trPr>
        <w:tc>
          <w:tcPr>
            <w:tcW w:type="dxa" w:w="1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4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52" w:id="452"/>
      <w:r>
        <w:rPr>
          <w:rFonts w:ascii="Arial" w:cs="Arial" w:eastAsia="Arial" w:hAnsi="Arial"/>
          <w:b/>
          <w:bCs/>
          <w:color w:val="2B5C8A"/>
          <w:sz w:val="23"/>
          <w:szCs w:val="23"/>
          <w:rtl/>
        </w:rPr>
        <w:t xml:space="preserve">5.2 مصادر القوائم ومالكوها</w:t>
      </w:r>
      <w:bookmarkEnd w:id="4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53" w:id="453"/>
      <w:r>
        <w:rPr>
          <w:rFonts w:ascii="Arial" w:cs="Arial" w:eastAsia="Arial" w:hAnsi="Arial"/>
          <w:b/>
          <w:bCs/>
          <w:color w:val="2B5C8A"/>
          <w:sz w:val="26"/>
          <w:szCs w:val="26"/>
          <w:rtl/>
        </w:rPr>
        <w:t xml:space="preserve">6. قواعد التكرار الآمن والإصدار</w:t>
      </w:r>
      <w:bookmarkEnd w:id="453"/>
    </w:p>
    <w:p>
      <w:pPr>
        <w:pStyle w:val="ListParagraph"/>
        <w:numPr>
          <w:ilvl w:val="0"/>
          <w:numId w:val="65"/>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5"/>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5"/>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5"/>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5"/>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5"/>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5"/>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5"/>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54" w:id="454"/>
      <w:r>
        <w:rPr>
          <w:rFonts w:ascii="Arial" w:cs="Arial" w:eastAsia="Arial" w:hAnsi="Arial"/>
          <w:b/>
          <w:bCs/>
          <w:color w:val="2B5C8A"/>
          <w:sz w:val="26"/>
          <w:szCs w:val="26"/>
          <w:rtl/>
        </w:rPr>
        <w:t xml:space="preserve">7. الترحيل الأولي من Excel</w:t>
      </w:r>
      <w:bookmarkEnd w:id="454"/>
    </w:p>
    <w:p>
      <w:pPr>
        <w:pStyle w:val="Heading3"/>
        <w:bidi/>
      </w:pPr>
      <w:bookmarkStart w:name="_sec455" w:id="455"/>
      <w:r>
        <w:rPr>
          <w:rFonts w:ascii="Arial" w:cs="Arial" w:eastAsia="Arial" w:hAnsi="Arial"/>
          <w:b/>
          <w:bCs/>
          <w:color w:val="2B5C8A"/>
          <w:sz w:val="23"/>
          <w:szCs w:val="23"/>
          <w:rtl/>
        </w:rPr>
        <w:t xml:space="preserve">7.1 القوالب</w:t>
      </w:r>
      <w:bookmarkEnd w:id="455"/>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56" w:id="456"/>
      <w:r>
        <w:rPr>
          <w:rFonts w:ascii="Arial" w:cs="Arial" w:eastAsia="Arial" w:hAnsi="Arial"/>
          <w:b/>
          <w:bCs/>
          <w:color w:val="2B5C8A"/>
          <w:sz w:val="23"/>
          <w:szCs w:val="23"/>
          <w:rtl/>
        </w:rPr>
        <w:t xml:space="preserve">7.2 ترتيب التحميل</w:t>
      </w:r>
      <w:bookmarkEnd w:id="456"/>
    </w:p>
    <w:p>
      <w:pPr>
        <w:keepNext/>
        <w:bidi/>
        <w:spacing w:after="60" w:before="160"/>
        <w:jc w:val="center"/>
      </w:pPr>
      <w:r>
        <w:drawing>
          <wp:inline distT="0" distB="0" distL="0" distR="0">
            <wp:extent cx="6096000" cy="14478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57" w:id="457"/>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58" w:id="458"/>
      <w:r>
        <w:rPr>
          <w:rFonts w:ascii="Arial" w:cs="Arial" w:eastAsia="Arial" w:hAnsi="Arial"/>
          <w:b/>
          <w:bCs/>
          <w:color w:val="2B5C8A"/>
          <w:sz w:val="26"/>
          <w:szCs w:val="26"/>
          <w:rtl/>
        </w:rPr>
        <w:t xml:space="preserve">8. الاختبارات (تُنقل إلى DOC-B01)</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59" w:id="459"/>
      <w:r>
        <w:rPr>
          <w:rFonts w:ascii="Arial" w:cs="Arial" w:eastAsia="Arial" w:hAnsi="Arial"/>
          <w:b/>
          <w:bCs/>
          <w:color w:val="2B5C8A"/>
          <w:sz w:val="26"/>
          <w:szCs w:val="26"/>
          <w:rtl/>
        </w:rPr>
        <w:t xml:space="preserve">9. القرارات المطلوبة</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10. تعارضات وفجوات في المصادر</w:t>
      </w:r>
      <w:bookmarkEnd w:id="460"/>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6"/>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6"/>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6"/>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6"/>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6"/>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6"/>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61" w:id="461"/>
      <w:r>
        <w:rPr>
          <w:rFonts w:ascii="Arial" w:cs="Arial" w:eastAsia="Arial" w:hAnsi="Arial"/>
          <w:b/>
          <w:bCs/>
          <w:color w:val="2B5C8A"/>
          <w:sz w:val="26"/>
          <w:szCs w:val="26"/>
          <w:rtl/>
        </w:rPr>
        <w:t xml:space="preserve">11. التتبع</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62" w:id="462"/>
      <w:r>
        <w:rPr>
          <w:rFonts w:ascii="Arial" w:cs="Arial" w:eastAsia="Arial" w:hAnsi="Arial"/>
          <w:b/>
          <w:bCs/>
          <w:color w:val="1F3A5F"/>
          <w:sz w:val="32"/>
          <w:szCs w:val="32"/>
          <w:rtl/>
        </w:rPr>
        <w:t xml:space="preserve">DOC-B07 — قائمة شاشات S0 وخريطة التنقل والنماذج الأولية</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 الغرض والنطاق</w:t>
      </w:r>
      <w:bookmarkEnd w:id="463"/>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64" w:id="464"/>
      <w:r>
        <w:rPr>
          <w:rFonts w:ascii="Arial" w:cs="Arial" w:eastAsia="Arial" w:hAnsi="Arial"/>
          <w:b/>
          <w:bCs/>
          <w:color w:val="2B5C8A"/>
          <w:sz w:val="26"/>
          <w:szCs w:val="26"/>
          <w:rtl/>
        </w:rPr>
        <w:t xml:space="preserve">2. شاشات بوابة المشترك في S0</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65" w:id="465"/>
      <w:r>
        <w:rPr>
          <w:rFonts w:ascii="Arial" w:cs="Arial" w:eastAsia="Arial" w:hAnsi="Arial"/>
          <w:b/>
          <w:bCs/>
          <w:color w:val="2B5C8A"/>
          <w:sz w:val="26"/>
          <w:szCs w:val="26"/>
          <w:rtl/>
        </w:rPr>
        <w:t xml:space="preserve">3. شاشات لوحة المشغّل في S0</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66" w:id="466"/>
      <w:r>
        <w:rPr>
          <w:rFonts w:ascii="Arial" w:cs="Arial" w:eastAsia="Arial" w:hAnsi="Arial"/>
          <w:b/>
          <w:bCs/>
          <w:color w:val="2B5C8A"/>
          <w:sz w:val="26"/>
          <w:szCs w:val="26"/>
          <w:rtl/>
        </w:rPr>
        <w:t xml:space="preserve">4. خريطة التنقل</w:t>
      </w:r>
      <w:bookmarkEnd w:id="466"/>
    </w:p>
    <w:p>
      <w:pPr>
        <w:pStyle w:val="Heading3"/>
        <w:bidi/>
      </w:pPr>
      <w:bookmarkStart w:name="_sec467" w:id="467"/>
      <w:r>
        <w:rPr>
          <w:rFonts w:ascii="Arial" w:cs="Arial" w:eastAsia="Arial" w:hAnsi="Arial"/>
          <w:b/>
          <w:bCs/>
          <w:color w:val="2B5C8A"/>
          <w:sz w:val="23"/>
          <w:szCs w:val="23"/>
          <w:rtl/>
        </w:rPr>
        <w:t xml:space="preserve">4.1 العناوين والفصل بين البوابتين</w:t>
      </w:r>
      <w:bookmarkEnd w:id="4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68" w:id="468"/>
      <w:r>
        <w:rPr>
          <w:rFonts w:ascii="Arial" w:cs="Arial" w:eastAsia="Arial" w:hAnsi="Arial"/>
          <w:b/>
          <w:bCs/>
          <w:color w:val="2B5C8A"/>
          <w:sz w:val="23"/>
          <w:szCs w:val="23"/>
          <w:rtl/>
        </w:rPr>
        <w:t xml:space="preserve">4.2 قشرة بوابة المشترك</w:t>
      </w:r>
      <w:bookmarkEnd w:id="46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69" w:id="469"/>
      <w:r>
        <w:rPr>
          <w:rFonts w:ascii="Arial" w:cs="Arial" w:eastAsia="Arial" w:hAnsi="Arial"/>
          <w:b/>
          <w:bCs/>
          <w:color w:val="2B5C8A"/>
          <w:sz w:val="23"/>
          <w:szCs w:val="23"/>
          <w:rtl/>
        </w:rPr>
        <w:t xml:space="preserve">4.3 إظهار عناصر القائمة</w:t>
      </w:r>
      <w:bookmarkEnd w:id="469"/>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70" w:id="470"/>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70"/>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71" w:id="471"/>
      <w:r>
        <w:rPr>
          <w:rFonts w:ascii="Arial" w:cs="Arial" w:eastAsia="Arial" w:hAnsi="Arial"/>
          <w:b/>
          <w:bCs/>
          <w:color w:val="2B5C8A"/>
          <w:sz w:val="26"/>
          <w:szCs w:val="26"/>
          <w:rtl/>
        </w:rPr>
        <w:t xml:space="preserve">5. النماذج الأولية منخفضة الدقة</w:t>
      </w:r>
      <w:bookmarkEnd w:id="471"/>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72" w:id="472"/>
      <w:r>
        <w:rPr>
          <w:rFonts w:ascii="Arial" w:cs="Arial" w:eastAsia="Arial" w:hAnsi="Arial"/>
          <w:b/>
          <w:bCs/>
          <w:color w:val="2B5C8A"/>
          <w:sz w:val="23"/>
          <w:szCs w:val="23"/>
          <w:rtl/>
        </w:rPr>
        <w:t xml:space="preserve">5.1 الدخول (SCR-PLT-01)</w:t>
      </w:r>
      <w:bookmarkEnd w:id="4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73" w:id="473"/>
      <w:r>
        <w:rPr>
          <w:rFonts w:ascii="Arial" w:cs="Arial" w:eastAsia="Arial" w:hAnsi="Arial"/>
          <w:b/>
          <w:bCs/>
          <w:color w:val="2B5C8A"/>
          <w:sz w:val="23"/>
          <w:szCs w:val="23"/>
          <w:rtl/>
        </w:rPr>
        <w:t xml:space="preserve">5.2 التحقق بخطوتين (SCR-PLT-02)</w:t>
      </w:r>
      <w:bookmarkEnd w:id="47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74" w:id="474"/>
      <w:r>
        <w:rPr>
          <w:rFonts w:ascii="Arial" w:cs="Arial" w:eastAsia="Arial" w:hAnsi="Arial"/>
          <w:b/>
          <w:bCs/>
          <w:color w:val="2B5C8A"/>
          <w:sz w:val="23"/>
          <w:szCs w:val="23"/>
          <w:rtl/>
        </w:rPr>
        <w:t xml:space="preserve">5.3 قائمة المستخدمين (SCR-PLT-07)</w:t>
      </w:r>
      <w:bookmarkEnd w:id="47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75" w:id="475"/>
      <w:r>
        <w:rPr>
          <w:rFonts w:ascii="Arial" w:cs="Arial" w:eastAsia="Arial" w:hAnsi="Arial"/>
          <w:b/>
          <w:bCs/>
          <w:color w:val="2B5C8A"/>
          <w:sz w:val="23"/>
          <w:szCs w:val="23"/>
          <w:rtl/>
        </w:rPr>
        <w:t xml:space="preserve">5.4 بطاقة المستخدم: تبويب الأدوار (SCR-PLT-08)</w:t>
      </w:r>
      <w:bookmarkEnd w:id="475"/>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76" w:id="476"/>
      <w:r>
        <w:rPr>
          <w:rFonts w:ascii="Arial" w:cs="Arial" w:eastAsia="Arial" w:hAnsi="Arial"/>
          <w:b/>
          <w:bCs/>
          <w:color w:val="2B5C8A"/>
          <w:sz w:val="23"/>
          <w:szCs w:val="23"/>
          <w:rtl/>
        </w:rPr>
        <w:t xml:space="preserve">5.5 قائمة المشتركين في لوحة المشغّل (SCR-PLT-52)</w:t>
      </w:r>
      <w:bookmarkEnd w:id="47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477" w:id="477"/>
      <w:r>
        <w:rPr>
          <w:rFonts w:ascii="Arial" w:cs="Arial" w:eastAsia="Arial" w:hAnsi="Arial"/>
          <w:b/>
          <w:bCs/>
          <w:color w:val="2B5C8A"/>
          <w:sz w:val="26"/>
          <w:szCs w:val="26"/>
          <w:rtl/>
        </w:rPr>
        <w:t xml:space="preserve">6. قواعد مشتركة للشاشات</w:t>
      </w:r>
      <w:bookmarkEnd w:id="477"/>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478" w:id="478"/>
      <w:r>
        <w:rPr>
          <w:rFonts w:ascii="Arial" w:cs="Arial" w:eastAsia="Arial" w:hAnsi="Arial"/>
          <w:b/>
          <w:bCs/>
          <w:color w:val="2B5C8A"/>
          <w:sz w:val="26"/>
          <w:szCs w:val="26"/>
          <w:rtl/>
        </w:rPr>
        <w:t xml:space="preserve">7. القرارات المطلوبة</w:t>
      </w:r>
      <w:bookmarkEnd w:id="4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479" w:id="479"/>
      <w:r>
        <w:rPr>
          <w:rFonts w:ascii="Arial" w:cs="Arial" w:eastAsia="Arial" w:hAnsi="Arial"/>
          <w:b/>
          <w:bCs/>
          <w:color w:val="2B5C8A"/>
          <w:sz w:val="26"/>
          <w:szCs w:val="26"/>
          <w:rtl/>
        </w:rPr>
        <w:t xml:space="preserve">8. تعارضات وفجوات في المصادر</w:t>
      </w:r>
      <w:bookmarkEnd w:id="479"/>
    </w:p>
    <w:p>
      <w:pPr>
        <w:pStyle w:val="ListParagraph"/>
        <w:numPr>
          <w:ilvl w:val="0"/>
          <w:numId w:val="67"/>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7"/>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7"/>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7"/>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7"/>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480" w:id="480"/>
      <w:r>
        <w:rPr>
          <w:rFonts w:ascii="Arial" w:cs="Arial" w:eastAsia="Arial" w:hAnsi="Arial"/>
          <w:b/>
          <w:bCs/>
          <w:color w:val="2B5C8A"/>
          <w:sz w:val="26"/>
          <w:szCs w:val="26"/>
          <w:rtl/>
        </w:rPr>
        <w:t xml:space="preserve">9. التتبع</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481" w:id="481"/>
      <w:r>
        <w:rPr>
          <w:rFonts w:ascii="Arial" w:cs="Arial" w:eastAsia="Arial" w:hAnsi="Arial"/>
          <w:b/>
          <w:bCs/>
          <w:color w:val="1F3A5F"/>
          <w:sz w:val="32"/>
          <w:szCs w:val="32"/>
          <w:rtl/>
        </w:rPr>
        <w:t xml:space="preserve">DOC-B09 — مصفوفة المسؤوليات وسجل ملكية القرارات</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 الغرض والنطاق</w:t>
      </w:r>
      <w:bookmarkEnd w:id="482"/>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3" w:id="483"/>
      <w:r>
        <w:rPr>
          <w:rFonts w:ascii="Arial" w:cs="Arial" w:eastAsia="Arial" w:hAnsi="Arial"/>
          <w:b/>
          <w:bCs/>
          <w:color w:val="2B5C8A"/>
          <w:sz w:val="26"/>
          <w:szCs w:val="26"/>
          <w:rtl/>
        </w:rPr>
        <w:t xml:space="preserve">2. الأدوار</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3. قواعد الملكية</w:t>
      </w:r>
      <w:bookmarkEnd w:id="484"/>
    </w:p>
    <w:p>
      <w:pPr>
        <w:pStyle w:val="ListParagraph"/>
        <w:numPr>
          <w:ilvl w:val="0"/>
          <w:numId w:val="68"/>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68"/>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68"/>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8"/>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68"/>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68"/>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485" w:id="485"/>
      <w:r>
        <w:rPr>
          <w:rFonts w:ascii="Arial" w:cs="Arial" w:eastAsia="Arial" w:hAnsi="Arial"/>
          <w:b/>
          <w:bCs/>
          <w:color w:val="2B5C8A"/>
          <w:sz w:val="26"/>
          <w:szCs w:val="26"/>
          <w:rtl/>
        </w:rPr>
        <w:t xml:space="preserve">4. بوابة S0</w:t>
      </w:r>
      <w:bookmarkEnd w:id="485"/>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وموعد لكل سؤال، وحسم أسئلة S0 التسعة (§7.4)</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(O-14 في 20-database-design، :542)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2026-10-12 وعُدّلت المواصفة 13 (O-10)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التنفيذ في المحرك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2026-10-13 (O-15،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ADR 0011)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486" w:id="486"/>
      <w:r>
        <w:rPr>
          <w:rFonts w:ascii="Arial" w:cs="Arial" w:eastAsia="Arial" w:hAnsi="Arial"/>
          <w:b/>
          <w:bCs/>
          <w:color w:val="2B5C8A"/>
          <w:sz w:val="26"/>
          <w:szCs w:val="26"/>
          <w:rtl/>
        </w:rPr>
        <w:t xml:space="preserve">5. مصفوفة RACI لوثائق P0</w:t>
      </w:r>
      <w:bookmarkEnd w:id="486"/>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487" w:id="487"/>
      <w:r>
        <w:rPr>
          <w:rFonts w:ascii="Arial" w:cs="Arial" w:eastAsia="Arial" w:hAnsi="Arial"/>
          <w:b/>
          <w:bCs/>
          <w:color w:val="2B5C8A"/>
          <w:sz w:val="26"/>
          <w:szCs w:val="26"/>
          <w:rtl/>
        </w:rPr>
        <w:t xml:space="preserve">6. سجل ملكية القرارات</w:t>
      </w:r>
      <w:bookmarkEnd w:id="487"/>
    </w:p>
    <w:p>
      <w:pPr>
        <w:pStyle w:val="Heading3"/>
        <w:bidi/>
      </w:pPr>
      <w:bookmarkStart w:name="_sec488" w:id="488"/>
      <w:r>
        <w:rPr>
          <w:rFonts w:ascii="Arial" w:cs="Arial" w:eastAsia="Arial" w:hAnsi="Arial"/>
          <w:b/>
          <w:bCs/>
          <w:color w:val="2B5C8A"/>
          <w:sz w:val="23"/>
          <w:szCs w:val="23"/>
          <w:rtl/>
        </w:rPr>
        <w:t xml:space="preserve">6.1 القرارات في tools/dbgen/erd_open_items.py</w:t>
      </w:r>
      <w:bookmarkEnd w:id="488"/>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0"/>
        <w:gridCol w:w="814"/>
        <w:gridCol w:w="814"/>
        <w:gridCol w:w="814"/>
        <w:gridCol w:w="814"/>
        <w:gridCol w:w="5398"/>
      </w:tblGrid>
      <w:tr>
        <w:trPr>
          <w:cantSplit/>
          <w:tblHeader/>
        </w:trPr>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مغلق (2026-10-13، docs/adr/0006-kyc-history-and-cascade-deletes.md)</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489" w:id="489"/>
      <w:r>
        <w:rPr>
          <w:rFonts w:ascii="Arial" w:cs="Arial" w:eastAsia="Arial" w:hAnsi="Arial"/>
          <w:b/>
          <w:bCs/>
          <w:color w:val="2B5C8A"/>
          <w:sz w:val="23"/>
          <w:szCs w:val="23"/>
          <w:rtl/>
        </w:rPr>
        <w:t xml:space="preserve">6.2 البنود في docs/20-database-design.md §16</w:t>
      </w:r>
      <w:bookmarkEnd w:id="489"/>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896"/>
        <w:gridCol w:w="896"/>
        <w:gridCol w:w="1665"/>
        <w:gridCol w:w="5383"/>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BR-WFL-027 وFR-WFL-042 في المواصفة 13</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بوابة S0</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الدفعة (أ) منفّذة، والباقي شروط دخول شرائحه (ADR 0011)</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 docs/32-review-findings-decisions.md</w:t>
            </w:r>
          </w:p>
        </w:tc>
      </w:tr>
    </w:tbl>
    <w:p>
      <w:pPr>
        <w:bidi/>
        <w:spacing w:after="120" w:before="0"/>
      </w:pPr>
    </w:p>
    <w:p>
      <w:pPr>
        <w:pStyle w:val="Heading2"/>
        <w:bidi/>
      </w:pPr>
      <w:bookmarkStart w:name="_sec490" w:id="490"/>
      <w:r>
        <w:rPr>
          <w:rFonts w:ascii="Arial" w:cs="Arial" w:eastAsia="Arial" w:hAnsi="Arial"/>
          <w:b/>
          <w:bCs/>
          <w:color w:val="2B5C8A"/>
          <w:sz w:val="26"/>
          <w:szCs w:val="26"/>
          <w:rtl/>
        </w:rPr>
        <w:t xml:space="preserve">7. الأسئلة المفتوحة الـ155</w:t>
      </w:r>
      <w:bookmarkEnd w:id="490"/>
    </w:p>
    <w:p>
      <w:pPr>
        <w:pStyle w:val="Heading3"/>
        <w:bidi/>
      </w:pPr>
      <w:bookmarkStart w:name="_sec491" w:id="491"/>
      <w:r>
        <w:rPr>
          <w:rFonts w:ascii="Arial" w:cs="Arial" w:eastAsia="Arial" w:hAnsi="Arial"/>
          <w:b/>
          <w:bCs/>
          <w:color w:val="2B5C8A"/>
          <w:sz w:val="23"/>
          <w:szCs w:val="23"/>
          <w:rtl/>
        </w:rPr>
        <w:t xml:space="preserve">7.1 الاقتراح</w:t>
      </w:r>
      <w:bookmarkEnd w:id="491"/>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9"/>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69"/>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69"/>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492" w:id="492"/>
      <w:r>
        <w:rPr>
          <w:rFonts w:ascii="Arial" w:cs="Arial" w:eastAsia="Arial" w:hAnsi="Arial"/>
          <w:b/>
          <w:bCs/>
          <w:color w:val="2B5C8A"/>
          <w:sz w:val="23"/>
          <w:szCs w:val="23"/>
          <w:rtl/>
        </w:rPr>
        <w:t xml:space="preserve">7.2 العدد بحسب الوحدة</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493" w:id="493"/>
      <w:r>
        <w:rPr>
          <w:rFonts w:ascii="Arial" w:cs="Arial" w:eastAsia="Arial" w:hAnsi="Arial"/>
          <w:b/>
          <w:bCs/>
          <w:color w:val="2B5C8A"/>
          <w:sz w:val="23"/>
          <w:szCs w:val="23"/>
          <w:rtl/>
        </w:rPr>
        <w:t xml:space="preserve">7.3 العدد بحسب الشريحة (المفتوح)</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7.4 أسئلة S0 التسعة</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7.5 المالك المقترح لكل بادئة</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496" w:id="496"/>
      <w:r>
        <w:rPr>
          <w:rFonts w:ascii="Arial" w:cs="Arial" w:eastAsia="Arial" w:hAnsi="Arial"/>
          <w:b/>
          <w:bCs/>
          <w:color w:val="2B5C8A"/>
          <w:sz w:val="26"/>
          <w:szCs w:val="26"/>
          <w:rtl/>
        </w:rPr>
        <w:t xml:space="preserve">8. القرارات المطلوبة</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97" w:id="497"/>
      <w:r>
        <w:rPr>
          <w:rFonts w:ascii="Arial" w:cs="Arial" w:eastAsia="Arial" w:hAnsi="Arial"/>
          <w:b/>
          <w:bCs/>
          <w:color w:val="2B5C8A"/>
          <w:sz w:val="26"/>
          <w:szCs w:val="26"/>
          <w:rtl/>
        </w:rPr>
        <w:t xml:space="preserve">9. تعارضات وفجوات في المصادر</w:t>
      </w:r>
      <w:bookmarkEnd w:id="497"/>
    </w:p>
    <w:p>
      <w:pPr>
        <w:pStyle w:val="ListParagraph"/>
        <w:numPr>
          <w:ilvl w:val="0"/>
          <w:numId w:val="7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0"/>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0"/>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0"/>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0"/>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498" w:id="498"/>
      <w:r>
        <w:rPr>
          <w:rFonts w:ascii="Arial" w:cs="Arial" w:eastAsia="Arial" w:hAnsi="Arial"/>
          <w:b/>
          <w:bCs/>
          <w:color w:val="2B5C8A"/>
          <w:sz w:val="26"/>
          <w:szCs w:val="26"/>
          <w:rtl/>
        </w:rPr>
        <w:t xml:space="preserve">10. التتبع</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499" w:id="499"/>
      <w:r>
        <w:rPr>
          <w:rFonts w:ascii="Arial" w:cs="Arial" w:eastAsia="Arial" w:hAnsi="Arial"/>
          <w:b/>
          <w:bCs/>
          <w:color w:val="1F3A5F"/>
          <w:sz w:val="32"/>
          <w:szCs w:val="32"/>
          <w:rtl/>
        </w:rPr>
        <w:t xml:space="preserve">DOC-B10 — المسرد ثنائي اللغة (English / العربية)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1. الغرض والنطاق</w:t>
      </w:r>
      <w:bookmarkEnd w:id="500"/>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01" w:id="501"/>
      <w:r>
        <w:rPr>
          <w:rFonts w:ascii="Arial" w:cs="Arial" w:eastAsia="Arial" w:hAnsi="Arial"/>
          <w:b/>
          <w:bCs/>
          <w:color w:val="2B5C8A"/>
          <w:sz w:val="26"/>
          <w:szCs w:val="26"/>
          <w:rtl/>
        </w:rPr>
        <w:t xml:space="preserve">2. المنصة والمشترك</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3. الهوية والدخول والجلسات</w:t>
      </w:r>
      <w:bookmarkEnd w:id="5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03" w:id="503"/>
      <w:r>
        <w:rPr>
          <w:rFonts w:ascii="Arial" w:cs="Arial" w:eastAsia="Arial" w:hAnsi="Arial"/>
          <w:b/>
          <w:bCs/>
          <w:color w:val="2B5C8A"/>
          <w:sz w:val="26"/>
          <w:szCs w:val="26"/>
          <w:rtl/>
        </w:rPr>
        <w:t xml:space="preserve">4. المستخدمون والأدوار والصلاحيات</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5. الإعدادات والترقيم والتدقيق والمستندات</w:t>
      </w:r>
      <w:bookmarkEnd w:id="5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5" w:id="505"/>
      <w:r>
        <w:rPr>
          <w:rFonts w:ascii="Arial" w:cs="Arial" w:eastAsia="Arial" w:hAnsi="Arial"/>
          <w:b/>
          <w:bCs/>
          <w:color w:val="2B5C8A"/>
          <w:sz w:val="26"/>
          <w:szCs w:val="26"/>
          <w:rtl/>
        </w:rPr>
        <w:t xml:space="preserve">6. الهيكل المؤسسي والأشخاص (M1)</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1250"/>
        <w:gridCol w:w="2083"/>
        <w:gridCol w:w="2919"/>
        <w:gridCol w:w="1945"/>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org.Company.PartyId (الرابط الوحيد، DR-24)</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6" w:id="506"/>
      <w:r>
        <w:rPr>
          <w:rFonts w:ascii="Arial" w:cs="Arial" w:eastAsia="Arial" w:hAnsi="Arial"/>
          <w:b/>
          <w:bCs/>
          <w:color w:val="2B5C8A"/>
          <w:sz w:val="26"/>
          <w:szCs w:val="26"/>
          <w:rtl/>
        </w:rPr>
        <w:t xml:space="preserve">7. المجال الأساسي (التسهيلات والاعتمادات والطلبات)</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8. رسائل S0</w:t>
      </w:r>
      <w:bookmarkEnd w:id="507"/>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9. قواعد ملفات الموارد</w:t>
      </w:r>
      <w:bookmarkEnd w:id="508"/>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09" w:id="509"/>
      <w:r>
        <w:rPr>
          <w:rFonts w:ascii="Arial" w:cs="Arial" w:eastAsia="Arial" w:hAnsi="Arial"/>
          <w:b/>
          <w:bCs/>
          <w:color w:val="2B5C8A"/>
          <w:sz w:val="26"/>
          <w:szCs w:val="26"/>
          <w:rtl/>
        </w:rPr>
        <w:t xml:space="preserve">10. القرارات المطلوبة</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11. تعارضات وفجوات في المصادر</w:t>
      </w:r>
      <w:bookmarkEnd w:id="510"/>
    </w:p>
    <w:p>
      <w:pPr>
        <w:pStyle w:val="ListParagraph"/>
        <w:numPr>
          <w:ilvl w:val="0"/>
          <w:numId w:val="71"/>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1"/>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1"/>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1"/>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1"/>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1"/>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وُحّدت: IN_PROGRESS «تحت الإجراء» في المواصفة 13 ووثيقة التصميم، ومنها حالة AWAITING_CLOSE (DQ-F08-5، DQ-F08-9). التفصيل في DOC-F08.</w:t>
      </w:r>
    </w:p>
    <w:p>
      <w:pPr>
        <w:pStyle w:val="ListParagraph"/>
        <w:numPr>
          <w:ilvl w:val="0"/>
          <w:numId w:val="71"/>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1"/>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1"/>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1"/>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1"/>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11" w:id="511"/>
      <w:r>
        <w:rPr>
          <w:rFonts w:ascii="Arial" w:cs="Arial" w:eastAsia="Arial" w:hAnsi="Arial"/>
          <w:b/>
          <w:bCs/>
          <w:color w:val="2B5C8A"/>
          <w:sz w:val="26"/>
          <w:szCs w:val="26"/>
          <w:rtl/>
        </w:rPr>
        <w:t xml:space="preserve">12. التتبع</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12" w:id="512"/>
      <w:r>
        <w:rPr>
          <w:rFonts w:ascii="Arial" w:cs="Arial" w:eastAsia="Arial" w:hAnsi="Arial"/>
          <w:b/>
          <w:bCs/>
          <w:color w:val="1F3A5F"/>
          <w:sz w:val="32"/>
          <w:szCs w:val="32"/>
          <w:rtl/>
        </w:rPr>
        <w:t xml:space="preserve">DOC-B11 — مواصفة البيئات والبناء والإصدار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1. الغرض والنطاق</w:t>
      </w:r>
      <w:bookmarkEnd w:id="513"/>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14" w:id="514"/>
      <w:r>
        <w:rPr>
          <w:rFonts w:ascii="Arial" w:cs="Arial" w:eastAsia="Arial" w:hAnsi="Arial"/>
          <w:b/>
          <w:bCs/>
          <w:color w:val="2B5C8A"/>
          <w:sz w:val="26"/>
          <w:szCs w:val="26"/>
          <w:rtl/>
        </w:rPr>
        <w:t xml:space="preserve">2. البيئات</w:t>
      </w:r>
      <w:bookmarkEnd w:id="514"/>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15" w:id="515"/>
      <w:r>
        <w:rPr>
          <w:rFonts w:ascii="Arial" w:cs="Arial" w:eastAsia="Arial" w:hAnsi="Arial"/>
          <w:b/>
          <w:bCs/>
          <w:color w:val="2B5C8A"/>
          <w:sz w:val="26"/>
          <w:szCs w:val="26"/>
          <w:rtl/>
        </w:rPr>
        <w:t xml:space="preserve">3. ما يعمل أين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16" w:id="516"/>
      <w:r>
        <w:rPr>
          <w:rFonts w:ascii="Arial" w:cs="Arial" w:eastAsia="Arial" w:hAnsi="Arial"/>
          <w:b/>
          <w:bCs/>
          <w:color w:val="2B5C8A"/>
          <w:sz w:val="26"/>
          <w:szCs w:val="26"/>
          <w:rtl/>
        </w:rPr>
        <w:t xml:space="preserve">4. التفرّع والإصدارات</w:t>
      </w:r>
      <w:bookmarkEnd w:id="516"/>
    </w:p>
    <w:p>
      <w:pPr>
        <w:pStyle w:val="Heading3"/>
        <w:bidi/>
      </w:pPr>
      <w:bookmarkStart w:name="_sec517" w:id="517"/>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17"/>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18" w:id="518"/>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18"/>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19" w:id="519"/>
      <w:r>
        <w:rPr>
          <w:rFonts w:ascii="Arial" w:cs="Arial" w:eastAsia="Arial" w:hAnsi="Arial"/>
          <w:b/>
          <w:bCs/>
          <w:color w:val="2B5C8A"/>
          <w:sz w:val="23"/>
          <w:szCs w:val="23"/>
          <w:rtl/>
        </w:rPr>
        <w:t xml:space="preserve">4.3 سجل الإصدارات (FR-PLT-045، البند 1)</w:t>
      </w:r>
      <w:bookmarkEnd w:id="519"/>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bidi/>
        <w:spacing w:after="60" w:before="0"/>
      </w:pPr>
    </w:p>
    <w:p>
      <w:pPr>
        <w:pStyle w:val="Heading2"/>
        <w:bidi/>
      </w:pPr>
      <w:bookmarkStart w:name="_sec520" w:id="520"/>
      <w:r>
        <w:rPr>
          <w:rFonts w:ascii="Arial" w:cs="Arial" w:eastAsia="Arial" w:hAnsi="Arial"/>
          <w:b/>
          <w:bCs/>
          <w:color w:val="2B5C8A"/>
          <w:sz w:val="26"/>
          <w:szCs w:val="26"/>
          <w:rtl/>
        </w:rPr>
        <w:t xml:space="preserve">5. خط البناء</w:t>
      </w:r>
      <w:bookmarkEnd w:id="520"/>
    </w:p>
    <w:p>
      <w:pPr>
        <w:pStyle w:val="Heading3"/>
        <w:bidi/>
      </w:pPr>
      <w:bookmarkStart w:name="_sec521" w:id="521"/>
      <w:r>
        <w:rPr>
          <w:rFonts w:ascii="Arial" w:cs="Arial" w:eastAsia="Arial" w:hAnsi="Arial"/>
          <w:b/>
          <w:bCs/>
          <w:color w:val="2B5C8A"/>
          <w:sz w:val="23"/>
          <w:szCs w:val="23"/>
          <w:rtl/>
        </w:rPr>
        <w:t xml:space="preserve">5.1 خط القاعدة القائم</w:t>
      </w:r>
      <w:bookmarkEnd w:id="521"/>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72"/>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2"/>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22" w:id="522"/>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22"/>
    </w:p>
    <w:p>
      <w:pPr>
        <w:keepNext/>
        <w:bidi/>
        <w:spacing w:after="60" w:before="160"/>
        <w:jc w:val="center"/>
      </w:pPr>
      <w:r>
        <w:drawing>
          <wp:inline distT="0" distB="0" distL="0" distR="0">
            <wp:extent cx="2009775" cy="8191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5.3 المهمة الأسبوعية (FR-PLT-045، البند 3)</w:t>
      </w:r>
      <w:bookmarkEnd w:id="523"/>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24" w:id="524"/>
      <w:r>
        <w:rPr>
          <w:rFonts w:ascii="Arial" w:cs="Arial" w:eastAsia="Arial" w:hAnsi="Arial"/>
          <w:b/>
          <w:bCs/>
          <w:color w:val="2B5C8A"/>
          <w:sz w:val="26"/>
          <w:szCs w:val="26"/>
          <w:rtl/>
        </w:rPr>
        <w:t xml:space="preserve">6. استراتيجية ترحيل القاعدة</w:t>
      </w:r>
      <w:bookmarkEnd w:id="524"/>
    </w:p>
    <w:p>
      <w:pPr>
        <w:pStyle w:val="Heading3"/>
        <w:bidi/>
      </w:pPr>
      <w:bookmarkStart w:name="_sec525" w:id="525"/>
      <w:r>
        <w:rPr>
          <w:rFonts w:ascii="Arial" w:cs="Arial" w:eastAsia="Arial" w:hAnsi="Arial"/>
          <w:b/>
          <w:bCs/>
          <w:color w:val="2B5C8A"/>
          <w:sz w:val="23"/>
          <w:szCs w:val="23"/>
          <w:rtl/>
        </w:rPr>
        <w:t xml:space="preserve">6.1 الوضع اليوم</w:t>
      </w:r>
      <w:bookmarkEnd w:id="525"/>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26" w:id="526"/>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26"/>
    </w:p>
    <w:p>
      <w:pPr>
        <w:pStyle w:val="ListParagraph"/>
        <w:numPr>
          <w:ilvl w:val="0"/>
          <w:numId w:val="73"/>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3"/>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3"/>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3"/>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73"/>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3"/>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3"/>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3"/>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27" w:id="527"/>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27"/>
    </w:p>
    <w:p>
      <w:pPr>
        <w:keepNext/>
        <w:bidi/>
        <w:spacing w:after="60" w:before="160"/>
        <w:jc w:val="center"/>
      </w:pPr>
      <w:r>
        <w:drawing>
          <wp:inline distT="0" distB="0" distL="0" distR="0">
            <wp:extent cx="6096000" cy="78200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528" w:id="528"/>
      <w:r>
        <w:rPr>
          <w:rFonts w:ascii="Arial" w:cs="Arial" w:eastAsia="Arial" w:hAnsi="Arial"/>
          <w:b/>
          <w:bCs/>
          <w:color w:val="2B5C8A"/>
          <w:sz w:val="26"/>
          <w:szCs w:val="26"/>
          <w:rtl/>
        </w:rPr>
        <w:t xml:space="preserve">7. بوابات الإصدار</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9"/>
        <w:gridCol w:w="4038"/>
        <w:gridCol w:w="3787"/>
      </w:tblGrid>
      <w:tr>
        <w:trPr>
          <w:cantSplit/>
          <w:tblHeader/>
        </w:trPr>
        <w:tc>
          <w:tcPr>
            <w:tcW w:type="dxa" w:w="20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29" w:id="529"/>
      <w:r>
        <w:rPr>
          <w:rFonts w:ascii="Arial" w:cs="Arial" w:eastAsia="Arial" w:hAnsi="Arial"/>
          <w:b/>
          <w:bCs/>
          <w:color w:val="2B5C8A"/>
          <w:sz w:val="26"/>
          <w:szCs w:val="26"/>
          <w:rtl/>
        </w:rPr>
        <w:t xml:space="preserve">8. التراجع</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30" w:id="530"/>
      <w:r>
        <w:rPr>
          <w:rFonts w:ascii="Arial" w:cs="Arial" w:eastAsia="Arial" w:hAnsi="Arial"/>
          <w:b/>
          <w:bCs/>
          <w:color w:val="2B5C8A"/>
          <w:sz w:val="26"/>
          <w:szCs w:val="26"/>
          <w:rtl/>
        </w:rPr>
        <w:t xml:space="preserve">9. الإعدادات والأسرار لكل بيئة</w:t>
      </w:r>
      <w:bookmarkEnd w:id="530"/>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10. البيانات في البيئات غير الإنتاجية</w:t>
      </w:r>
      <w:bookmarkEnd w:id="531"/>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4"/>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4"/>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4"/>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4"/>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4"/>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32" w:id="532"/>
      <w:r>
        <w:rPr>
          <w:rFonts w:ascii="Arial" w:cs="Arial" w:eastAsia="Arial" w:hAnsi="Arial"/>
          <w:b/>
          <w:bCs/>
          <w:color w:val="2B5C8A"/>
          <w:sz w:val="26"/>
          <w:szCs w:val="26"/>
          <w:rtl/>
        </w:rPr>
        <w:t xml:space="preserve">11. حزمة النشر القابلة للنقل</w:t>
      </w:r>
      <w:bookmarkEnd w:id="532"/>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33" w:id="533"/>
      <w:r>
        <w:rPr>
          <w:rFonts w:ascii="Arial" w:cs="Arial" w:eastAsia="Arial" w:hAnsi="Arial"/>
          <w:b/>
          <w:bCs/>
          <w:color w:val="2B5C8A"/>
          <w:sz w:val="26"/>
          <w:szCs w:val="26"/>
          <w:rtl/>
        </w:rPr>
        <w:t xml:space="preserve">12. القرارات المطلوبة</w:t>
      </w:r>
      <w:bookmarkEnd w:id="5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34" w:id="534"/>
      <w:r>
        <w:rPr>
          <w:rFonts w:ascii="Arial" w:cs="Arial" w:eastAsia="Arial" w:hAnsi="Arial"/>
          <w:b/>
          <w:bCs/>
          <w:color w:val="2B5C8A"/>
          <w:sz w:val="26"/>
          <w:szCs w:val="26"/>
          <w:rtl/>
        </w:rPr>
        <w:t xml:space="preserve">13. تعارضات وفجوات في المصادر</w:t>
      </w:r>
      <w:bookmarkEnd w:id="534"/>
    </w:p>
    <w:p>
      <w:pPr>
        <w:pStyle w:val="ListParagraph"/>
        <w:numPr>
          <w:ilvl w:val="0"/>
          <w:numId w:val="75"/>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5"/>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35" w:id="535"/>
      <w:r>
        <w:rPr>
          <w:rFonts w:ascii="Arial" w:cs="Arial" w:eastAsia="Arial" w:hAnsi="Arial"/>
          <w:b/>
          <w:bCs/>
          <w:color w:val="2B5C8A"/>
          <w:sz w:val="26"/>
          <w:szCs w:val="26"/>
          <w:rtl/>
        </w:rPr>
        <w:t xml:space="preserve">14. التتبع</w:t>
      </w:r>
      <w:bookmarkEnd w:id="5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e6e43d664f34751fa7f2d40b849c518d4ee1c43e.png"/><Relationship Id="rId33" Type="http://schemas.openxmlformats.org/officeDocument/2006/relationships/image" Target="media/541a6f3bbea413d552ebe466648b370367ea9256.png"/><Relationship Id="rId34" Type="http://schemas.openxmlformats.org/officeDocument/2006/relationships/image" Target="media/6b88a889dbc403bc4cbcedd81b39e03ffc2c7b2c.png"/><Relationship Id="rId35" Type="http://schemas.openxmlformats.org/officeDocument/2006/relationships/image" Target="media/48c51d9faa8085acade69266c4d9c11fe3f3be67.png"/><Relationship Id="rId36" Type="http://schemas.openxmlformats.org/officeDocument/2006/relationships/image" Target="media/d4ff41ddb6c3dd05f19a4f4b157936e9eca0b570.png"/><Relationship Id="rId37" Type="http://schemas.openxmlformats.org/officeDocument/2006/relationships/image" Target="media/da28a86e7d9701e73cf4f6309c12b8c4e73add06.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7d0d6072872ee0d2ed8989e484023a446e8817ae.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18c8c23c03fec92c8bd6edd9478f25bbe94432cf.png"/><Relationship Id="rId50" Type="http://schemas.openxmlformats.org/officeDocument/2006/relationships/image" Target="media/e9685153b6c403ece7a2b9fb221acc7809d41d90.png"/><Relationship Id="rId51" Type="http://schemas.openxmlformats.org/officeDocument/2006/relationships/image" Target="media/d681ac65f0b4f55d48d9d2bbd4def27ec0cf01dd.png"/><Relationship Id="rId52" Type="http://schemas.openxmlformats.org/officeDocument/2006/relationships/image" Target="media/747b464a761b041f27659c28146cb2f7a09afe32.png"/><Relationship Id="rId53" Type="http://schemas.openxmlformats.org/officeDocument/2006/relationships/image" Target="media/8a8bf5da570103e2a49ffd1ddde6012c6605c810.png"/><Relationship Id="rId54" Type="http://schemas.openxmlformats.org/officeDocument/2006/relationships/image" Target="media/13650de25d68807e07cd0c0701015690c390dc49.png"/><Relationship Id="rId55" Type="http://schemas.openxmlformats.org/officeDocument/2006/relationships/image" Target="media/f9e7e867d2dbafc34b7737504e5f925aabeeb1a8.png"/><Relationship Id="rId56" Type="http://schemas.openxmlformats.org/officeDocument/2006/relationships/image" Target="media/31ed743abca1cf91bfe53c50576bc1d09bc2c428.png"/><Relationship Id="rId57" Type="http://schemas.openxmlformats.org/officeDocument/2006/relationships/image" Target="media/5effc01b08852666a75f304a3b0f8f4395ebf2dd.png"/><Relationship Id="rId58" Type="http://schemas.openxmlformats.org/officeDocument/2006/relationships/image" Target="media/791a7aa21b8abcbcb6b1a5d6a2c638481d41c43c.png"/><Relationship Id="rId59" Type="http://schemas.openxmlformats.org/officeDocument/2006/relationships/image" Target="media/3f3dc959156772b35bb1ceeb2523d896c0117663.png"/><Relationship Id="rId60" Type="http://schemas.openxmlformats.org/officeDocument/2006/relationships/image" Target="media/e94ebe6c4db9727b68f1ee4a9286f616440483e7.png"/><Relationship Id="rId61" Type="http://schemas.openxmlformats.org/officeDocument/2006/relationships/image" Target="media/64132523d7b28330b4d50eb997125b9cdc13bfb8.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2026-10-13T21:02:58.098Z</dcterms:created>
  <dcterms:modified xsi:type="dcterms:W3CDTF">2026-10-13T21:02:58.098Z</dcterms:modified>
</cp:coreProperties>
</file>

<file path=docProps/custom.xml><?xml version="1.0" encoding="utf-8"?>
<Properties xmlns="http://schemas.openxmlformats.org/officeDocument/2006/custom-properties" xmlns:vt="http://schemas.openxmlformats.org/officeDocument/2006/docPropsVTypes"/>
</file>