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DATABASE DESIGN AND ERD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8138"/>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0.4)</w:t>
            </w:r>
            <w:r>
              <w:rPr>
                <w:rFonts w:ascii="Arial" w:cs="Arial" w:eastAsia="Arial" w:hAnsi="Arial"/>
                <w:b w:val="false"/>
                <w:bCs w:val="false"/>
                <w:sz w:val="18"/>
                <w:szCs w:val="18"/>
                <w:rtl/>
              </w:rPr>
              <w:t xml:space="preserve"> — تصميم قاعدة البيانات مع مخططات ERD مهنية (تدوين Crow's Foot) ومواصفات الجداول والعلاقات، مُولَّدة من النموذج</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(الجداول 213 · المخططات 20، من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 الملفات المولَّدة لا تُعدَّل يدويًا</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‎tools/dbgen/erd_mermaid.py‎</w:t>
            </w:r>
            <w:r>
              <w:rPr>
                <w:rFonts w:ascii="Arial" w:cs="Arial" w:eastAsia="Arial" w:hAnsi="Arial"/>
                <w:b w:val="false"/>
                <w:bCs w:val="false"/>
                <w:sz w:val="18"/>
                <w:szCs w:val="18"/>
                <w:rtl/>
              </w:rPr>
              <w:t xml:space="preserve"> (المخططات) · </w:t>
            </w:r>
            <w:r>
              <w:rPr>
                <w:rFonts w:ascii="Courier New" w:cs="Courier New" w:eastAsia="Courier New" w:hAnsi="Courier New"/>
                <w:b w:val="false"/>
                <w:bCs w:val="false"/>
                <w:color w:val="1F2937"/>
                <w:sz w:val="16"/>
                <w:szCs w:val="16"/>
                <w:shd w:fill="F1F3F5" w:color="auto" w:val="clear"/>
                <w:rtl/>
              </w:rPr>
              <w:t xml:space="preserve">‎tools/dbgen/build_erd_doc.py‎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‎tools/dbgen/check_review_fixes.py‎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(الأرقام)</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(الإصداران 0.2 و0.3)</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5">
        <w:r>
          <w:rPr>
            <w:rFonts w:ascii="Arial" w:cs="Arial" w:eastAsia="Arial" w:hAnsi="Arial"/>
            <w:b/>
            <w:bCs/>
            <w:color w:val="1F3A5F"/>
            <w:sz w:val="20"/>
            <w:szCs w:val="20"/>
            <w:rtl/>
          </w:rPr>
          <w:t xml:space="preserve">8. الفهرسة</w:t>
        </w:r>
      </w:hyperlink>
    </w:p>
    <w:p>
      <w:pPr>
        <w:bidi/>
        <w:spacing w:after="50" w:before="0"/>
        <w:ind w:left="0"/>
      </w:pPr>
      <w:hyperlink w:history="1" w:anchor="_sec26">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1">
        <w:r>
          <w:rPr>
            <w:rFonts w:ascii="Arial" w:cs="Arial" w:eastAsia="Arial" w:hAnsi="Arial"/>
            <w:b/>
            <w:bCs/>
            <w:color w:val="1F3A5F"/>
            <w:sz w:val="20"/>
            <w:szCs w:val="20"/>
            <w:rtl/>
          </w:rPr>
          <w:t xml:space="preserve">10. ERD والمواصفات التفصيلية حسب الوحدة</w:t>
        </w:r>
      </w:hyperlink>
    </w:p>
    <w:p>
      <w:pPr>
        <w:bidi/>
        <w:spacing w:after="50" w:before="0"/>
        <w:ind w:left="0"/>
      </w:pPr>
      <w:hyperlink w:history="1" w:anchor="_sec102">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108">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113">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114">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115">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116">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117">
        <w:r>
          <w:rPr>
            <w:rFonts w:ascii="Arial" w:cs="Arial" w:eastAsia="Arial" w:hAnsi="Arial"/>
            <w:b/>
            <w:bCs/>
            <w:color w:val="1F3A5F"/>
            <w:sz w:val="20"/>
            <w:szCs w:val="20"/>
            <w:rtl/>
          </w:rPr>
          <w:t xml:space="preserve">17. الخطوة التالية</w:t>
        </w:r>
      </w:hyperlink>
    </w:p>
    <w:p>
      <w:pPr>
        <w:bidi/>
        <w:spacing w:after="50" w:before="0"/>
        <w:ind w:left="0"/>
      </w:pPr>
      <w:hyperlink w:history="1" w:anchor="_sec118">
        <w:r>
          <w:rPr>
            <w:rFonts w:ascii="Arial" w:cs="Arial" w:eastAsia="Arial" w:hAnsi="Arial"/>
            <w:b/>
            <w:bCs/>
            <w:color w:val="1F3A5F"/>
            <w:sz w:val="20"/>
            <w:szCs w:val="20"/>
            <w:rtl/>
          </w:rPr>
          <w:t xml:space="preserve">18. مراجعة التصميم (Design review)</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(الإصداران 0.2 و0.3)</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والإصدار 0.3 (2026-10-18) بعد المراجعة الذاتية ووحدة القوائم المالية (C-13 وC-14).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بناء الوثيقة كـ </w:t>
            </w:r>
            <w:r>
              <w:rPr>
                <w:rFonts w:ascii="Arial" w:cs="Arial" w:eastAsia="Arial" w:hAnsi="Arial"/>
                <w:b/>
                <w:bCs/>
                <w:sz w:val="18"/>
                <w:szCs w:val="18"/>
                <w:rtl/>
              </w:rPr>
              <w:t xml:space="preserve">DATABASE DESIGN AND ERD</w:t>
            </w:r>
            <w:r>
              <w:rPr>
                <w:rFonts w:ascii="Arial" w:cs="Arial" w:eastAsia="Arial" w:hAnsi="Arial"/>
                <w:b w:val="false"/>
                <w:bCs w:val="false"/>
                <w:sz w:val="18"/>
                <w:szCs w:val="18"/>
                <w:rtl/>
              </w:rPr>
              <w:t xml:space="preserve">: مخططات Crow's Foot مهنية، ومواصفة لكل جدول ولكل علاقة، مُولَّدة من النموذج بدل الصور البسيطة السابقة</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ERD بمستوى مهني ومواصفات كاملة لكل جدول ومودول وعلاقة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w:t>
            </w:r>
            <w:r>
              <w:rPr>
                <w:rFonts w:ascii="Courier New" w:cs="Courier New" w:eastAsia="Courier New" w:hAnsi="Courier New"/>
                <w:b w:val="false"/>
                <w:bCs w:val="false"/>
                <w:color w:val="1F2937"/>
                <w:sz w:val="16"/>
                <w:szCs w:val="16"/>
                <w:shd w:fill="F1F3F5" w:color="auto" w:val="clear"/>
                <w:rtl/>
              </w:rPr>
              <w:t xml:space="preserve">‎20-database-design-and-erd.md‎</w:t>
            </w:r>
            <w:r>
              <w:rPr>
                <w:rFonts w:ascii="Arial" w:cs="Arial" w:eastAsia="Arial" w:hAnsi="Arial"/>
                <w:b w:val="false"/>
                <w:bCs w:val="false"/>
                <w:sz w:val="18"/>
                <w:szCs w:val="18"/>
                <w:rtl/>
              </w:rPr>
              <w:t xml:space="preserve"> §18)</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C-13</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(ADR 0015،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المراجعة المعتمدة نهائية (§5.1)، والحراس الخمسة في §7.2، وجذر العقدة في الاختبارات والمخالفات وبنود التقويم، و</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لكل قيمة بلا مستند (§5.2)، وضوابط النشر والتدقيق (§12.1)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بخمس عدسات وجدت 63 نتيجة، بعضها يغيّر ما تسمح به القاعدة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C-14</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القوائم المالية في م5 (ADR 0016، </w:t>
            </w:r>
            <w:r>
              <w:rPr>
                <w:rFonts w:ascii="Courier New" w:cs="Courier New" w:eastAsia="Courier New" w:hAnsi="Courier New"/>
                <w:b w:val="false"/>
                <w:bCs w:val="false"/>
                <w:color w:val="1F2937"/>
                <w:sz w:val="16"/>
                <w:szCs w:val="16"/>
                <w:shd w:fill="F1F3F5" w:color="auto" w:val="clear"/>
                <w:rtl/>
              </w:rPr>
              <w:t xml:space="preserve">‎045_financial_statements.sql‎</w:t>
            </w:r>
            <w:r>
              <w:rPr>
                <w:rFonts w:ascii="Arial" w:cs="Arial" w:eastAsia="Arial" w:hAnsi="Arial"/>
                <w:b w:val="false"/>
                <w:bCs w:val="false"/>
                <w:sz w:val="18"/>
                <w:szCs w:val="18"/>
                <w:rtl/>
              </w:rPr>
              <w:t xml:space="preserve">): القوائم المستقلة والموحّدة للقابضة بوحداتها، ومقاييس التحليل، وربط الاختبار بالقوائم التي قرأها، وتقرير المخالفات، وأداء السيولة المحوَّلة إلى البنك (§11)</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C-15</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للميزانية على سلّم موديز (ADR 0017، </w:t>
            </w:r>
            <w:r>
              <w:rPr>
                <w:rFonts w:ascii="Courier New" w:cs="Courier New" w:eastAsia="Courier New" w:hAnsi="Courier New"/>
                <w:b w:val="false"/>
                <w:bCs w:val="false"/>
                <w:color w:val="1F2937"/>
                <w:sz w:val="16"/>
                <w:szCs w:val="16"/>
                <w:shd w:fill="F1F3F5" w:color="auto" w:val="clear"/>
                <w:rtl/>
              </w:rPr>
              <w:t xml:space="preserve">‎046_credit_assessment.sql‎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المنهجية بيانات عالمية للمنصة، والحساب في القاعدة، وتقرير بنقاط القوة والضعف والمخاطر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 بمراجعة خبير ائتمان مستقل</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7046"/>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213</w:t>
            </w:r>
            <w:r>
              <w:rPr>
                <w:rFonts w:ascii="Arial" w:cs="Arial" w:eastAsia="Arial" w:hAnsi="Arial"/>
                <w:b w:val="false"/>
                <w:bCs w:val="false"/>
                <w:sz w:val="18"/>
                <w:szCs w:val="18"/>
                <w:rtl/>
              </w:rPr>
              <w:t xml:space="preserve"> في 20 مخططًا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3,612 مُعرَّفة في النماذج + الأعمدة الآلية = </w:t>
            </w:r>
            <w:r>
              <w:rPr>
                <w:rFonts w:ascii="Arial" w:cs="Arial" w:eastAsia="Arial" w:hAnsi="Arial"/>
                <w:b/>
                <w:bCs/>
                <w:sz w:val="18"/>
                <w:szCs w:val="18"/>
                <w:rtl/>
              </w:rPr>
              <w:t xml:space="preserve">4,165</w:t>
            </w:r>
            <w:r>
              <w:rPr>
                <w:rFonts w:ascii="Arial" w:cs="Arial" w:eastAsia="Arial" w:hAnsi="Arial"/>
                <w:b w:val="false"/>
                <w:bCs w:val="false"/>
                <w:sz w:val="18"/>
                <w:szCs w:val="18"/>
                <w:rtl/>
              </w:rPr>
              <w:t xml:space="preserve"> في DDL</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829</w:t>
            </w:r>
            <w:r>
              <w:rPr>
                <w:rFonts w:ascii="Arial" w:cs="Arial" w:eastAsia="Arial" w:hAnsi="Arial"/>
                <w:b w:val="false"/>
                <w:bCs w:val="false"/>
                <w:sz w:val="18"/>
                <w:szCs w:val="18"/>
                <w:rtl/>
              </w:rPr>
              <w:t xml:space="preserve"> = 194 إلى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549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+ 86 بسيطة نحو جداول عالمية/مختلطة؛ حذف متتالٍ واحد (§7)</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772 غير مجمّع (229 مصفّاة · 51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1,359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448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+ 148 فهرسًا فريدًا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(جذور التجميعات المعرَّضة عبر API)</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 (189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الـ21 العالمية خارجها)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العالمية المحجوبة الخمسة والداخلية الثلاثة (§3.3)؛ يقرأ التطبيق صف مشتركه ووحداته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‎plat.v_TenantModule‎</w:t>
            </w:r>
          </w:p>
        </w:tc>
      </w:tr>
    </w:tbl>
    <w:p>
      <w:pPr>
        <w:bidi/>
        <w:spacing w:after="120" w:before="0"/>
      </w:pPr>
    </w:p>
    <w:p>
      <w:pPr>
        <w:bidi/>
        <w:spacing w:after="110" w:before="0" w:line="312"/>
      </w:pPr>
      <w:r>
        <w:rPr>
          <w:rFonts w:ascii="Arial" w:cs="Arial" w:eastAsia="Arial" w:hAnsi="Arial"/>
          <w:b w:val="false"/>
          <w:bCs w:val="false"/>
          <w:sz w:val="21"/>
          <w:szCs w:val="21"/>
          <w:rtl/>
        </w:rPr>
        <w:t xml:space="preserve">مصدر هذه الأرقام وأرقام §4: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يقرأ النموذج وDDL المولَّد؛ تُحدَّث الوثيقة منه لا يدويًا.</w:t>
      </w: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كل الجداول (§1)؛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(138 مفتاحًا من الـ549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189</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362075"/>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362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55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(164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(39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ListParagraph"/>
        <w:numPr>
          <w:ilvl w:val="0"/>
          <w:numId w:val="3"/>
        </w:numPr>
        <w:bidi/>
        <w:spacing w:after="70" w:before="0" w:line="300"/>
      </w:pPr>
      <w:r>
        <w:rPr>
          <w:rFonts w:ascii="Arial" w:cs="Arial" w:eastAsia="Arial" w:hAnsi="Arial"/>
          <w:b/>
          <w:bCs/>
          <w:sz w:val="21"/>
          <w:szCs w:val="21"/>
          <w:rtl/>
        </w:rPr>
        <w:t xml:space="preserve">المعتمد نهائي في القاعدة (044، ADR 0015):</w:t>
      </w:r>
      <w:r>
        <w:rPr>
          <w:rFonts w:ascii="Arial" w:cs="Arial" w:eastAsia="Arial" w:hAnsi="Arial"/>
          <w:b w:val="false"/>
          <w:bCs w:val="false"/>
          <w:sz w:val="21"/>
          <w:szCs w:val="21"/>
          <w:rtl/>
        </w:rPr>
        <w:t xml:space="preserve"> لكل جدول من الـ13 قادح مبني من أعمدته: صف </w:t>
      </w:r>
      <w:r>
        <w:rPr>
          <w:rFonts w:ascii="Courier New" w:cs="Courier New" w:eastAsia="Courier New" w:hAnsi="Courier New"/>
          <w:b w:val="false"/>
          <w:bCs w:val="false"/>
          <w:color w:val="1F2937"/>
          <w:sz w:val="18"/>
          <w:szCs w:val="18"/>
          <w:shd w:fill="F1F3F5" w:color="auto" w:val="clear"/>
          <w:rtl/>
        </w:rPr>
        <w:t xml:space="preserve">‎FromRevision &lt;= Facility.ApprovedRevisionNo‎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NULL ومراجعة بعد المعتمدة (50049). صف </w:t>
      </w:r>
      <w:r>
        <w:rPr>
          <w:rFonts w:ascii="Courier New" w:cs="Courier New" w:eastAsia="Courier New" w:hAnsi="Courier New"/>
          <w:b w:val="false"/>
          <w:bCs w:val="false"/>
          <w:color w:val="1F2937"/>
          <w:sz w:val="18"/>
          <w:szCs w:val="18"/>
          <w:shd w:fill="F1F3F5" w:color="auto" w:val="clear"/>
          <w:rtl/>
        </w:rPr>
        <w:t xml:space="preserve">‎FacilityRevision‎</w:t>
      </w:r>
      <w:r>
        <w:rPr>
          <w:rFonts w:ascii="Arial" w:cs="Arial" w:eastAsia="Arial" w:hAnsi="Arial"/>
          <w:b w:val="false"/>
          <w:bCs w:val="false"/>
          <w:sz w:val="21"/>
          <w:szCs w:val="21"/>
          <w:rtl/>
        </w:rPr>
        <w:t xml:space="preserve"> المعتمد نهائي إلا أعمدة التدقيق، وروابط الالتزام أو التعهد المعتمد تتبعه، وصف التسهيل يُقرأ بقفل تحديث. أي تغيير على المعتمد مراجعة جديدة.</w:t>
      </w:r>
    </w:p>
    <w:p>
      <w:pPr>
        <w:bidi/>
        <w:spacing w:after="60" w:before="0"/>
      </w:pP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وقيد يولّده المولِّد على كل جدول </w:t>
      </w:r>
      <w:r>
        <w:rPr>
          <w:rFonts w:ascii="Courier New" w:cs="Courier New" w:eastAsia="Courier New" w:hAnsi="Courier New"/>
          <w:b w:val="false"/>
          <w:bCs w:val="false"/>
          <w:color w:val="1F2937"/>
          <w:sz w:val="18"/>
          <w:szCs w:val="18"/>
          <w:shd w:fill="F1F3F5" w:color="auto" w:val="clear"/>
          <w:rtl/>
        </w:rPr>
        <w:t xml:space="preserve">‎src‎</w:t>
      </w:r>
      <w:r>
        <w:rPr>
          <w:rFonts w:ascii="Arial" w:cs="Arial" w:eastAsia="Arial" w:hAnsi="Arial"/>
          <w:b w:val="false"/>
          <w:bCs w:val="false"/>
          <w:sz w:val="21"/>
          <w:szCs w:val="21"/>
          <w:rtl/>
        </w:rPr>
        <w:t xml:space="preserve">: قيمة بلا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تحمل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غير فارغ (ADR 0015).</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كل عمود موسوم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(31، §1)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والدوال الداخلية محجوبة عنه أيضًا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§7.2)</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(§1)،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2"/>
        <w:bidi/>
      </w:pPr>
      <w:bookmarkStart w:name="_sec24" w:id="24"/>
      <w:r>
        <w:rPr>
          <w:rFonts w:ascii="Arial" w:cs="Arial" w:eastAsia="Arial" w:hAnsi="Arial"/>
          <w:b/>
          <w:bCs/>
          <w:color w:val="2B5C8A"/>
          <w:sz w:val="26"/>
          <w:szCs w:val="26"/>
          <w:rtl/>
        </w:rPr>
        <w:t xml:space="preserve">7.2 حراس المراجعة الذاتية (ADR 0015)</w:t>
      </w:r>
      <w:bookmarkEnd w:id="24"/>
    </w:p>
    <w:p>
      <w:pPr>
        <w:bidi/>
        <w:spacing w:after="110" w:before="0" w:line="312"/>
      </w:pPr>
      <w:r>
        <w:rPr>
          <w:rFonts w:ascii="Arial" w:cs="Arial" w:eastAsia="Arial" w:hAnsi="Arial"/>
          <w:b w:val="false"/>
          <w:bCs w:val="false"/>
          <w:sz w:val="21"/>
          <w:szCs w:val="21"/>
          <w:rtl/>
        </w:rPr>
        <w:t xml:space="preserve">كل حارس يقرأ صف الأب بـ</w:t>
      </w:r>
      <w:r>
        <w:rPr>
          <w:rFonts w:ascii="Courier New" w:cs="Courier New" w:eastAsia="Courier New" w:hAnsi="Courier New"/>
          <w:b w:val="false"/>
          <w:bCs w:val="false"/>
          <w:color w:val="1F2937"/>
          <w:sz w:val="18"/>
          <w:szCs w:val="18"/>
          <w:shd w:fill="F1F3F5" w:color="auto" w:val="clear"/>
          <w:rtl/>
        </w:rPr>
        <w:t xml:space="preserve">‎UPDLOCK, HOLDLOCK‎</w:t>
      </w:r>
      <w:r>
        <w:rPr>
          <w:rFonts w:ascii="Arial" w:cs="Arial" w:eastAsia="Arial" w:hAnsi="Arial"/>
          <w:b w:val="false"/>
          <w:bCs w:val="false"/>
          <w:sz w:val="21"/>
          <w:szCs w:val="21"/>
          <w:rtl/>
        </w:rPr>
        <w:t xml:space="preserve">، فلا تتداخل موافقة مع كتابة على صفوفها.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4423"/>
        <w:gridCol w:w="4081"/>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يمنعه</w:t>
            </w:r>
          </w:p>
        </w:tc>
        <w:tc>
          <w:tcPr>
            <w:tcW w:type="dxa" w:w="4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تجميد المراجعة المعتمدة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صفوف مراجعة معتمدة أو صف اعتمادها (§5.1)</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50049؛ SR1</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قاعدة الحد</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بحد غير حدّه أو مُعامِل غير مُعامِله، أو «بلا حد» على تعهد له حد، أو حكم على تعهد بلا حد</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50054؛ SR2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تنقية الحقول المقيّدة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قيمة حقل اعتماد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في تعديل بأي مفتاح أعلى وبأي حالة أحرف أو طول؛ ورفع حقل إلى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يمحو قيمه من النسخ المكتوبة</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50058؛ SR3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الدوال عن التقارير</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مرشّحات الصفوف تعمل بلا إذنه</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‎090_readonly_denies.sql‎</w:t>
            </w:r>
            <w:r>
              <w:rPr>
                <w:rFonts w:ascii="Arial" w:cs="Arial" w:eastAsia="Arial" w:hAnsi="Arial"/>
                <w:b w:val="false"/>
                <w:bCs w:val="false"/>
                <w:sz w:val="18"/>
                <w:szCs w:val="18"/>
                <w:rtl/>
              </w:rPr>
              <w:t xml:space="preserve">؛ SR7</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القوادح المتكررة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w:t>
            </w:r>
            <w:r>
              <w:rPr>
                <w:rFonts w:ascii="Courier New" w:cs="Courier New" w:eastAsia="Courier New" w:hAnsi="Courier New"/>
                <w:b w:val="false"/>
                <w:bCs w:val="false"/>
                <w:color w:val="1F2937"/>
                <w:sz w:val="16"/>
                <w:szCs w:val="16"/>
                <w:shd w:fill="F1F3F5" w:color="auto" w:val="clear"/>
                <w:rtl/>
              </w:rPr>
              <w:t xml:space="preserve">‎RECURSIVE_TRIGGERS ON‎</w:t>
            </w:r>
            <w:r>
              <w:rPr>
                <w:rFonts w:ascii="Arial" w:cs="Arial" w:eastAsia="Arial" w:hAnsi="Arial"/>
                <w:b w:val="false"/>
                <w:bCs w:val="false"/>
                <w:sz w:val="18"/>
                <w:szCs w:val="18"/>
                <w:rtl/>
              </w:rPr>
              <w:t xml:space="preserve">، فقوادح النسخ في 044 تكتب جداولها</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‎deploy_preflight.sql‎</w:t>
            </w:r>
            <w:r>
              <w:rPr>
                <w:rFonts w:ascii="Arial" w:cs="Arial" w:eastAsia="Arial" w:hAnsi="Arial"/>
                <w:b w:val="false"/>
                <w:bCs w:val="false"/>
                <w:sz w:val="18"/>
                <w:szCs w:val="18"/>
                <w:rtl/>
              </w:rPr>
              <w:t xml:space="preserve">، 50145؛ PF6</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8. الفهرسة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(229)</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(51)</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 واحد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(§7) فلا مسارات تعاقب متعددة. </w:t>
      </w: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(الخطوة 3 في CI) يشترط لكل مفتاح أجنبي من أعمدة النموذج فهرسًا يبدأ بأعمدته أو علامة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551 مفهرسًا و85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وصفر بلا فهرس.</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6" w:id="26"/>
      <w:r>
        <w:rPr>
          <w:rFonts w:ascii="Arial" w:cs="Arial" w:eastAsia="Arial" w:hAnsi="Arial"/>
          <w:b/>
          <w:bCs/>
          <w:color w:val="1F3A5F"/>
          <w:sz w:val="32"/>
          <w:szCs w:val="32"/>
          <w:rtl/>
        </w:rPr>
        <w:t xml:space="preserve">9. الأدوار والصلاحيات (على مستوى القاعدة)</w:t>
      </w:r>
      <w:bookmarkEnd w:id="26"/>
    </w:p>
    <w:p>
      <w:pPr>
        <w:pStyle w:val="Heading2"/>
        <w:bidi/>
      </w:pPr>
      <w:bookmarkStart w:name="_sec27" w:id="27"/>
      <w:r>
        <w:rPr>
          <w:rFonts w:ascii="Arial" w:cs="Arial" w:eastAsia="Arial" w:hAnsi="Arial"/>
          <w:b/>
          <w:bCs/>
          <w:color w:val="2B5C8A"/>
          <w:sz w:val="26"/>
          <w:szCs w:val="26"/>
          <w:rtl/>
        </w:rPr>
        <w:t xml:space="preserve">9.1 الأدوار</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القوائم المالية ودالة أداء التدفقات في 045 (ADR 0016)،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التقييم في 046 (ADR 0017) · لا يكتب نتائج التقييم ولا عوامله ولا ملاحظاته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046) · لا يكتب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045)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 ولا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ADR 0015)، وتبقى عروض التقارير مقروءة</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8" w:id="28"/>
      <w:r>
        <w:rPr>
          <w:rFonts w:ascii="Arial" w:cs="Arial" w:eastAsia="Arial" w:hAnsi="Arial"/>
          <w:b/>
          <w:bCs/>
          <w:color w:val="2B5C8A"/>
          <w:sz w:val="26"/>
          <w:szCs w:val="26"/>
          <w:rtl/>
        </w:rPr>
        <w:t xml:space="preserve">9.2 من أين تأتي المنح</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8"/>
        <w:gridCol w:w="3626"/>
      </w:tblGrid>
      <w:tr>
        <w:trPr>
          <w:cantSplit/>
          <w:tblHeader/>
        </w:trPr>
        <w:tc>
          <w:tcPr>
            <w:tcW w:type="dxa" w:w="6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الأعمدة المقيّدة (31)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(226 عبارة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عروض القوائم المالية ودالة الأداء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(ADR 0016)</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‎db/static/046_credit_assessment.sql‎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الحساب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العروض الستة ودالة تحليل البنود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العوامل والملاحظات وأعمدة النتيجة (ADR 0017)</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‎db/static/090_readonly_denies.sql‎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سكربت ثابت: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الدوال الداخلية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فتشمل كل دالة أنشأها ما قبله (ADR 0015)</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9.3 التحقق الثابت من الصلاحيات</w:t>
      </w:r>
      <w:bookmarkEnd w:id="2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30" w:id="30"/>
      <w:r>
        <w:rPr>
          <w:rFonts w:ascii="Arial" w:cs="Arial" w:eastAsia="Arial" w:hAnsi="Arial"/>
          <w:b/>
          <w:bCs/>
          <w:color w:val="2B5C8A"/>
          <w:sz w:val="26"/>
          <w:szCs w:val="26"/>
          <w:rtl/>
        </w:rPr>
        <w:t xml:space="preserve">9.4 قواعد عامة</w:t>
      </w:r>
      <w:bookmarkEnd w:id="30"/>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1" w:id="31"/>
      <w:r>
        <w:rPr>
          <w:rFonts w:ascii="Arial" w:cs="Arial" w:eastAsia="Arial" w:hAnsi="Arial"/>
          <w:b/>
          <w:bCs/>
          <w:color w:val="1F3A5F"/>
          <w:sz w:val="32"/>
          <w:szCs w:val="32"/>
          <w:rtl/>
        </w:rPr>
        <w:t xml:space="preserve">10. ERD والمواصفات التفصيلية حسب الوحدة</w:t>
      </w:r>
      <w:bookmarkEnd w:id="31"/>
    </w:p>
    <w:p>
      <w:pPr>
        <w:bidi/>
        <w:spacing w:after="110" w:before="0" w:line="312"/>
      </w:pPr>
      <w:r>
        <w:rPr>
          <w:rFonts w:ascii="Arial" w:cs="Arial" w:eastAsia="Arial" w:hAnsi="Arial"/>
          <w:b w:val="false"/>
          <w:bCs w:val="false"/>
          <w:sz w:val="21"/>
          <w:szCs w:val="21"/>
          <w:rtl/>
        </w:rPr>
        <w:t xml:space="preserve">كل مخطط في هذا القسم </w:t>
      </w:r>
      <w:r>
        <w:rPr>
          <w:rFonts w:ascii="Arial" w:cs="Arial" w:eastAsia="Arial" w:hAnsi="Arial"/>
          <w:b/>
          <w:bCs/>
          <w:sz w:val="21"/>
          <w:szCs w:val="21"/>
          <w:rtl/>
        </w:rPr>
        <w:t xml:space="preserve">مُولَّد من النموذج نفسه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‎db/model‎</w:t>
      </w:r>
      <w:r>
        <w:rPr>
          <w:rFonts w:ascii="Arial" w:cs="Arial" w:eastAsia="Arial" w:hAnsi="Arial"/>
          <w:b w:val="false"/>
          <w:bCs w:val="false"/>
          <w:sz w:val="21"/>
          <w:szCs w:val="21"/>
          <w:rtl/>
        </w:rPr>
        <w:t xml:space="preserve">)، فلا ينحرف عن قاعدة البيانات. الترتيب: أولًا خريطة المخططات، ثم مخطط كل مجموعة، ثم جدول مواصفات الجداول، ثم جدول علاقات كل مفتاح أجنبي.</w:t>
      </w:r>
    </w:p>
    <w:p>
      <w:pPr>
        <w:pStyle w:val="Heading2"/>
        <w:bidi/>
      </w:pPr>
      <w:bookmarkStart w:name="_sec32" w:id="32"/>
      <w:r>
        <w:rPr>
          <w:rFonts w:ascii="Arial" w:cs="Arial" w:eastAsia="Arial" w:hAnsi="Arial"/>
          <w:b/>
          <w:bCs/>
          <w:color w:val="2B5C8A"/>
          <w:sz w:val="26"/>
          <w:szCs w:val="26"/>
          <w:rtl/>
        </w:rPr>
        <w:t xml:space="preserve">10.1 خريطة المخططات (Schema Map)</w:t>
      </w:r>
      <w:bookmarkEnd w:id="32"/>
    </w:p>
    <w:p>
      <w:pPr>
        <w:keepNext/>
        <w:bidi/>
        <w:spacing w:after="60" w:before="160"/>
        <w:jc w:val="center"/>
      </w:pPr>
      <w:r>
        <w:drawing>
          <wp:inline distT="0" distB="0" distL="0" distR="0">
            <wp:extent cx="6096000" cy="2124075"/>
            <wp:effectExtent t="0" r="0" b="0" l="0"/>
            <wp:docPr id="1" name="diagrams/erd/schema_map.png" descr="خريطة المخططات: المخططات والعلاقات بينها (خمسة مفاتيح أجنبية فأكثر)" title="خريطة المخططات: المخططات والعلاقات بينها (خمسة مفاتيح أجنبية فأكث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124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خريطة المخططات: المخططات والعلاقات بينها (خمسة مفاتيح أجنبية فأكثر)</w:t>
      </w:r>
    </w:p>
    <w:p>
      <w:pPr>
        <w:pStyle w:val="Heading2"/>
        <w:bidi/>
      </w:pPr>
      <w:bookmarkStart w:name="_sec33" w:id="33"/>
      <w:r>
        <w:rPr>
          <w:rFonts w:ascii="Arial" w:cs="Arial" w:eastAsia="Arial" w:hAnsi="Arial"/>
          <w:b/>
          <w:bCs/>
          <w:color w:val="2B5C8A"/>
          <w:sz w:val="26"/>
          <w:szCs w:val="26"/>
          <w:rtl/>
        </w:rPr>
        <w:t xml:space="preserve">10.2 قراءة المخططات</w:t>
      </w:r>
      <w:bookmarkEnd w:id="33"/>
    </w:p>
    <w:p>
      <w:pPr>
        <w:bidi/>
        <w:spacing w:after="110" w:before="0" w:line="312"/>
      </w:pPr>
      <w:r>
        <w:rPr>
          <w:rFonts w:ascii="Arial" w:cs="Arial" w:eastAsia="Arial" w:hAnsi="Arial"/>
          <w:b/>
          <w:bCs/>
          <w:sz w:val="21"/>
          <w:szCs w:val="21"/>
          <w:rtl/>
        </w:rPr>
        <w:t xml:space="preserve">مفتاح الرسم (معيار Crow's Foot):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المفتاح الأساسي ·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مفتاح أجنبي · </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فريد. طرف الأب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 واحد إلزامي، وطرف الابن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صفر أو أكثر؛ الاختياري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واحد أو لا شيء. اسم العلاقة = أعمدة الربط.</w:t>
      </w:r>
    </w:p>
    <w:p>
      <w:pPr>
        <w:bidi/>
        <w:spacing w:after="110" w:before="0" w:line="312"/>
      </w:pPr>
      <w:r>
        <w:rPr>
          <w:rFonts w:ascii="Arial" w:cs="Arial" w:eastAsia="Arial" w:hAnsi="Arial"/>
          <w:b w:val="false"/>
          <w:bCs w:val="false"/>
          <w:sz w:val="21"/>
          <w:szCs w:val="21"/>
          <w:rtl/>
        </w:rPr>
        <w:t xml:space="preserve">الإحاطة: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ولم يُرسم هذا الربط في كل مخطط. العلاقات المرسومة </w:t>
      </w:r>
      <w:r>
        <w:rPr>
          <w:rFonts w:ascii="Arial" w:cs="Arial" w:eastAsia="Arial" w:hAnsi="Arial"/>
          <w:b/>
          <w:bCs/>
          <w:sz w:val="21"/>
          <w:szCs w:val="21"/>
          <w:rtl/>
        </w:rPr>
        <w:t xml:space="preserve">مفاتيح أجنبية فعلية</w:t>
      </w:r>
      <w:r>
        <w:rPr>
          <w:rFonts w:ascii="Arial" w:cs="Arial" w:eastAsia="Arial" w:hAnsi="Arial"/>
          <w:b w:val="false"/>
          <w:bCs w:val="false"/>
          <w:sz w:val="21"/>
          <w:szCs w:val="21"/>
          <w:rtl/>
        </w:rPr>
        <w:t xml:space="preserve">، وكل علاقة مكتوبة في جدول العلاقات بإلزامها ونطاقها وسلوك حذفها. أعمدة الإثبات والتدقيق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‎VerifiedBy‎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‎ConflictId‎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‎CreatedBy‎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‎UpdatedBy‎</w:t>
      </w:r>
      <w:r>
        <w:rPr>
          <w:rFonts w:ascii="Arial" w:cs="Arial" w:eastAsia="Arial" w:hAnsi="Arial"/>
          <w:b w:val="false"/>
          <w:bCs w:val="false"/>
          <w:sz w:val="21"/>
          <w:szCs w:val="21"/>
          <w:rtl/>
        </w:rPr>
        <w:t xml:space="preserve">…) لا تُرسم في المخطط لتقليل الازدحام، وترد كاملة في جداول العلاقات. الجداول خارج المجموعة تظهر بمفتاحها فقط.</w:t>
      </w:r>
    </w:p>
    <w:p>
      <w:pPr>
        <w:pStyle w:val="Heading2"/>
        <w:bidi/>
      </w:pPr>
      <w:bookmarkStart w:name="_sec34" w:id="34"/>
      <w:r>
        <w:rPr>
          <w:rFonts w:ascii="Arial" w:cs="Arial" w:eastAsia="Arial" w:hAnsi="Arial"/>
          <w:b/>
          <w:bCs/>
          <w:color w:val="2B5C8A"/>
          <w:sz w:val="26"/>
          <w:szCs w:val="26"/>
          <w:rtl/>
        </w:rPr>
        <w:t xml:space="preserve">10.3 م0 · المنصة والهوية والتدقيق</w:t>
      </w:r>
      <w:bookmarkEnd w:id="34"/>
    </w:p>
    <w:p>
      <w:pPr>
        <w:pStyle w:val="Heading3"/>
        <w:bidi/>
      </w:pPr>
      <w:bookmarkStart w:name="_sec35" w:id="35"/>
      <w:r>
        <w:rPr>
          <w:rFonts w:ascii="Arial" w:cs="Arial" w:eastAsia="Arial" w:hAnsi="Arial"/>
          <w:b/>
          <w:bCs/>
          <w:color w:val="2B5C8A"/>
          <w:sz w:val="23"/>
          <w:szCs w:val="23"/>
          <w:rtl/>
        </w:rPr>
        <w:t xml:space="preserve">م0 · المشترك والاشتراكات والمشغّلون (1/3)</w:t>
      </w:r>
      <w:bookmarkEnd w:id="35"/>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95500"/>
            <wp:effectExtent t="0" r="0" b="0" l="0"/>
            <wp:docPr id="1" name="diagrams/erd/m0_tenancy_1.png" descr="م0 · المشترك والاشتراكات والمشغّلون (1/3)" title="م0 · المشترك والاشتراكات والمشغّل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095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287"/>
        <w:gridCol w:w="1944"/>
        <w:gridCol w:w="836"/>
        <w:gridCol w:w="836"/>
        <w:gridCol w:w="836"/>
        <w:gridCol w:w="836"/>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sessions: 15-minute idle and 8-hour absolute timeout (FR-PLT-006)</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OperatorSessionId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One-time operator set-up links: password and MFA (FR-PLT-006)</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OperatorTokenId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 plan: a bundle of modules and soft limits (FR-PLT-003/004, Q-PLT-11)</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included in a plan (replaces the Plan.IncludedModules JSON column)</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 ModuleCode</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3"/>
        <w:gridCol w:w="2201"/>
        <w:gridCol w:w="882"/>
        <w:gridCol w:w="882"/>
        <w:gridCol w:w="882"/>
        <w:gridCol w:w="882"/>
        <w:gridCol w:w="882"/>
      </w:tblGrid>
      <w:tr>
        <w:trPr>
          <w:cantSplit/>
          <w:tblHeader/>
        </w:trPr>
        <w:tc>
          <w:tcPr>
            <w:tcW w:type="dxa" w:w="3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‎plat.OperatorSession.OperatorId‎</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‎plat.OperatorToken.OperatorId‎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‎plat.OperatorToken.RequestedBy‎</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‎plat.PlanModule.PlanId‎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6" w:id="36"/>
      <w:r>
        <w:rPr>
          <w:rFonts w:ascii="Arial" w:cs="Arial" w:eastAsia="Arial" w:hAnsi="Arial"/>
          <w:b/>
          <w:bCs/>
          <w:color w:val="2B5C8A"/>
          <w:sz w:val="23"/>
          <w:szCs w:val="23"/>
          <w:rtl/>
        </w:rPr>
        <w:t xml:space="preserve">م0 · المشترك والاشتراكات والمشغّلون (2/3)</w:t>
      </w:r>
      <w:bookmarkEnd w:id="36"/>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19300"/>
            <wp:effectExtent t="0" r="0" b="0" l="0"/>
            <wp:docPr id="1" name="diagrams/erd/m0_tenancy_2.png" descr="م0 · المشترك والاشتراكات والمشغّلون (2/3)" title="م0 · المشترك والاشتراكات والمشغّل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0193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1"/>
        <w:gridCol w:w="2226"/>
        <w:gridCol w:w="2023"/>
        <w:gridCol w:w="821"/>
        <w:gridCol w:w="821"/>
        <w:gridCol w:w="821"/>
        <w:gridCol w:w="821"/>
      </w:tblGrid>
      <w:tr>
        <w:trPr>
          <w:cantSplit/>
          <w:tblHeader/>
        </w:trPr>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account: not readable by the tenant application (tp_app); identity store separate from AppUser (FR-PLT-006)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Subdomains reserved for the system: www, admin, api, app and others (FR-PLT-046)</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ReservedSubdomainId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Temporary support access, activated by the tenant's account administrator (FR-PLT-007, BR-PLT-017)</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SupportAccessGrantId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 direct access for the tenant application (it reads its row through plat.v_CurrentTenant); isolation root: the tenant (FR-PLT-001/002/046, BR-PLT-001/002)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‎plat.SupportAccessGrant.OperatorId‎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‎plat.SupportAccessGrant.GrantedBy‎</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‎plat.SupportAccessGrant.RevokedBy‎</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‎plat.Tenant.PlanId‎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‎plat.Tenant.HomeCountryId‎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م0 · المشترك والاشتراكات والمشغّلون (3/3)</w:t>
      </w:r>
      <w:bookmarkEnd w:id="37"/>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714625"/>
            <wp:effectExtent t="0" r="0" b="0" l="0"/>
            <wp:docPr id="1" name="diagrams/erd/m0_tenancy_3.png" descr="م0 · المشترك والاشتراكات والمشغّلون (3/3)" title="م0 · المشترك والاشتراكات والمشغّل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7146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4"/>
        <w:gridCol w:w="2006"/>
        <w:gridCol w:w="1984"/>
        <w:gridCol w:w="865"/>
        <w:gridCol w:w="865"/>
        <w:gridCol w:w="865"/>
        <w:gridCol w:w="865"/>
      </w:tblGrid>
      <w:tr>
        <w:trPr>
          <w:cantSplit/>
          <w:tblHeader/>
        </w:trPr>
        <w:tc>
          <w:tcPr>
            <w:tcW w:type="dxa" w:w="2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enabled per tenant; owned by the platform only: written by platform operators, read by the tenant through a restricted view (DR-01)</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TenantModuleId</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2352"/>
        <w:gridCol w:w="897"/>
        <w:gridCol w:w="897"/>
        <w:gridCol w:w="897"/>
        <w:gridCol w:w="897"/>
        <w:gridCol w:w="897"/>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‎plat.TenantModule.TenantId‎</w:t>
            </w:r>
          </w:p>
        </w:tc>
        <w:tc>
          <w:tcPr>
            <w:tcW w:type="dxa" w:w="2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‎plat.TenantModule.EnabledBy‎</w:t>
            </w:r>
          </w:p>
        </w:tc>
        <w:tc>
          <w:tcPr>
            <w:tcW w:type="dxa" w:w="2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م0 · الهوية والصلاحيات (1/2)</w:t>
      </w:r>
      <w:bookmarkEnd w:id="38"/>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95650"/>
            <wp:effectExtent t="0" r="0" b="0" l="0"/>
            <wp:docPr id="1" name="diagrams/erd/m0_identity_1.png" descr="م0 · الهوية والصلاحيات (1/2)" title="م0 · الهوية والصلاحي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295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3153"/>
        <w:gridCol w:w="1350"/>
        <w:gridCol w:w="834"/>
        <w:gridCol w:w="834"/>
        <w:gridCol w:w="834"/>
        <w:gridCol w:w="834"/>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 user (FR-PLT-010..016, BR-PLT-004..006)</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defined by the tenant or seeded (FR-PLT-018)</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 catalogue owned by the platform; a tenant cannot add a permission (FR-PLT-017)</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link; a locked permission goes only to the system roles it names, enforced by sec.TR_RolePermission_Locked (043, BR-PLT-019, DR-16)</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RoleId, PermissionId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9"/>
        <w:gridCol w:w="1506"/>
        <w:gridCol w:w="905"/>
        <w:gridCol w:w="905"/>
        <w:gridCol w:w="905"/>
        <w:gridCol w:w="905"/>
        <w:gridCol w:w="1399"/>
      </w:tblGrid>
      <w:tr>
        <w:trPr>
          <w:cantSplit/>
          <w:tblHeader/>
        </w:trPr>
        <w:tc>
          <w:tcPr>
            <w:tcW w:type="dxa" w:w="3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‎sec.AppUser.DepartmentId‎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‎sec.AppUser.LineManagerUserId‎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MfaKeyPurpose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‎sec.RolePermission.RoleId‎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‎sec.RolePermission.PermissionId‎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‎sec.RolePermission.AssignedBy‎</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 w:id="39"/>
      <w:r>
        <w:rPr>
          <w:rFonts w:ascii="Arial" w:cs="Arial" w:eastAsia="Arial" w:hAnsi="Arial"/>
          <w:b/>
          <w:bCs/>
          <w:color w:val="2B5C8A"/>
          <w:sz w:val="23"/>
          <w:szCs w:val="23"/>
          <w:rtl/>
        </w:rPr>
        <w:t xml:space="preserve">م0 · الهوية والصلاحيات (2/2)</w:t>
      </w:r>
      <w:bookmarkEnd w:id="39"/>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914400"/>
            <wp:effectExtent t="0" r="0" b="0" l="0"/>
            <wp:docPr id="1" name="diagrams/erd/m0_identity_2.png" descr="م0 · الهوية والصلاحيات (2/2)" title="م0 · الهوية والصلاحي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914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User–role link; permissions are the union of the roles (BR-PLT-007, FR-PLT-018)</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RoleId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a user can see; ignored when CompanyScopeMode = ALL (FR-PLT-020)</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CompanyId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an external OIDC or Entra identity and a user; readiness only (FR-PLT-015, section 11)</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ExternalIdentityId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9"/>
        <w:gridCol w:w="1400"/>
        <w:gridCol w:w="929"/>
        <w:gridCol w:w="929"/>
        <w:gridCol w:w="929"/>
        <w:gridCol w:w="929"/>
        <w:gridCol w:w="929"/>
      </w:tblGrid>
      <w:tr>
        <w:trPr>
          <w:cantSplit/>
          <w:tblHeader/>
        </w:trPr>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‎sec.UserRole.UserId‎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‎sec.UserRole.RoleId‎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‎sec.UserRole.AssignedBy‎</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‎sec.UserCompanyScope.CompanyId‎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 w:id="40"/>
      <w:r>
        <w:rPr>
          <w:rFonts w:ascii="Arial" w:cs="Arial" w:eastAsia="Arial" w:hAnsi="Arial"/>
          <w:b/>
          <w:bCs/>
          <w:color w:val="2B5C8A"/>
          <w:sz w:val="23"/>
          <w:szCs w:val="23"/>
          <w:rtl/>
        </w:rPr>
        <w:t xml:space="preserve">م0 · الجلسات والمفاتيح والمحاولات (1/2)</w:t>
      </w:r>
      <w:bookmarkEnd w:id="40"/>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
            <wp:effectExtent t="0" r="0" b="0" l="0"/>
            <wp:docPr id="1" name="diagrams/erd/m0_sessions_1.png" descr="م0 · الجلسات والمفاتيح والمحاولات (1/2)" title="م0 · الجلسات والمفاتيح والمحاول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63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0"/>
        <w:gridCol w:w="2687"/>
        <w:gridCol w:w="1825"/>
        <w:gridCol w:w="828"/>
        <w:gridCol w:w="828"/>
        <w:gridCol w:w="828"/>
        <w:gridCol w:w="828"/>
      </w:tblGrid>
      <w:tr>
        <w:trPr>
          <w:cantSplit/>
          <w:tblHeader/>
        </w:trPr>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sessions: 30-minute idle timeout and 12-hour absolute timeout (FR-PLT-014)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UserSessionId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 attempts for rate limiting and lockout windows (BR-PLT-005); written by sec.usp_StartSession. A permanent trace in aud.AuditLog is not written yet (O-24)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LoginAttemptId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 single-use recovery codes, stored hashed (FR-PLT-011, BR-PLT-006); replaces the AppUser.RecoveryCodesHash JSON</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MfaRecoveryCodeId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Single-use invitation link (48 hours), password-reset token (30 minutes) or MFA re-enrolment link (24 hours) (FR-PLT-013, DQ-F03-8)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UserTokenId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373"/>
        <w:gridCol w:w="924"/>
        <w:gridCol w:w="924"/>
        <w:gridCol w:w="924"/>
        <w:gridCol w:w="924"/>
        <w:gridCol w:w="924"/>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‎sec.UserSession.EndedBy‎</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‎sec.UserToken.RequestedByUserId‎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 w:id="41"/>
      <w:r>
        <w:rPr>
          <w:rFonts w:ascii="Arial" w:cs="Arial" w:eastAsia="Arial" w:hAnsi="Arial"/>
          <w:b/>
          <w:bCs/>
          <w:color w:val="2B5C8A"/>
          <w:sz w:val="23"/>
          <w:szCs w:val="23"/>
          <w:rtl/>
        </w:rPr>
        <w:t xml:space="preserve">م0 · الجلسات والمفاتيح والمحاولات (2/2)</w:t>
      </w:r>
      <w:bookmarkEnd w:id="41"/>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2857500"/>
            <wp:effectExtent t="0" r="0" b="0" l="0"/>
            <wp:docPr id="1" name="diagrams/erd/m0_sessions_2.png" descr="م0 · الجلسات والمفاتيح والمحاولات (2/2)" title="م0 · الجلسات والمفاتيح والمحاول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2857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75"/>
        <w:gridCol w:w="1404"/>
        <w:gridCol w:w="2437"/>
        <w:gridCol w:w="837"/>
        <w:gridCol w:w="837"/>
        <w:gridCol w:w="837"/>
        <w:gridCol w:w="837"/>
      </w:tblGrid>
      <w:tr>
        <w:trPr>
          <w:cantSplit/>
          <w:tblHeader/>
        </w:trPr>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five passwords, to prevent reuse (BR-PLT-004)</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UserPasswordHistoryId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key register; each key is wrapped by a master key held outside the database (FR-PLT-037, BR-PLT-015)</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TenantKeyId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event log: create, rotate and revoke (FR-PLT-037; high severity BR-PLT-009)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KeyEventId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77"/>
        <w:gridCol w:w="1592"/>
        <w:gridCol w:w="919"/>
        <w:gridCol w:w="919"/>
        <w:gridCol w:w="919"/>
        <w:gridCol w:w="919"/>
        <w:gridCol w:w="919"/>
      </w:tblGrid>
      <w:tr>
        <w:trPr>
          <w:cantSplit/>
          <w:tblHeader/>
        </w:trPr>
        <w:tc>
          <w:tcPr>
            <w:tcW w:type="dxa" w:w="3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‎sec.UserPasswordHistory.UserId‎</w:t>
            </w:r>
          </w:p>
        </w:tc>
        <w:tc>
          <w:tcPr>
            <w:tcW w:type="dxa" w:w="1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‎sec.KeyEvent.TenantKeyId‎</w:t>
            </w:r>
          </w:p>
        </w:tc>
        <w:tc>
          <w:tcPr>
            <w:tcW w:type="dxa" w:w="1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م0 · التدقيق والمستندات (1/2)</w:t>
      </w:r>
      <w:bookmarkEnd w:id="42"/>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09975"/>
            <wp:effectExtent t="0" r="0" b="0" l="0"/>
            <wp:docPr id="1" name="diagrams/erd/m0_audit_docs_1.png" descr="م0 · التدقيق والمستندات (1/2)" title="م0 · التدقيق والمستند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609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5"/>
        <w:gridCol w:w="2040"/>
        <w:gridCol w:w="2147"/>
        <w:gridCol w:w="828"/>
        <w:gridCol w:w="828"/>
        <w:gridCol w:w="828"/>
        <w:gridCol w:w="828"/>
      </w:tblGrid>
      <w:tr>
        <w:trPr>
          <w:cantSplit/>
          <w:tblHeader/>
        </w:trPr>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audit log; NULL TenantId = platform event, not visible to any tenant; dedicated RLS policy (BR-PLT-001, BR-PLT-009)</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Access log for sensitive data: identity reveals, image views, exports and restricted downloads; flags anomalies above 20 per hour (BR-PTY-009)</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SensitiveAccessLogId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Logical document: document data and status; the file itself is in doc.DocumentVersion (FR-PLT-027/028, BR-PLT-011)</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any entity with a role and a reference page; unlinking is logical (FR-PLT-028)</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57"/>
        <w:gridCol w:w="2013"/>
        <w:gridCol w:w="884"/>
        <w:gridCol w:w="884"/>
        <w:gridCol w:w="884"/>
        <w:gridCol w:w="884"/>
        <w:gridCol w:w="958"/>
      </w:tblGrid>
      <w:tr>
        <w:trPr>
          <w:cantSplit/>
          <w:tblHeader/>
        </w:trPr>
        <w:tc>
          <w:tcPr>
            <w:tcW w:type="dxa" w:w="3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‎aud.SensitiveAccessLog.ActorUserId‎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‎aud.SensitiveAccessLog.OperatorId‎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‎doc.Document.DocumentTypeId‎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‎doc.Document.OwnerCompanyId‎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‎doc.Document.CurrentVersionId‎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‎doc.Document.SupersededByDocumentId‎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‎doc.Document.DeletedBy‎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‎doc.DocumentLink.UnlinkedBy‎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3" w:id="43"/>
      <w:r>
        <w:rPr>
          <w:rFonts w:ascii="Arial" w:cs="Arial" w:eastAsia="Arial" w:hAnsi="Arial"/>
          <w:b/>
          <w:bCs/>
          <w:color w:val="2B5C8A"/>
          <w:sz w:val="23"/>
          <w:szCs w:val="23"/>
          <w:rtl/>
        </w:rPr>
        <w:t xml:space="preserve">م0 · التدقيق والمستندات (2/2)</w:t>
      </w:r>
      <w:bookmarkEnd w:id="43"/>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190875"/>
            <wp:effectExtent t="0" r="0" b="0" l="0"/>
            <wp:docPr id="1" name="diagrams/erd/m0_audit_docs_2.png" descr="م0 · التدقيق والمستندات (2/2)" title="م0 · التدقيق والمستند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190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6"/>
        <w:gridCol w:w="1912"/>
        <w:gridCol w:w="2150"/>
        <w:gridCol w:w="849"/>
        <w:gridCol w:w="849"/>
        <w:gridCol w:w="849"/>
        <w:gridCol w:w="849"/>
      </w:tblGrid>
      <w:tr>
        <w:trPr>
          <w:cantSplit/>
          <w:tblHeader/>
        </w:trPr>
        <w:tc>
          <w:tcPr>
            <w:tcW w:type="dxa" w:w="2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1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Immutable file version; a change creates a new version: the application may update only the scan and integrity columns (043, FR-PLT-027, BR-PLT-011, DR-11)</w:t>
            </w:r>
          </w:p>
        </w:tc>
        <w:tc>
          <w:tcPr>
            <w:tcW w:type="dxa" w:w="21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515"/>
        <w:gridCol w:w="921"/>
        <w:gridCol w:w="921"/>
        <w:gridCol w:w="921"/>
        <w:gridCol w:w="921"/>
        <w:gridCol w:w="116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‎doc.DocumentVersion.DocumentId‎</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‎doc.DocumentVersion.KeyId‎</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KeyPurpose</w:t>
            </w:r>
          </w:p>
        </w:tc>
      </w:tr>
    </w:tbl>
    <w:p>
      <w:pPr>
        <w:bidi/>
        <w:spacing w:after="120" w:before="0"/>
      </w:pPr>
    </w:p>
    <w:p>
      <w:pPr>
        <w:pStyle w:val="Heading3"/>
        <w:bidi/>
      </w:pPr>
      <w:bookmarkStart w:name="_sec44" w:id="44"/>
      <w:r>
        <w:rPr>
          <w:rFonts w:ascii="Arial" w:cs="Arial" w:eastAsia="Arial" w:hAnsi="Arial"/>
          <w:b/>
          <w:bCs/>
          <w:color w:val="2B5C8A"/>
          <w:sz w:val="23"/>
          <w:szCs w:val="23"/>
          <w:rtl/>
        </w:rPr>
        <w:t xml:space="preserve">م0 · الإعدادات والمهام الخلفية (1/4)</w:t>
      </w:r>
      <w:bookmarkEnd w:id="44"/>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819400"/>
            <wp:effectExtent t="0" r="0" b="0" l="0"/>
            <wp:docPr id="1" name="diagrams/erd/m0_config_1.png" descr="م0 · الإعدادات والمهام الخلفية (1/4)" title="م0 · الإعدادات والمهام الخلفي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819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1"/>
        <w:gridCol w:w="1911"/>
        <w:gridCol w:w="2026"/>
        <w:gridCol w:w="834"/>
        <w:gridCol w:w="834"/>
        <w:gridCol w:w="834"/>
        <w:gridCol w:w="834"/>
      </w:tblGrid>
      <w:tr>
        <w:trPr>
          <w:cantSplit/>
          <w:tblHeader/>
        </w:trPr>
        <w:tc>
          <w:tcPr>
            <w:tcW w:type="dxa" w:w="25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data export request (FR-PLT-039, BR-PLT-016)</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 of sent expiry alerts: one event per (item, threshold), never repeated on the same day (FR-PLT-038)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ExpiryAlertLogId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 alert rule per item type (FR-PLT-038, BR-PLT-013)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that receive an alert rule's alerts, within the company scope; replaces the RecipientRoles code list, so a renamed or missing role cannot silently receive nothing (FR-PLT-038, DR-16)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ExpiryAlertRuleId, 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4"/>
        <w:gridCol w:w="1765"/>
        <w:gridCol w:w="857"/>
        <w:gridCol w:w="857"/>
        <w:gridCol w:w="857"/>
        <w:gridCol w:w="857"/>
        <w:gridCol w:w="857"/>
      </w:tblGrid>
      <w:tr>
        <w:trPr>
          <w:cantSplit/>
          <w:tblHeader/>
        </w:trPr>
        <w:tc>
          <w:tcPr>
            <w:tcW w:type="dxa" w:w="3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‎cfg.DataExportJob.RequestedBy‎</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‎cfg.ExpiryAlertLog.ExpiryAlertRuleId‎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‎cfg.ExpiryAlertRuleRole.ExpiryAlertRuleId‎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‎cfg.ExpiryAlertRuleRole.RoleId‎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م0 · الإعدادات والمهام الخلفية (2/4)</w:t>
      </w:r>
      <w:bookmarkEnd w:id="45"/>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5800"/>
            <wp:effectExtent t="0" r="0" b="0" l="0"/>
            <wp:docPr id="1" name="diagrams/erd/m0_config_2.png" descr="م0 · الإعدادات والمهام الخلفية (2/4)" title="م0 · الإعدادات والمهام الخلفية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85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(2/4)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20"/>
        <w:gridCol w:w="1848"/>
        <w:gridCol w:w="2132"/>
        <w:gridCol w:w="866"/>
        <w:gridCol w:w="866"/>
        <w:gridCol w:w="866"/>
        <w:gridCol w:w="866"/>
      </w:tblGrid>
      <w:tr>
        <w:trPr>
          <w:cantSplit/>
          <w:tblHeader/>
        </w:trPr>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‎cfg.JobDefinition‎</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catalogue: the only JobKey values a job connection may bind with (FR-PLT-044)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JobDefinitionId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run log: last run, duration and result, visible to the account administrator (FR-PLT-044)</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JobRunId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 day; NULL TenantId = platform holiday, read-only (FR-PLT-035, BR-PLT-014)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document numbers; a cancelled number is never reused (FR-PLT-026, BR-PLT-010)</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94"/>
        <w:gridCol w:w="2125"/>
        <w:gridCol w:w="909"/>
        <w:gridCol w:w="909"/>
        <w:gridCol w:w="909"/>
        <w:gridCol w:w="909"/>
        <w:gridCol w:w="909"/>
      </w:tblGrid>
      <w:tr>
        <w:trPr>
          <w:cantSplit/>
          <w:tblHeader/>
        </w:trPr>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‎cfg.NonWorkingDay.CountryId‎</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‎cfg.NumberIssue.SequenceId‎</w:t>
            </w:r>
          </w:p>
        </w:tc>
        <w:tc>
          <w:tcPr>
            <w:tcW w:type="dxa" w:w="2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‎cfg.NumberIssue.VoidedBy‎</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6" w:id="46"/>
      <w:r>
        <w:rPr>
          <w:rFonts w:ascii="Arial" w:cs="Arial" w:eastAsia="Arial" w:hAnsi="Arial"/>
          <w:b/>
          <w:bCs/>
          <w:color w:val="2B5C8A"/>
          <w:sz w:val="23"/>
          <w:szCs w:val="23"/>
          <w:rtl/>
        </w:rPr>
        <w:t xml:space="preserve">م0 · الإعدادات والمهام الخلفية (3/4)</w:t>
      </w:r>
      <w:bookmarkEnd w:id="46"/>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81175"/>
            <wp:effectExtent t="0" r="0" b="0" l="0"/>
            <wp:docPr id="1" name="diagrams/erd/m0_config_3.png" descr="م0 · الإعدادات والمهام الخلفية (3/4)" title="م0 · الإعدادات والمهام الخلفية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781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(3/4)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9"/>
        <w:gridCol w:w="1791"/>
        <w:gridCol w:w="2328"/>
        <w:gridCol w:w="809"/>
        <w:gridCol w:w="809"/>
        <w:gridCol w:w="809"/>
        <w:gridCol w:w="809"/>
      </w:tblGrid>
      <w:tr>
        <w:trPr>
          <w:cantSplit/>
          <w:tblHeader/>
        </w:trPr>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 per (definition, optional company, period); its row is locked on allocation inside the caller's transaction (BR-PLT-010)</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Numbering-type definition with a tag-based format, for example {seq:000}-{erp}-{yy} (FR-PLT-026)</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Outbound queue with at-least-once delivery; the payload carries identifiers without restricted data; only DELIVERED events may be deleted (043, FR-PLT-042, DR-14)</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OutboxEventId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‎cfg.SeedRun‎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Numbered seed-run log per package; re-running a seed adds nothing (FR-PLT-008)</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SeedRunId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5"/>
        <w:gridCol w:w="2639"/>
        <w:gridCol w:w="860"/>
        <w:gridCol w:w="860"/>
        <w:gridCol w:w="860"/>
        <w:gridCol w:w="860"/>
        <w:gridCol w:w="860"/>
      </w:tblGrid>
      <w:tr>
        <w:trPr>
          <w:cantSplit/>
          <w:tblHeader/>
        </w:trPr>
        <w:tc>
          <w:tcPr>
            <w:tcW w:type="dxa" w:w="2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‎cfg.NumberSequence.DefinitionId‎</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‎cfg.NumberSequence.CompanyId‎</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7" w:id="47"/>
      <w:r>
        <w:rPr>
          <w:rFonts w:ascii="Arial" w:cs="Arial" w:eastAsia="Arial" w:hAnsi="Arial"/>
          <w:b/>
          <w:bCs/>
          <w:color w:val="2B5C8A"/>
          <w:sz w:val="23"/>
          <w:szCs w:val="23"/>
          <w:rtl/>
        </w:rPr>
        <w:t xml:space="preserve">م0 · الإعدادات والمهام الخلفية (4/4)</w:t>
      </w:r>
      <w:bookmarkEnd w:id="47"/>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800100"/>
            <wp:effectExtent t="0" r="0" b="0" l="0"/>
            <wp:docPr id="1" name="diagrams/erd/m0_config_4.png" descr="م0 · الإعدادات والمهام الخلفية (4/4)" title="م0 · الإعدادات والمهام الخلفية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(4/4)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7"/>
        <w:gridCol w:w="1494"/>
        <w:gridCol w:w="2365"/>
        <w:gridCol w:w="847"/>
        <w:gridCol w:w="847"/>
        <w:gridCol w:w="847"/>
        <w:gridCol w:w="847"/>
      </w:tblGrid>
      <w:tr>
        <w:trPr>
          <w:cantSplit/>
          <w:tblHeader/>
        </w:trPr>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‎cfg.SettingDefinition‎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Setting-key definition with platform minimum and maximum bounds (BR-PLT-018, FR-PLT-043)</w:t>
            </w:r>
          </w:p>
        </w:tc>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SettingDefinitionId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settings: security policies, timeouts, thresholds, and work start and end times (FR-PLT-043)</w:t>
            </w:r>
          </w:p>
        </w:tc>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10.4 م1 · الهيكل المؤسسي والأشخاص</w:t>
      </w:r>
      <w:bookmarkEnd w:id="48"/>
    </w:p>
    <w:p>
      <w:pPr>
        <w:pStyle w:val="Heading3"/>
        <w:bidi/>
      </w:pPr>
      <w:bookmarkStart w:name="_sec49" w:id="49"/>
      <w:r>
        <w:rPr>
          <w:rFonts w:ascii="Arial" w:cs="Arial" w:eastAsia="Arial" w:hAnsi="Arial"/>
          <w:b/>
          <w:bCs/>
          <w:color w:val="2B5C8A"/>
          <w:sz w:val="23"/>
          <w:szCs w:val="23"/>
          <w:rtl/>
        </w:rPr>
        <w:t xml:space="preserve">م1 · الشركات والحوكمة (1/2)</w:t>
      </w:r>
      <w:bookmarkEnd w:id="49"/>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00450"/>
            <wp:effectExtent t="0" r="0" b="0" l="0"/>
            <wp:docPr id="1" name="diagrams/erd/m1_company_1.png" descr="م1 · الشركات والحوكمة (1/2)" title="م1 · الشركات والحوكم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600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root of the corporate structure (FR-ORG-001..010, BR-ORG-001..004)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rate with an effective date; NULL CompanyId = tenant default (FR-ORG-007, BR-ORG-005)</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(FR-ORG-014, BR-ORG-016, Q-ORG-09): at tenant level, optionally per company</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Ownership interest with an effective date; the owner is a Party, an individual or an entity (FR-ORG-015..018, BR-ORG-006..008, G-7)</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2"/>
        <w:gridCol w:w="1872"/>
        <w:gridCol w:w="888"/>
        <w:gridCol w:w="888"/>
        <w:gridCol w:w="888"/>
        <w:gridCol w:w="888"/>
        <w:gridCol w:w="888"/>
      </w:tblGrid>
      <w:tr>
        <w:trPr>
          <w:cantSplit/>
          <w:tblHeader/>
        </w:trPr>
        <w:tc>
          <w:tcPr>
            <w:tcW w:type="dxa" w:w="3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PartyKind</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‎org.Company.LegalEntityTypeId‎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‎org.Company.ParentCompanyId‎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‎org.Company.CountryId‎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‎org.Company.BaseCurrencyId‎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‎org.CompanyTaxRate.CompanyId‎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‎org.Department.ParentDepartmentId‎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‎org.Department.HeadUserId‎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‎org.Shareholding.CompanyId‎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‎org.Shareholding.HolderPartyId‎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‎org.Shareholding.CurrencyId‎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‎org.Shareholding.IntermediatePartyId‎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‎org.Shareholding.SourceDocumentId‎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م1 · الشركات والحوكمة (2/2)</w:t>
      </w:r>
      <w:bookmarkEnd w:id="50"/>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3228975" cy="8191500"/>
            <wp:effectExtent t="0" r="0" b="0" l="0"/>
            <wp:docPr id="1" name="diagrams/erd/m1_company_2.png" descr="م1 · الشركات والحوكمة (2/2)" title="م1 · الشركات والحوكم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2289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(FR-ORG-019, BR-ORG-009)</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Membership of a governing body (FR-ORG-020, FR-ORG-021, BR-ORG-010)</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 to a company (FR-ORG-023..028, BR-ORG-011..014)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2"/>
        <w:gridCol w:w="1799"/>
        <w:gridCol w:w="891"/>
        <w:gridCol w:w="891"/>
        <w:gridCol w:w="891"/>
        <w:gridCol w:w="891"/>
        <w:gridCol w:w="899"/>
      </w:tblGrid>
      <w:tr>
        <w:trPr>
          <w:cantSplit/>
          <w:tblHeader/>
        </w:trPr>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‎org.GoverningBody.SourceDocumentId‎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‎org.BodyMember.PositionId‎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‎org.BodyMember.RepresentedPartyId‎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‎org.BodyMember.AppointmentDocumentId‎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‎org.AuthorityGrant.BodyMemberId‎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‎org.AuthorityGrant.PartyId‎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‎org.AuthorityGrant.PowerTypeId‎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‎org.AuthorityGrant.InstitutionId‎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‎org.AuthorityGrant.CeilingCurrencyId‎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‎org.AuthorityGrant.SourceDocumentId‎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‎org.AuthorityGrant.SupersedesGrantId‎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51" w:id="51"/>
      <w:r>
        <w:rPr>
          <w:rFonts w:ascii="Arial" w:cs="Arial" w:eastAsia="Arial" w:hAnsi="Arial"/>
          <w:b/>
          <w:bCs/>
          <w:color w:val="2B5C8A"/>
          <w:sz w:val="23"/>
          <w:szCs w:val="23"/>
          <w:rtl/>
        </w:rPr>
        <w:t xml:space="preserve">م1 · ملف الشركة و KYC (1/2)</w:t>
      </w:r>
      <w:bookmarkEnd w:id="51"/>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305050"/>
            <wp:effectExtent t="0" r="0" b="0" l="0"/>
            <wp:docPr id="1" name="diagrams/erd/m1_company_kyc_1.png" descr="م1 · ملف الشركة و KYC (1/2)" title="م1 · ملف الشركة و KY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3050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12"/>
        <w:gridCol w:w="969"/>
        <w:gridCol w:w="2715"/>
        <w:gridCol w:w="817"/>
        <w:gridCol w:w="817"/>
        <w:gridCol w:w="817"/>
        <w:gridCol w:w="817"/>
      </w:tblGrid>
      <w:tr>
        <w:trPr>
          <w:cantSplit/>
          <w:tblHeader/>
        </w:trPr>
        <w:tc>
          <w:tcPr>
            <w:tcW w:type="dxa" w:w="2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profile, 1:1 (G-1)</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Branch, warehouse or subsidiary outside the account, held as text (G-3)</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CompanyBranchId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financial profile with an effective date: revenue band and purpose (G-4)</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CompanyKycFinancialProfileId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expected cash-flow matrix (CTP): direction x five items (G-4)</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CompanyExpectedFlowId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4"/>
        <w:gridCol w:w="2220"/>
        <w:gridCol w:w="818"/>
        <w:gridCol w:w="818"/>
        <w:gridCol w:w="818"/>
        <w:gridCol w:w="818"/>
        <w:gridCol w:w="818"/>
      </w:tblGrid>
      <w:tr>
        <w:trPr>
          <w:cantSplit/>
          <w:tblHeader/>
        </w:trPr>
        <w:tc>
          <w:tcPr>
            <w:tcW w:type="dxa" w:w="35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‎org.CompanyProfile.HeadquartersCountryId‎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‎org.CompanyProfile.SectorId‎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‎org.CompanyProfile.EmployeeBandId‎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‎org.CompanyKycFinancialProfile.RevenueBandId‎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‎org.CompanyKycFinancialProfile.AccountCurrencyId‎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‎org.CompanyExpectedFlow.FinancialProfileId‎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2" w:id="52"/>
      <w:r>
        <w:rPr>
          <w:rFonts w:ascii="Arial" w:cs="Arial" w:eastAsia="Arial" w:hAnsi="Arial"/>
          <w:b/>
          <w:bCs/>
          <w:color w:val="2B5C8A"/>
          <w:sz w:val="23"/>
          <w:szCs w:val="23"/>
          <w:rtl/>
        </w:rPr>
        <w:t xml:space="preserve">م1 · ملف الشركة و KYC (2/2)</w:t>
      </w:r>
      <w:bookmarkEnd w:id="52"/>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800100"/>
            <wp:effectExtent t="0" r="0" b="0" l="0"/>
            <wp:docPr id="1" name="diagrams/erd/m1_company_kyc_2.png" descr="م1 · ملف الشركة و KYC (2/2)" title="م1 · ملف الشركة و KY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32"/>
        <w:gridCol w:w="1601"/>
        <w:gridCol w:w="2287"/>
        <w:gridCol w:w="836"/>
        <w:gridCol w:w="836"/>
        <w:gridCol w:w="836"/>
        <w:gridCol w:w="836"/>
      </w:tblGrid>
      <w:tr>
        <w:trPr>
          <w:cantSplit/>
          <w:tblHeader/>
        </w:trPr>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Sources of funds and wealth: multiple-value list (G-4)</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FinancialProfileId, WealthSourceId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w:t>
            </w:r>
          </w:p>
        </w:tc>
        <w:tc>
          <w:tcPr>
            <w:tcW w:type="dxa" w:w="1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disclosures (G-5)</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CompanyDisclosureId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relations: auditors, legal counsel, regulators, and major customers and suppliers (G-6)</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CompanyKeyRelationId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7"/>
        <w:gridCol w:w="2382"/>
        <w:gridCol w:w="829"/>
        <w:gridCol w:w="829"/>
        <w:gridCol w:w="829"/>
        <w:gridCol w:w="829"/>
        <w:gridCol w:w="829"/>
      </w:tblGrid>
      <w:tr>
        <w:trPr>
          <w:cantSplit/>
          <w:tblHeader/>
        </w:trPr>
        <w:tc>
          <w:tcPr>
            <w:tcW w:type="dxa" w:w="3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‎org.CompanyWealthSource.FinancialProfileId‎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‎org.CompanyWealthSource.WealthSourceId‎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‎org.CompanyDisclosure.SourceDocumentId‎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3" w:id="53"/>
      <w:r>
        <w:rPr>
          <w:rFonts w:ascii="Arial" w:cs="Arial" w:eastAsia="Arial" w:hAnsi="Arial"/>
          <w:b/>
          <w:bCs/>
          <w:color w:val="2B5C8A"/>
          <w:sz w:val="23"/>
          <w:szCs w:val="23"/>
          <w:rtl/>
        </w:rPr>
        <w:t xml:space="preserve">م1 · الأشخاص والهوية و KYC (1/3)</w:t>
      </w:r>
      <w:bookmarkEnd w:id="53"/>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71650"/>
            <wp:effectExtent t="0" r="0" b="0" l="0"/>
            <wp:docPr id="1" name="diagrams/erd/m1_party_1.png" descr="م1 · الأشخاص والهوية و KYC (1/3)" title="م1 · الأشخاص والهوية و KY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1771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3"/>
        <w:gridCol w:w="1720"/>
        <w:gridCol w:w="2327"/>
        <w:gridCol w:w="821"/>
        <w:gridCol w:w="821"/>
        <w:gridCol w:w="821"/>
        <w:gridCol w:w="821"/>
      </w:tblGrid>
      <w:tr>
        <w:trPr>
          <w:cantSplit/>
          <w:tblHeader/>
        </w:trPr>
        <w:tc>
          <w:tcPr>
            <w:tcW w:type="dxa" w:w="2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Postal address with an exclusive owner arc: exactly one of Party, Institution, Unit or Contact (FR-PTY-011, BR-PTY-015)</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method (phone, e-mail and similar) with an exclusive owner arc, as for addresses (FR-PTY-012, BR-PTY-015)</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 field definition (FR-PTY-013, BR-PTY-014)</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the number is encrypted and images are restricted documents (FR-PTY-004..009, FR-PTY-020..022, BR-PTY-002..008)</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1749"/>
        <w:gridCol w:w="869"/>
        <w:gridCol w:w="869"/>
        <w:gridCol w:w="869"/>
        <w:gridCol w:w="869"/>
        <w:gridCol w:w="122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‎pty.Address.UnitId‎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‎pty.Address.ContactId‎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‎pty.Address.CountryId‎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‎pty.ContactMethod.UnitId‎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‎pty.ContactMethod.ContactId‎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‎pty.IdentityDocument.IssuingCountryId‎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‎pty.IdentityDocument.EncKeyId‎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‎pty.IdentityDocument.HashKeyId‎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4" w:id="54"/>
      <w:r>
        <w:rPr>
          <w:rFonts w:ascii="Arial" w:cs="Arial" w:eastAsia="Arial" w:hAnsi="Arial"/>
          <w:b/>
          <w:bCs/>
          <w:color w:val="2B5C8A"/>
          <w:sz w:val="23"/>
          <w:szCs w:val="23"/>
          <w:rtl/>
        </w:rPr>
        <w:t xml:space="preserve">م1 · الأشخاص والهوية و KYC (2/3)</w:t>
      </w:r>
      <w:bookmarkEnd w:id="54"/>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924550"/>
            <wp:effectExtent t="0" r="0" b="0" l="0"/>
            <wp:docPr id="1" name="diagrams/erd/m1_party_2.png" descr="م1 · الأشخاص والهوية و KYC (2/3)" title="م1 · الأشخاص والهوية و KY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5924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2"/>
        <w:gridCol w:w="1825"/>
        <w:gridCol w:w="1825"/>
        <w:gridCol w:w="828"/>
        <w:gridCol w:w="828"/>
        <w:gridCol w:w="828"/>
        <w:gridCol w:w="828"/>
      </w:tblGrid>
      <w:tr>
        <w:trPr>
          <w:cantSplit/>
          <w:tblHeader/>
        </w:trPr>
        <w:tc>
          <w:tcPr>
            <w:tcW w:type="dxa" w:w="29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completeness checklist per bank and role (FR-PTY-023, BR-PTY-012..013, G-8, G-14)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Completeness item (FR-PTY-023, FR-PTY-024, G-14)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Conditions for an item to apply, by legal form; no rows = applies to all (G-15)</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KycProfileItemId, LegalEntityTypeId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or entity; no stored role (FR-PTY-001..003, BR-PTY-001..004, BR-PTY-016..018)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3"/>
        <w:gridCol w:w="1656"/>
        <w:gridCol w:w="857"/>
        <w:gridCol w:w="857"/>
        <w:gridCol w:w="857"/>
        <w:gridCol w:w="857"/>
        <w:gridCol w:w="857"/>
      </w:tblGrid>
      <w:tr>
        <w:trPr>
          <w:cantSplit/>
          <w:tblHeader/>
        </w:trPr>
        <w:tc>
          <w:tcPr>
            <w:tcW w:type="dxa" w:w="39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‎pty.KycProfile.SourceDocumentId‎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‎pty.KycProfileItem.ProfileId‎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‎pty.KycProfileItemLegalForm.KycProfileItemId‎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CASCADE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‎pty.KycProfileItemLegalForm.LegalEntityTypeId‎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‎pty.Party.CountryId‎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‎pty.Party.BirthCountryId‎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‎pty.Party.EducationLevelId‎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‎pty.Party.MergedIntoPartyId‎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5" w:id="55"/>
      <w:r>
        <w:rPr>
          <w:rFonts w:ascii="Arial" w:cs="Arial" w:eastAsia="Arial" w:hAnsi="Arial"/>
          <w:b/>
          <w:bCs/>
          <w:color w:val="2B5C8A"/>
          <w:sz w:val="23"/>
          <w:szCs w:val="23"/>
          <w:rtl/>
        </w:rPr>
        <w:t xml:space="preserve">م1 · الأشخاص والهوية و KYC (3/3)</w:t>
      </w:r>
      <w:bookmarkEnd w:id="55"/>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9675"/>
            <wp:effectExtent t="0" r="0" b="0" l="0"/>
            <wp:docPr id="1" name="diagrams/erd/m1_party_3.png" descr="م1 · الأشخاص والهوية و KYC (3/3)" title="م1 · الأشخاص والهوية و KYC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1209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1"/>
        <w:gridCol w:w="1835"/>
        <w:gridCol w:w="2202"/>
        <w:gridCol w:w="844"/>
        <w:gridCol w:w="844"/>
        <w:gridCol w:w="844"/>
        <w:gridCol w:w="844"/>
      </w:tblGrid>
      <w:tr>
        <w:trPr>
          <w:cantSplit/>
          <w:tblHeader/>
        </w:trPr>
        <w:tc>
          <w:tcPr>
            <w:tcW w:type="dxa" w:w="2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Dated compliance declarations per person in their capacity: PEP, sanctions, investigations, immunity (G-9)</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PartyComplianceId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 value for a party (FR-PTY-013, FR-PTY-014)</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PartyCustomFieldId</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identity and FATCA/CRS tax declaration (G-13)</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TaxIdentityId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61"/>
        <w:gridCol w:w="2134"/>
        <w:gridCol w:w="865"/>
        <w:gridCol w:w="865"/>
        <w:gridCol w:w="865"/>
        <w:gridCol w:w="865"/>
        <w:gridCol w:w="1109"/>
      </w:tblGrid>
      <w:tr>
        <w:trPr>
          <w:cantSplit/>
          <w:tblHeader/>
        </w:trPr>
        <w:tc>
          <w:tcPr>
            <w:tcW w:type="dxa" w:w="3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‎pty.PartyCompliance.PartyId‎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‎pty.PartyCompliance.CompanyId‎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‎pty.PartyCompliance.SourceDocumentId‎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‎pty.PartyCustomField.DefinitionId‎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‎pty.PartyCustomField.EncKeyId‎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‎pty.PartyCustomField.CurrencyId‎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‎pty.TaxIdentity.CountryId‎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‎pty.TaxIdentity.FatcaClassificationId‎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‎pty.TaxIdentity.CrsClassificationId‎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‎pty.TaxIdentity.SourceDocumentId‎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6" w:id="56"/>
      <w:r>
        <w:rPr>
          <w:rFonts w:ascii="Arial" w:cs="Arial" w:eastAsia="Arial" w:hAnsi="Arial"/>
          <w:b/>
          <w:bCs/>
          <w:color w:val="2B5C8A"/>
          <w:sz w:val="26"/>
          <w:szCs w:val="26"/>
          <w:rtl/>
        </w:rPr>
        <w:t xml:space="preserve">10.5 م2–م3 · الجهات المالية والحسابات</w:t>
      </w:r>
      <w:bookmarkEnd w:id="56"/>
    </w:p>
    <w:p>
      <w:pPr>
        <w:pStyle w:val="Heading3"/>
        <w:bidi/>
      </w:pPr>
      <w:bookmarkStart w:name="_sec57" w:id="57"/>
      <w:r>
        <w:rPr>
          <w:rFonts w:ascii="Arial" w:cs="Arial" w:eastAsia="Arial" w:hAnsi="Arial"/>
          <w:b/>
          <w:bCs/>
          <w:color w:val="2B5C8A"/>
          <w:sz w:val="23"/>
          <w:szCs w:val="23"/>
          <w:rtl/>
        </w:rPr>
        <w:t xml:space="preserve">م2–م3 · الجهات المالية والحسابات والمفوّضون (1/3)</w:t>
      </w:r>
      <w:bookmarkEnd w:id="57"/>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0"/>
            <wp:effectExtent t="0" r="0" b="0" l="0"/>
            <wp:docPr id="1" name="diagrams/erd/m2_3_institutions_1.png" descr="م2–م3 · الجهات المالية والحسابات والمفوّضون (1/3)" title="م2–م3 · الجهات المالية والحسابات والمفوّض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6381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9"/>
        <w:gridCol w:w="2246"/>
        <w:gridCol w:w="2009"/>
        <w:gridCol w:w="840"/>
        <w:gridCol w:w="840"/>
        <w:gridCol w:w="840"/>
        <w:gridCol w:w="840"/>
      </w:tblGrid>
      <w:tr>
        <w:trPr>
          <w:cantSplit/>
          <w:tblHeader/>
        </w:trPr>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at a bank: a lightweight record with no identity; PartyId is optional, for promotion (FR-INS-007/008, BR-INS-005/006/014)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(FR-INS-001..004, BR-INS-001..003, BR-INS-012); Locality (local or foreign) is derived (BR-INS-002) and therefore not stored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 in an institution's structure: division, department or branch; self-referencing tree of up to four levels (FR-INS-005/006, BR-INS-004)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InstitutionUnitId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Company–institution relationship (D-4); unique regardless of status (FR-INS-009, BR-INS-007/011)</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1"/>
        <w:gridCol w:w="1846"/>
        <w:gridCol w:w="886"/>
        <w:gridCol w:w="886"/>
        <w:gridCol w:w="886"/>
        <w:gridCol w:w="886"/>
        <w:gridCol w:w="1263"/>
      </w:tblGrid>
      <w:tr>
        <w:trPr>
          <w:cantSplit/>
          <w:tblHeader/>
        </w:trPr>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‎ins.Contact.InstitutionId‎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‎ins.Contact.UnitId‎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‎ins.Contact.ReportsToContactId‎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‎ins.Contact.PartyId‎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‎ins.Institution.InstitutionTypeId‎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‎ins.Institution.CountryId‎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‎ins.Institution.PartyId‎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‎ins.InstitutionUnit.ParentUnitId‎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‎ins.InstitutionUnit.UnitTypeId‎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‎ins.Relationship.CompanyId‎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8" w:id="58"/>
      <w:r>
        <w:rPr>
          <w:rFonts w:ascii="Arial" w:cs="Arial" w:eastAsia="Arial" w:hAnsi="Arial"/>
          <w:b/>
          <w:bCs/>
          <w:color w:val="2B5C8A"/>
          <w:sz w:val="23"/>
          <w:szCs w:val="23"/>
          <w:rtl/>
        </w:rPr>
        <w:t xml:space="preserve">م2–م3 · الجهات المالية والحسابات والمفوّضون (2/3)</w:t>
      </w:r>
      <w:bookmarkEnd w:id="58"/>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47900"/>
            <wp:effectExtent t="0" r="0" b="0" l="0"/>
            <wp:docPr id="1" name="diagrams/erd/m2_3_institutions_2.png" descr="م2–م3 · الجهات المالية والحسابات والمفوّضون (2/3)" title="م2–م3 · الجهات المالية والحسابات والمفوّض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247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73"/>
        <w:gridCol w:w="1825"/>
        <w:gridCol w:w="2254"/>
        <w:gridCol w:w="828"/>
        <w:gridCol w:w="828"/>
        <w:gridCol w:w="828"/>
        <w:gridCol w:w="828"/>
      </w:tblGrid>
      <w:tr>
        <w:trPr>
          <w:cantSplit/>
          <w:tblHeader/>
        </w:trPr>
        <w:tc>
          <w:tcPr>
            <w:tcW w:type="dxa" w:w="2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coverage (first layer): contact with role, rank and period (FR-INS-010, BR-INS-008/009)</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handled within a relationship, with a default contact and channel (FR-INS-011..013, BR-INS-010)</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checking a signatory's authority against governance rules, and the reviewer's decision (S1-B) (FR-ACC-018, BR-ACC-015)</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bank account at a financial institution (FR-ACC-001..009, BR-ACC-001..006, BR-ACC-016); account number and IBAN are encrypted, with blind-index uniqueness</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64"/>
        <w:gridCol w:w="1811"/>
        <w:gridCol w:w="859"/>
        <w:gridCol w:w="859"/>
        <w:gridCol w:w="859"/>
        <w:gridCol w:w="859"/>
        <w:gridCol w:w="1153"/>
      </w:tblGrid>
      <w:tr>
        <w:trPr>
          <w:cantSplit/>
          <w:tblHeader/>
        </w:trPr>
        <w:tc>
          <w:tcPr>
            <w:tcW w:type="dxa" w:w="3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‎ins.RelationshipContact.ContactId‎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‎ins.RelationshipContact.RoleId‎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‎ins.RelationshipProduct.ProductId‎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‎ins.RelationshipProduct.DefaultContactId‎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‎acc.AuthorityConflict.SignatoryAuthorityId‎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‎acc.AuthorityConflict.ReviewedBy‎</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‎acc.BankAccount.CompanyId‎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‎acc.BankAccount.InstitutionId‎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‎acc.BankAccount.RelationshipId‎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‎acc.BankAccount.AccountTypeId‎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‎acc.BankAccount.MasterAccountId‎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 CurrencyId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‎acc.BankAccount.CurrencyId‎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‎acc.BankAccount.HashKeyId‎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‎acc.BankAccount.BranchUnitId‎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م2–م3 · الجهات المالية والحسابات والمفوّضون (3/3)</w:t>
      </w:r>
      <w:bookmarkEnd w:id="59"/>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5686425" cy="8191500"/>
            <wp:effectExtent t="0" r="0" b="0" l="0"/>
            <wp:docPr id="1" name="diagrams/erd/m2_3_institutions_3.png" descr="م2–م3 · الجهات المالية والحسابات والمفوّضون (3/3)" title="م2–م3 · الجهات المالية والحسابات والمفوّض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6864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5"/>
        <w:gridCol w:w="1814"/>
        <w:gridCol w:w="1905"/>
        <w:gridCol w:w="810"/>
        <w:gridCol w:w="810"/>
        <w:gridCol w:w="810"/>
        <w:gridCol w:w="810"/>
      </w:tblGrid>
      <w:tr>
        <w:trPr>
          <w:cantSplit/>
          <w:tblHeader/>
        </w:trPr>
        <w:tc>
          <w:tcPr>
            <w:tcW w:type="dxa" w:w="2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linked to a facility for a specific purpose (S2) (FR-ACC-010, BR-ACC-007); populated from the facility screen</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authorised to sign for a relationship (S1-B) (FR-ACC-012, FR-ACC-023, BR-ACC-008/009), plus additions from docs/05 G-10</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authority for an operation on an account or on the bank (S1-B) (FR-ACC-013/014/017, BR-ACC-010/011); not edited in place: closed and reopened instead; its status is derived and not stored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 classes required for joint signing (JointClassIds) (BR-ACC-013)</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SignatoryAuthorityId, SignatureClassId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604"/>
        <w:gridCol w:w="843"/>
        <w:gridCol w:w="843"/>
        <w:gridCol w:w="843"/>
        <w:gridCol w:w="843"/>
        <w:gridCol w:w="1021"/>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‎acc.FacilityAccount.FacilityId‎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‎acc.FacilityAccount.BankAccountId‎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‎acc.FacilityAccount.PurposeId‎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‎acc.Signatory.PartyId‎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‎acc.Signatory.PositionId‎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‎acc.Signatory.AuthorisationBasisId‎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‎acc.Signatory.CashWithdrawalCurrencyId‎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‎acc.Signatory.AuthorizationDocumentId‎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‎acc.Signatory.SpecimenDocumentId‎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‎acc.SignatoryAuthority.SignatoryId‎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‎acc.SignatoryAuthority.BankAccountId‎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‎acc.SignatoryAuthority.OperationTypeId‎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‎acc.SignatoryAuthority.SourceDocumentId‎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‎acc.SignatoryAuthority.SupersededById‎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‎acc.SignatoryAuthorityJointClass.SignatoryAuthorityId‎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0" w:id="60"/>
      <w:r>
        <w:rPr>
          <w:rFonts w:ascii="Arial" w:cs="Arial" w:eastAsia="Arial" w:hAnsi="Arial"/>
          <w:b/>
          <w:bCs/>
          <w:color w:val="2B5C8A"/>
          <w:sz w:val="26"/>
          <w:szCs w:val="26"/>
          <w:rtl/>
        </w:rPr>
        <w:t xml:space="preserve">10.6 م4 · الكتالوجات والمراجع</w:t>
      </w:r>
      <w:bookmarkEnd w:id="60"/>
    </w:p>
    <w:p>
      <w:pPr>
        <w:pStyle w:val="Heading3"/>
        <w:bidi/>
      </w:pPr>
      <w:bookmarkStart w:name="_sec61" w:id="61"/>
      <w:r>
        <w:rPr>
          <w:rFonts w:ascii="Arial" w:cs="Arial" w:eastAsia="Arial" w:hAnsi="Arial"/>
          <w:b/>
          <w:bCs/>
          <w:color w:val="2B5C8A"/>
          <w:sz w:val="23"/>
          <w:szCs w:val="23"/>
          <w:rtl/>
        </w:rPr>
        <w:t xml:space="preserve">م4 · المنتجات والرسوم والتمويل والضمانات (1/3)</w:t>
      </w:r>
      <w:bookmarkEnd w:id="61"/>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800225"/>
            <wp:effectExtent t="0" r="0" b="0" l="0"/>
            <wp:docPr id="1" name="diagrams/erd/m4_products_1.png" descr="م4 · المنتجات والرسوم والتمويل والضمانات (1/3)" title="م4 · المنتجات والرسوم والتمويل والضمان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1800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50"/>
        <w:gridCol w:w="1608"/>
        <w:gridCol w:w="2278"/>
        <w:gridCol w:w="857"/>
        <w:gridCol w:w="857"/>
        <w:gridCol w:w="857"/>
        <w:gridCol w:w="857"/>
      </w:tblGrid>
      <w:tr>
        <w:trPr>
          <w:cantSplit/>
          <w:tblHeader/>
        </w:trPr>
        <w:tc>
          <w:tcPr>
            <w:tcW w:type="dxa" w:w="2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category: flat list (FR-CAT-007)</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product with its flags (FR-CAT-007, BR-CAT-004)</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 a broad category, not a tariff item (FR-CAT-008, BR-CAT-005, Q-CAT-10)</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 (FR-CAT-009, BR-CAT-006)</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1"/>
        <w:gridCol w:w="2128"/>
        <w:gridCol w:w="897"/>
        <w:gridCol w:w="897"/>
        <w:gridCol w:w="897"/>
        <w:gridCol w:w="897"/>
        <w:gridCol w:w="897"/>
      </w:tblGrid>
      <w:tr>
        <w:trPr>
          <w:cantSplit/>
          <w:tblHeader/>
        </w:trPr>
        <w:tc>
          <w:tcPr>
            <w:tcW w:type="dxa" w:w="3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‎cat.Product.ProductCategoryId‎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م4 · المنتجات والرسوم والتمويل والضمانات (2/3)</w:t>
      </w:r>
      <w:bookmarkEnd w:id="62"/>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409700"/>
            <wp:effectExtent t="0" r="0" b="0" l="0"/>
            <wp:docPr id="1" name="diagrams/erd/m4_products_2.png" descr="م4 · المنتجات والرسوم والتمويل والضمانات (2/3)" title="م4 · المنتجات والرسوم والتمويل والضمان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9"/>
        <w:gridCol w:w="1526"/>
        <w:gridCol w:w="2399"/>
        <w:gridCol w:w="830"/>
        <w:gridCol w:w="830"/>
        <w:gridCol w:w="830"/>
        <w:gridCol w:w="830"/>
      </w:tblGrid>
      <w:tr>
        <w:trPr>
          <w:cantSplit/>
          <w:tblHeader/>
        </w:trPr>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types allowed for a product; disabling a link deletes it and does not affect list pricing rules (FR-CAT-010, BR-CAT-007)</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types allowed for a product (FR-CAT-010, BR-CAT-007); the pair respects the Shariah classification (DR-30)</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ProductFinancingTypeId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type (FR-CAT-011)</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type: master or sub-limit (FR-CAT-012, BR-CAT-008)</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7"/>
        <w:gridCol w:w="1451"/>
        <w:gridCol w:w="865"/>
        <w:gridCol w:w="865"/>
        <w:gridCol w:w="865"/>
        <w:gridCol w:w="865"/>
        <w:gridCol w:w="1536"/>
      </w:tblGrid>
      <w:tr>
        <w:trPr>
          <w:cantSplit/>
          <w:tblHeader/>
        </w:trPr>
        <w:tc>
          <w:tcPr>
            <w:tcW w:type="dxa" w:w="3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‎cat.ProductFeeType.FeeTypeId‎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ProductCompliance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‎cat.ProductFinancingType.FinancingTypeId‎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FinancingIsIslamic</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‎cat.LimitType.ParentLimitTypeId‎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3" w:id="63"/>
      <w:r>
        <w:rPr>
          <w:rFonts w:ascii="Arial" w:cs="Arial" w:eastAsia="Arial" w:hAnsi="Arial"/>
          <w:b/>
          <w:bCs/>
          <w:color w:val="2B5C8A"/>
          <w:sz w:val="23"/>
          <w:szCs w:val="23"/>
          <w:rtl/>
        </w:rPr>
        <w:t xml:space="preserve">م4 · المنتجات والرسوم والتمويل والضمانات (3/3)</w:t>
      </w:r>
      <w:bookmarkEnd w:id="63"/>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00275"/>
            <wp:effectExtent t="0" r="0" b="0" l="0"/>
            <wp:docPr id="1" name="diagrams/erd/m4_products_3.png" descr="م4 · المنتجات والرسوم والتمويل والضمانات (3/3)" title="م4 · المنتجات والرسوم والتمويل والضمان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200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9"/>
        <w:gridCol w:w="1475"/>
        <w:gridCol w:w="2458"/>
        <w:gridCol w:w="818"/>
        <w:gridCol w:w="818"/>
        <w:gridCol w:w="818"/>
        <w:gridCol w:w="818"/>
      </w:tblGrid>
      <w:tr>
        <w:trPr>
          <w:cantSplit/>
          <w:tblHeader/>
        </w:trPr>
        <w:tc>
          <w:tcPr>
            <w:tcW w:type="dxa" w:w="2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Products allowed for a limit type; no rows = any product, with a visible flag (BR-CAT-008)</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LimitTypeId, ProductId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type with its structure type and attribute template (FR-CAT-013)</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 in a collateral-type template; never deleted, only marked Retired (BR-CAT-009)</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CollateralTypeAttributeId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type with four families (FR-CAT-014, BR-CAT-010)</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78"/>
        <w:gridCol w:w="1626"/>
        <w:gridCol w:w="852"/>
        <w:gridCol w:w="852"/>
        <w:gridCol w:w="852"/>
        <w:gridCol w:w="852"/>
        <w:gridCol w:w="852"/>
      </w:tblGrid>
      <w:tr>
        <w:trPr>
          <w:cantSplit/>
          <w:tblHeader/>
        </w:trPr>
        <w:tc>
          <w:tcPr>
            <w:tcW w:type="dxa" w:w="3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‎cat.LimitTypeProduct.LimitTypeId‎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‎cat.LimitTypeProduct.ProductId‎</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‎cat.CollateralTypeAttribute.CollateralTypeId‎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4" w:id="64"/>
      <w:r>
        <w:rPr>
          <w:rFonts w:ascii="Arial" w:cs="Arial" w:eastAsia="Arial" w:hAnsi="Arial"/>
          <w:b/>
          <w:bCs/>
          <w:color w:val="2B5C8A"/>
          <w:sz w:val="23"/>
          <w:szCs w:val="23"/>
          <w:rtl/>
        </w:rPr>
        <w:t xml:space="preserve">م4 · الكتالوجات المرجعية (1/2)</w:t>
      </w:r>
      <w:bookmarkEnd w:id="64"/>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42925"/>
            <wp:effectExtent t="0" r="0" b="0" l="0"/>
            <wp:docPr id="1" name="diagrams/erd/m4_reference_1.png" descr="م4 · الكتالوجات المرجعية (1/2)" title="م4 · الكتالوجات المرجعي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54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3"/>
        <w:gridCol w:w="2132"/>
        <w:gridCol w:w="2057"/>
        <w:gridCol w:w="843"/>
        <w:gridCol w:w="843"/>
        <w:gridCol w:w="843"/>
        <w:gridCol w:w="843"/>
      </w:tblGrid>
      <w:tr>
        <w:trPr>
          <w:cantSplit/>
          <w:tblHeader/>
        </w:trPr>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Currencies enabled for the tenant: a subset of the global currency reference (FR-CAT-023, Q-CAT-08)</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CurrencyId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type: bank, finance company, investment company, financial company, individual (FR-INS-001)</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type (FR-ACC-001)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entity type: the entity and its attributes are defined in specification 10 (FR-ORG-002, BR-CAT-017) and seeded by this module; catalogue columns are written by hand because code uniqueness is per country (specification 10, section 6.2), not global</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92"/>
        <w:gridCol w:w="1527"/>
        <w:gridCol w:w="929"/>
        <w:gridCol w:w="929"/>
        <w:gridCol w:w="929"/>
        <w:gridCol w:w="929"/>
        <w:gridCol w:w="929"/>
      </w:tblGrid>
      <w:tr>
        <w:trPr>
          <w:cantSplit/>
          <w:tblHeader/>
        </w:trPr>
        <w:tc>
          <w:tcPr>
            <w:tcW w:type="dxa" w:w="3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‎cat.TenantCurrency.CurrencyId‎</w:t>
            </w:r>
          </w:p>
        </w:tc>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‎cat.LegalEntityType.CountryId‎</w:t>
            </w:r>
          </w:p>
        </w:tc>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م4 · الكتالوجات المرجعية (2/2)</w:t>
      </w:r>
      <w:bookmarkEnd w:id="65"/>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61975"/>
            <wp:effectExtent t="0" r="0" b="0" l="0"/>
            <wp:docPr id="1" name="diagrams/erd/m4_reference_2.png" descr="م4 · الكتالوجات المرجعية (2/2)" title="م4 · الكتالوجات المرجعي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3"/>
        <w:gridCol w:w="2267"/>
        <w:gridCol w:w="1936"/>
        <w:gridCol w:w="862"/>
        <w:gridCol w:w="862"/>
        <w:gridCol w:w="862"/>
        <w:gridCol w:w="862"/>
      </w:tblGrid>
      <w:tr>
        <w:trPr>
          <w:cantSplit/>
          <w:tblHeader/>
        </w:trPr>
        <w:tc>
          <w:tcPr>
            <w:tcW w:type="dxa" w:w="2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type; applies the flags defined in specification 10 at upload (FR-CAT-018, BR-CAT-016, FR-PLT-028)</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2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 position: its attributes are defined in specification 10 (section 6.2) only, and this module seeds its rows (FR-CAT-019, BR-CAT-017); SortOrder comes from the catalogue base</w:t>
            </w:r>
          </w:p>
        </w:tc>
        <w:tc>
          <w:tcPr>
            <w:tcW w:type="dxa" w:w="1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PositionId</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Governance power type: its attributes are defined in specification 10 (section 6.2) only, and this module seeds its rows (FR-CAT-019, FR-ORG-024)</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م4 · الأسعار المرجعية والقوائم (1/2)</w:t>
      </w:r>
      <w:bookmarkEnd w:id="66"/>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38550"/>
            <wp:effectExtent t="0" r="0" b="0" l="0"/>
            <wp:docPr id="1" name="diagrams/erd/m4_rates_lookups_1.png" descr="م4 · الأسعار المرجعية والقوائم (1/2)" title="م4 · الأسعار المرجعية والقوائم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638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8"/>
        <w:gridCol w:w="1800"/>
        <w:gridCol w:w="1800"/>
        <w:gridCol w:w="834"/>
        <w:gridCol w:w="834"/>
        <w:gridCol w:w="834"/>
        <w:gridCol w:w="834"/>
      </w:tblGrid>
      <w:tr>
        <w:trPr>
          <w:cantSplit/>
          <w:tblHeader/>
        </w:trPr>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operation type that a signatory is authorised for (FR-ACC-013, BR-CAT-014)</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an operation to governance power type(s): any one is sufficient (BR-CAT-014, FR-CAT-019, Q-ACC-05)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OperationTypeId, PowerTypeId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 rate: market-wide (InstitutionId NULL) or internal to a bank (FR-CAT-015, BR-CAT-011); alternative names are in BaseRateAlias</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 for a base rate (for example SIBOR and SAIBOR); case-insensitive search; unique within scope (BR-CAT-011, FR-CAT-015)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BaseRateAliasId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7"/>
        <w:gridCol w:w="1587"/>
        <w:gridCol w:w="870"/>
        <w:gridCol w:w="870"/>
        <w:gridCol w:w="870"/>
        <w:gridCol w:w="870"/>
        <w:gridCol w:w="870"/>
      </w:tblGrid>
      <w:tr>
        <w:trPr>
          <w:cantSplit/>
          <w:tblHeader/>
        </w:trPr>
        <w:tc>
          <w:tcPr>
            <w:tcW w:type="dxa" w:w="3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‎cat.OperationTypePowerType.OperationTypeId‎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‎cat.OperationTypePowerType.PowerTypeId‎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‎cat.BaseRate.InstitutionId‎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‎cat.BaseRate.CurrencyId‎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‎cat.BaseRateAlias.BaseRateId‎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Tenor, ScopeKey</w:t>
            </w:r>
          </w:p>
        </w:tc>
      </w:tr>
    </w:tbl>
    <w:p>
      <w:pPr>
        <w:bidi/>
        <w:spacing w:after="120" w:before="0"/>
      </w:pPr>
    </w:p>
    <w:p>
      <w:pPr>
        <w:pStyle w:val="Heading3"/>
        <w:bidi/>
      </w:pPr>
      <w:bookmarkStart w:name="_sec67" w:id="67"/>
      <w:r>
        <w:rPr>
          <w:rFonts w:ascii="Arial" w:cs="Arial" w:eastAsia="Arial" w:hAnsi="Arial"/>
          <w:b/>
          <w:bCs/>
          <w:color w:val="2B5C8A"/>
          <w:sz w:val="23"/>
          <w:szCs w:val="23"/>
          <w:rtl/>
        </w:rPr>
        <w:t xml:space="preserve">م4 · الأسعار المرجعية والقوائم (2/2)</w:t>
      </w:r>
      <w:bookmarkEnd w:id="67"/>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457575"/>
            <wp:effectExtent t="0" r="0" b="0" l="0"/>
            <wp:docPr id="1" name="diagrams/erd/m4_rates_lookups_2.png" descr="م4 · الأسعار المرجعية والقوائم (2/2)" title="م4 · الأسعار المرجعية والقوائم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4575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13"/>
        <w:gridCol w:w="2077"/>
        <w:gridCol w:w="2038"/>
        <w:gridCol w:w="859"/>
        <w:gridCol w:w="859"/>
        <w:gridCol w:w="859"/>
        <w:gridCol w:w="859"/>
      </w:tblGrid>
      <w:tr>
        <w:trPr>
          <w:cantSplit/>
          <w:tblHeader/>
        </w:trPr>
        <w:tc>
          <w:tcPr>
            <w:tcW w:type="dxa" w:w="2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value with an effective date; rows are never deleted: a correction inserts a new row and the old one becomes SUPERSEDED (FR-CAT-016, BR-CAT-012/013)</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Tenant-owned lookup list (FR-CAT-020, BR-CAT-015)</w:t>
            </w:r>
          </w:p>
        </w:tc>
        <w:tc>
          <w:tcPr>
            <w:tcW w:type="dxa" w:w="2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Item in a tenant-owned lookup list (FR-CAT-020)</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LookupItemId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3"/>
        <w:gridCol w:w="1857"/>
        <w:gridCol w:w="908"/>
        <w:gridCol w:w="908"/>
        <w:gridCol w:w="908"/>
        <w:gridCol w:w="908"/>
        <w:gridCol w:w="1092"/>
      </w:tblGrid>
      <w:tr>
        <w:trPr>
          <w:cantSplit/>
          <w:tblHeader/>
        </w:trPr>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‎cat.BaseRateValue.BaseRateId‎</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‎cat.BaseRateValue.SupersedesId‎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‎cat.BaseRateValue.EnteredBy‎</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‎cat.LookupItem.LookupListId‎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8" w:id="68"/>
      <w:r>
        <w:rPr>
          <w:rFonts w:ascii="Arial" w:cs="Arial" w:eastAsia="Arial" w:hAnsi="Arial"/>
          <w:b/>
          <w:bCs/>
          <w:color w:val="2B5C8A"/>
          <w:sz w:val="23"/>
          <w:szCs w:val="23"/>
          <w:rtl/>
        </w:rPr>
        <w:t xml:space="preserve">م4 · المراجع العامة (ref)</w:t>
      </w:r>
      <w:bookmarkEnd w:id="68"/>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28625"/>
            <wp:effectExtent t="0" r="0" b="0" l="0"/>
            <wp:docPr id="1" name="diagrams/erd/m4_global_ref.png" descr="م4 · المراجع العامة (ref)" title="م4 · المراجع العامة (r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4286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52"/>
        <w:gridCol w:w="2356"/>
        <w:gridCol w:w="1844"/>
        <w:gridCol w:w="878"/>
        <w:gridCol w:w="878"/>
        <w:gridCol w:w="878"/>
        <w:gridCol w:w="878"/>
      </w:tblGrid>
      <w:tr>
        <w:trPr>
          <w:cantSplit/>
          <w:tblHeader/>
        </w:trPr>
        <w:tc>
          <w:tcPr>
            <w:tcW w:type="dxa" w:w="2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2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global reference, read-only, managed by the platform operator (FR-CAT-026, BR-CAT-018, BR-CAT-015)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CountryId</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2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global ISO 4217 reference, read-only (FR-CAT-021, Q-CAT-08)</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2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delivery term: global reference, read-only, managed by the operator; legacy terms are displayed, not selectable (FR-LCT-013, FR-CAT-021, BR-CAT-015)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IncotermId</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2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article: NULL TenantId = global read-only row, published only by the platform operator (FR-LCT-006, BR-LCT-018, BR-PLT-001)</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UcpArticleId</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3"/>
        <w:gridCol w:w="2436"/>
        <w:gridCol w:w="905"/>
        <w:gridCol w:w="905"/>
        <w:gridCol w:w="905"/>
        <w:gridCol w:w="905"/>
        <w:gridCol w:w="905"/>
      </w:tblGrid>
      <w:tr>
        <w:trPr>
          <w:cantSplit/>
          <w:tblHeader/>
        </w:trPr>
        <w:tc>
          <w:tcPr>
            <w:tcW w:type="dxa" w:w="2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‎ref.UcpArticle.VerifiedBy‎</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9" w:id="69"/>
      <w:r>
        <w:rPr>
          <w:rFonts w:ascii="Arial" w:cs="Arial" w:eastAsia="Arial" w:hAnsi="Arial"/>
          <w:b/>
          <w:bCs/>
          <w:color w:val="2B5C8A"/>
          <w:sz w:val="26"/>
          <w:szCs w:val="26"/>
          <w:rtl/>
        </w:rPr>
        <w:t xml:space="preserve">10.7 م5 · التسهيلات والتسعير والضمانات والالتزامات والبيانات المالية</w:t>
      </w:r>
      <w:bookmarkEnd w:id="69"/>
    </w:p>
    <w:p>
      <w:pPr>
        <w:pStyle w:val="Heading3"/>
        <w:bidi/>
      </w:pPr>
      <w:bookmarkStart w:name="_sec70" w:id="70"/>
      <w:r>
        <w:rPr>
          <w:rFonts w:ascii="Arial" w:cs="Arial" w:eastAsia="Arial" w:hAnsi="Arial"/>
          <w:b/>
          <w:bCs/>
          <w:color w:val="2B5C8A"/>
          <w:sz w:val="23"/>
          <w:szCs w:val="23"/>
          <w:rtl/>
        </w:rPr>
        <w:t xml:space="preserve">م5 · التسهيلات والمراجعات (1/2)</w:t>
      </w:r>
      <w:bookmarkEnd w:id="70"/>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48025"/>
            <wp:effectExtent t="0" r="0" b="0" l="0"/>
            <wp:docPr id="1" name="diagrams/erd/m5_facility_core_1.png" descr="م5 · التسهيلات والمراجعات (1/2)" title="م5 · التسهيلات والمراجع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3248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1"/>
        <w:gridCol w:w="3225"/>
        <w:gridCol w:w="1612"/>
        <w:gridCol w:w="809"/>
        <w:gridCol w:w="809"/>
        <w:gridCol w:w="809"/>
        <w:gridCol w:w="809"/>
      </w:tblGrid>
      <w:tr>
        <w:trPr>
          <w:cantSplit/>
          <w:tblHeader/>
        </w:trPr>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2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agreement package: root of the aggregate (FR-FAC-001..008, BR-FAC-001/005/006)</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Preparer and approver revision of facility terms (FR-FAC-024, BR-FAC-003/004, section 8)</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within the package, with precedence (FR-FAC-004, BR-FAC-008, V-FAC-03); its type comes from doc.Document.DocumentTypeId</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FacilityDocumentId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Lender and its share (FR-FAC-003, BR-FAC-007, V-FAC-02); shares total 100 and a single agent: checked by the application for every revision, and by trigger fac.TR_FacilityLender_ApprovedShares (db/static/050) for approved revisions</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24"/>
        <w:gridCol w:w="1609"/>
        <w:gridCol w:w="856"/>
        <w:gridCol w:w="856"/>
        <w:gridCol w:w="856"/>
        <w:gridCol w:w="856"/>
        <w:gridCol w:w="1207"/>
      </w:tblGrid>
      <w:tr>
        <w:trPr>
          <w:cantSplit/>
          <w:tblHeader/>
        </w:trPr>
        <w:tc>
          <w:tcPr>
            <w:tcW w:type="dxa" w:w="3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‎fac.Facility.BorrowerCompanyId‎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‎fac.Facility.FacilityTypeId‎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‎fac.Facility.CurrencyId‎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‎fac.Facility.PreviousFacilityId‎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‎fac.FacilityRevision.FacilityId‎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‎fac.FacilityRevision.SubmittedBy‎</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‎fac.FacilityRevision.ApprovedBy‎</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‎fac.FacilityDocument.DocumentId‎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‎fac.FacilityDocument.AmendsFacilityDocumentId‎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‎fac.FacilityDocument.SupersedesId‎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‎fac.FacilityLender.InstitutionId‎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‎fac.FacilityLender.ContactId‎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‎fac.FacilityLender.SupersedesId‎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bl>
    <w:p>
      <w:pPr>
        <w:bidi/>
        <w:spacing w:after="120" w:before="0"/>
      </w:pPr>
    </w:p>
    <w:p>
      <w:pPr>
        <w:pStyle w:val="Heading3"/>
        <w:bidi/>
      </w:pPr>
      <w:bookmarkStart w:name="_sec71" w:id="71"/>
      <w:r>
        <w:rPr>
          <w:rFonts w:ascii="Arial" w:cs="Arial" w:eastAsia="Arial" w:hAnsi="Arial"/>
          <w:b/>
          <w:bCs/>
          <w:color w:val="2B5C8A"/>
          <w:sz w:val="23"/>
          <w:szCs w:val="23"/>
          <w:rtl/>
        </w:rPr>
        <w:t xml:space="preserve">م5 · التسهيلات والمراجعات (2/2)</w:t>
      </w:r>
      <w:bookmarkEnd w:id="71"/>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943100"/>
            <wp:effectExtent t="0" r="0" b="0" l="0"/>
            <wp:docPr id="1" name="diagrams/erd/m5_facility_core_2.png" descr="م5 · التسهيلات والمراجعات (2/2)" title="م5 · التسهيلات والمراجع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1943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7"/>
        <w:gridCol w:w="1417"/>
        <w:gridCol w:w="2432"/>
        <w:gridCol w:w="837"/>
        <w:gridCol w:w="837"/>
        <w:gridCol w:w="837"/>
        <w:gridCol w:w="837"/>
      </w:tblGrid>
      <w:tr>
        <w:trPr>
          <w:cantSplit/>
          <w:tblHeader/>
        </w:trPr>
        <w:tc>
          <w:tcPr>
            <w:tcW w:type="dxa" w:w="2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Snapshot of the recognised outstanding balance (FR-FAC-009, BR-FAC-017); PctOfLimit is derived and not stored</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OutstandingSnapshotId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Conflict between two values of one field, and its resolution (FR-FAC-026, BR-FAC-019, BR-FAC-008)</w:t>
            </w:r>
          </w:p>
        </w:tc>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ValueConflictId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50"/>
        <w:gridCol w:w="1525"/>
        <w:gridCol w:w="873"/>
        <w:gridCol w:w="873"/>
        <w:gridCol w:w="873"/>
        <w:gridCol w:w="873"/>
        <w:gridCol w:w="897"/>
      </w:tblGrid>
      <w:tr>
        <w:trPr>
          <w:cantSplit/>
          <w:tblHeader/>
        </w:trPr>
        <w:tc>
          <w:tcPr>
            <w:tcW w:type="dxa" w:w="3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‎fac.OutstandingSnapshot.FacilityId‎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‎fac.OutstandingSnapshot.LimitId‎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‎fac.OutstandingSnapshot.ProductId‎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‎fac.OutstandingSnapshot.CurrencyId‎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‎fac.OutstandingSnapshot.SourceDocumentId‎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‎fac.OutstandingSnapshot.VerifiedBy‎</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‎fac.OutstandingSnapshot.ConflictId‎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‎fac.ValueConflict.FacilityId‎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‎fac.ValueConflict.CandidateASourceDocumentId‎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‎fac.ValueConflict.CandidateBSourceDocumentId‎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‎fac.ValueConflict.ResolvedBy‎</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2" w:id="72"/>
      <w:r>
        <w:rPr>
          <w:rFonts w:ascii="Arial" w:cs="Arial" w:eastAsia="Arial" w:hAnsi="Arial"/>
          <w:b/>
          <w:bCs/>
          <w:color w:val="2B5C8A"/>
          <w:sz w:val="23"/>
          <w:szCs w:val="23"/>
          <w:rtl/>
        </w:rPr>
        <w:t xml:space="preserve">م5 · الحدود والاستخدام والحجوزات (1/2)</w:t>
      </w:r>
      <w:bookmarkEnd w:id="72"/>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705350"/>
            <wp:effectExtent t="0" r="0" b="0" l="0"/>
            <wp:docPr id="1" name="diagrams/erd/m5_limits_1.png" descr="م5 · الحدود والاستخدام والحجوزات (1/2)" title="م5 · الحدود والاستخدام والحجوز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4705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Limit-tree node (FR-FAC-010/011, BR-FAC-009/010, V-FAC-04..07)</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line within a limit, with an optional SHARED_CAP ceiling (FR-FAC-012, V-FAC-08)</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rule on a limit: allowed, excluded or allocated (FR-FAC-013, BR-FAC-012, V-FAC-09)</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LimitCompanyRuleId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Operational terms of a product line with effective dates; NULL means 'not specified', not zero (FR-FAC-014, BR-FAC-016)</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ProductLineTermId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27"/>
        <w:gridCol w:w="1749"/>
        <w:gridCol w:w="869"/>
        <w:gridCol w:w="869"/>
        <w:gridCol w:w="869"/>
        <w:gridCol w:w="869"/>
        <w:gridCol w:w="1312"/>
      </w:tblGrid>
      <w:tr>
        <w:trPr>
          <w:cantSplit/>
          <w:tblHeader/>
        </w:trPr>
        <w:tc>
          <w:tcPr>
            <w:tcW w:type="dxa" w:w="3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‎fac.Limit.FacilityId‎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‎fac.Limit.ParentLimitId‎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‎fac.Limit.LimitTypeId‎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‎fac.LimitProductLine.ProductId‎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‎fac.LimitProductLine.SupersedesId‎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‎fac.LimitProductLine.SourceDocumentId‎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‎fac.LimitProductLine.VerifiedBy‎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‎fac.LimitProductLine.ConflictId‎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‎fac.LimitCompanyRule.FacilityId‎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‎fac.LimitCompanyRule.LimitId‎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‎fac.ProductLineTerm.LimitProductLineId‎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م5 · الحدود والاستخدام والحجوزات (2/2)</w:t>
      </w:r>
      <w:bookmarkEnd w:id="73"/>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4867275" cy="8191500"/>
            <wp:effectExtent t="0" r="0" b="0" l="0"/>
            <wp:docPr id="1" name="diagrams/erd/m5_limits_2.png" descr="م5 · الحدود والاستخدام والحجوزات (2/2)" title="م5 · الحدود والاستخدام والحجوز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8672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3"/>
        <w:gridCol w:w="2250"/>
        <w:gridCol w:w="2025"/>
        <w:gridCol w:w="834"/>
        <w:gridCol w:w="834"/>
        <w:gridCol w:w="834"/>
        <w:gridCol w:w="834"/>
      </w:tblGrid>
      <w:tr>
        <w:trPr>
          <w:cantSplit/>
          <w:tblHeader/>
        </w:trPr>
        <w:tc>
          <w:tcPr>
            <w:tcW w:type="dxa" w:w="2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utilisation item: manual or linked to a letter of credit; never deleted (FR-FAC-016/030, BR-FAC-013/020)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reserved for a request, equal to ExposureAmount (FR-FAC-017/018/020, BR-FAC-015)</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Movement record on a reservation or usage; no update or delete; duplicate-prevention key (BR-FAC-015, BR-FAC-020)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LimitMovementId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0"/>
        <w:gridCol w:w="1505"/>
        <w:gridCol w:w="847"/>
        <w:gridCol w:w="847"/>
        <w:gridCol w:w="847"/>
        <w:gridCol w:w="847"/>
        <w:gridCol w:w="1731"/>
      </w:tblGrid>
      <w:tr>
        <w:trPr>
          <w:cantSplit/>
          <w:tblHeader/>
        </w:trPr>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‎fac.Utilization.LimitProductLineId‎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‎fac.Utilization.CompanyId‎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‎fac.Utilization.CurrencyId‎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‎fac.Utilization.SourceRequestId‎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‎fac.Utilization.TransferredToFacilityId‎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‎fac.Utilization.TransferredToId‎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TransferredToFacilityId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‎fac.LimitReservation.LimitProductLineId‎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‎fac.LimitReservation.CompanyId‎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‎fac.LimitReservation.RequestId‎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‎fac.LimitReservation.CurrencyId‎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‎fac.LimitReservation.ConvertedUtilizationId‎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‎fac.LimitMovement.FacilityId‎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‎fac.LimitMovement.LimitReservationId‎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‎fac.LimitMovement.UtilizationId‎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‎fac.LimitMovement.CurrencyId‎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‎fac.LimitMovement.ActorUserId‎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م5 · التسعير وشروط المقارنة (1/2)</w:t>
      </w:r>
      <w:bookmarkEnd w:id="74"/>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2181225" cy="8191500"/>
            <wp:effectExtent t="0" r="0" b="0" l="0"/>
            <wp:docPr id="1" name="diagrams/erd/m5_pricing_1.png" descr="م5 · التسعير وشروط المقارنة (1/2)" title="م5 · التسعير وشروط المقارن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21812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rule with scope, inheritance and methods (FR-PRC-006..017, BR-PRC-006..012, V-PRC-02)</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PricingRuleId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TIERED rule by amount and/or term (FR-PRC-003, BR-PRC-002)</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PricingTierId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item in a tariff schedule (FR-PRC-002, BR-PRC-002..005)</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TariffItemId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tariff schedule version; optionally specific to a facility (FR-PRC-001, BR-PRC-001, V-PRC-01)</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2"/>
        <w:gridCol w:w="1728"/>
        <w:gridCol w:w="867"/>
        <w:gridCol w:w="867"/>
        <w:gridCol w:w="867"/>
        <w:gridCol w:w="867"/>
        <w:gridCol w:w="1296"/>
      </w:tblGrid>
      <w:tr>
        <w:trPr>
          <w:cantSplit/>
          <w:tblHeader/>
        </w:trPr>
        <w:tc>
          <w:tcPr>
            <w:tcW w:type="dxa" w:w="3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‎prc.PricingRule.ScopeProductId‎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‎prc.PricingRule.ScopeCompanyId‎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‎prc.PricingRule.FeeTypeId‎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‎prc.PricingRule.FinancingTypeId‎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‎prc.PricingRule.TariffItemId‎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‎prc.PricingRule.BaseRateId‎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‎prc.PricingRule.CurrencyId‎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‎prc.PricingRule.SupersedesId‎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‎prc.PricingRule.SourceDocumentId‎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‎prc.PricingRule.VerifiedBy‎</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‎prc.PricingRule.ConflictId‎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‎prc.PricingTier.PricingRuleId‎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‎prc.PricingTier.SupersedesId‎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‎prc.TariffItem.ScheduleId‎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‎prc.TariffItem.FeeTypeId‎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‎prc.TariffItem.ProductId‎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‎prc.TariffItem.CurrencyId‎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‎prc.TariffItem.SourceDocumentId‎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‎prc.TariffItem.VerifiedBy‎</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‎prc.TariffItem.ConflictId‎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‎prc.TariffSchedule.InstitutionId‎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‎prc.TariffSchedule.FacilityId‎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‎prc.TariffSchedule.SourceDocumentId‎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‎prc.TariffSchedule.ApprovedBy‎</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5" w:id="75"/>
      <w:r>
        <w:rPr>
          <w:rFonts w:ascii="Arial" w:cs="Arial" w:eastAsia="Arial" w:hAnsi="Arial"/>
          <w:b/>
          <w:bCs/>
          <w:color w:val="2B5C8A"/>
          <w:sz w:val="23"/>
          <w:szCs w:val="23"/>
          <w:rtl/>
        </w:rPr>
        <w:t xml:space="preserve">م5 · التسعير وشروط المقارنة (2/2)</w:t>
      </w:r>
      <w:bookmarkEnd w:id="75"/>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295900"/>
            <wp:effectExtent t="0" r="0" b="0" l="0"/>
            <wp:docPr id="1" name="diagrams/erd/m5_pricing_2.png" descr="م5 · التسعير وشروط المقارنة (2/2)" title="م5 · التسعير وشروط المقارن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5295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4"/>
        <w:gridCol w:w="2524"/>
        <w:gridCol w:w="1778"/>
        <w:gridCol w:w="872"/>
        <w:gridCol w:w="872"/>
        <w:gridCol w:w="872"/>
        <w:gridCol w:w="872"/>
      </w:tblGrid>
      <w:tr>
        <w:trPr>
          <w:cantSplit/>
          <w:tblHeader/>
        </w:trPr>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tariff item by amount and/or term (FR-PRC-003, BR-PRC-002)</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Comparable term key (FR-CMP-001); the code follows the pattern PRC.MARGIN_PCT; system terms cannot be deleted and their unit cannot change (IsSystem)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TermTypeId</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 value in a facility, with its scope and source (FR-CMP-002..006, BR-CMP-001..006, V-CMP-01)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1891"/>
        <w:gridCol w:w="882"/>
        <w:gridCol w:w="882"/>
        <w:gridCol w:w="882"/>
        <w:gridCol w:w="882"/>
        <w:gridCol w:w="1418"/>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‎prc.TariffTier.TariffItemId‎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‎cmp.TermValue.FacilityId‎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‎cmp.TermValue.TermTypeId‎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‎cmp.TermValue.LimitProductLineId‎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‎cmp.TermValue.ProductId‎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‎cmp.TermValue.CompanyId‎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‎cmp.TermValue.SupersedesId‎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‎cmp.TermValue.SourceDocumentId‎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‎cmp.TermValue.VerifiedBy‎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‎cmp.TermValue.ConflictId‎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م5 · الضمانات (1/2)</w:t>
      </w:r>
      <w:bookmarkEnd w:id="76"/>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62275"/>
            <wp:effectExtent t="0" r="0" b="0" l="0"/>
            <wp:docPr id="1" name="diagrams/erd/m5_collateral_1.png" descr="م5 · الضمانات (1/2)" title="م5 · الضمان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2962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9"/>
        <w:gridCol w:w="1470"/>
        <w:gridCol w:w="2481"/>
        <w:gridCol w:w="811"/>
        <w:gridCol w:w="811"/>
        <w:gridCol w:w="811"/>
        <w:gridCol w:w="811"/>
      </w:tblGrid>
      <w:tr>
        <w:trPr>
          <w:cantSplit/>
          <w:tblHeader/>
        </w:trPr>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record; approved independently of the facility review, and an amendment creates a new revision (FR-COL-001/014, V-COL-01, section 8)</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collateral and a facility or limit; one collateral can serve several facilities (FR-COL-002, BR-COL-005)</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CollateralLinkId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 1:1 with Collateral; the guarantor is always a Party, and no identity numbers are stored here (FR-COL-003/004, BR-COL-001)</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 policy assignment; the uniqueness key (CollateralId, PolicyNo) allows the policy to be renewed (FR-COL-006, BR-COL-003)</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InsurancePolicyAssignmentId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458"/>
        <w:gridCol w:w="843"/>
        <w:gridCol w:w="843"/>
        <w:gridCol w:w="843"/>
        <w:gridCol w:w="843"/>
        <w:gridCol w:w="1167"/>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‎col.Collateral.CollateralTypeId‎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‎col.Collateral.OwnerPartyId‎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‎col.Collateral.CashMarginAccountId‎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‎col.Collateral.ApprovedBy‎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‎col.Collateral.ReleaseDocumentId‎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‎col.Collateral.SourceDocumentId‎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‎col.Collateral.VerifiedBy‎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‎col.Collateral.ConflictId‎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‎col.CollateralLink.FacilityId‎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‎col.CollateralLink.LimitId‎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‎col.Guarantee.GuarantorPartyId‎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GuarantorPartyId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‎col.Guarantee.DeedDocumentId‎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‎col.InsurancePolicyAssignment.CollateralId‎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‎col.InsurancePolicyAssignment.AssignedToInstitutionId‎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‎col.InsurancePolicyAssignment.PolicyDocumentId‎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7" w:id="77"/>
      <w:r>
        <w:rPr>
          <w:rFonts w:ascii="Arial" w:cs="Arial" w:eastAsia="Arial" w:hAnsi="Arial"/>
          <w:b/>
          <w:bCs/>
          <w:color w:val="2B5C8A"/>
          <w:sz w:val="23"/>
          <w:szCs w:val="23"/>
          <w:rtl/>
        </w:rPr>
        <w:t xml:space="preserve">م5 · الضمانات (2/2)</w:t>
      </w:r>
      <w:bookmarkEnd w:id="77"/>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629025"/>
            <wp:effectExtent t="0" r="0" b="0" l="0"/>
            <wp:docPr id="1" name="diagrams/erd/m5_collateral_2.png" descr="م5 · الضمانات (2/2)" title="م5 · الضمان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629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0"/>
        <w:gridCol w:w="1772"/>
        <w:gridCol w:w="2104"/>
        <w:gridCol w:w="832"/>
        <w:gridCol w:w="832"/>
        <w:gridCol w:w="832"/>
        <w:gridCol w:w="832"/>
      </w:tblGrid>
      <w:tr>
        <w:trPr>
          <w:cantSplit/>
          <w:tblHeader/>
        </w:trPr>
        <w:tc>
          <w:tcPr>
            <w:tcW w:type="dxa" w:w="2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 1:1; its own amount may exceed the limit (FR-COL-005, BR-COL-002); NextRenewalDue and PNRatio are derived</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PromissoryNoteId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w:t>
            </w:r>
          </w:p>
        </w:tc>
        <w:tc>
          <w:tcPr>
            <w:tcW w:type="dxa" w:w="1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Signers of the promissory note (SignerPartyIds)</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PromissoryNoteId, PartyId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 valuation schedule (FR-COL-008, BR-COL-004), for example three valuers in the first year, then one valuer per year</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ValuationScheduleId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35"/>
        <w:gridCol w:w="1594"/>
        <w:gridCol w:w="871"/>
        <w:gridCol w:w="871"/>
        <w:gridCol w:w="871"/>
        <w:gridCol w:w="871"/>
        <w:gridCol w:w="1151"/>
      </w:tblGrid>
      <w:tr>
        <w:trPr>
          <w:cantSplit/>
          <w:tblHeader/>
        </w:trPr>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‎col.PromissoryNote.CollateralId‎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‎col.PromissoryNote.CurrencyId‎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‎col.PromissoryNote.NoteDocumentId‎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‎col.PromissoryNoteSigner.PromissoryNoteId‎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‎col.PromissoryNoteSigner.PartyId‎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‎col.ValuationSchedule.CollateralId‎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‎col.ValuationSchedule.CurrencyId‎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8" w:id="78"/>
      <w:r>
        <w:rPr>
          <w:rFonts w:ascii="Arial" w:cs="Arial" w:eastAsia="Arial" w:hAnsi="Arial"/>
          <w:b/>
          <w:bCs/>
          <w:color w:val="2B5C8A"/>
          <w:sz w:val="23"/>
          <w:szCs w:val="23"/>
          <w:rtl/>
        </w:rPr>
        <w:t xml:space="preserve">م5 · الالتزامات والتعهدات (1/3)</w:t>
      </w:r>
      <w:bookmarkEnd w:id="78"/>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29425"/>
            <wp:effectExtent t="0" r="0" b="0" l="0"/>
            <wp:docPr id="1" name="diagrams/erd/m5_obligations_1.png" descr="م5 · الالتزامات والتعهدات (1/3)" title="م5 · الالتزامات والتعهد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6829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71"/>
        <w:gridCol w:w="2104"/>
        <w:gridCol w:w="1661"/>
        <w:gridCol w:w="832"/>
        <w:gridCol w:w="832"/>
        <w:gridCol w:w="832"/>
        <w:gridCol w:w="832"/>
      </w:tblGrid>
      <w:tr>
        <w:trPr>
          <w:cantSplit/>
          <w:tblHeader/>
        </w:trPr>
        <w:tc>
          <w:tcPr>
            <w:tcW w:type="dxa" w:w="2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revision with dates; graduated limits are several revisions (FR-OBL-006, BR-OBL-001/005/006, Q-OBL-01)</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 covered by a covenant when specific accounts are selected (AccountIds)</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CovenantId, BankAccountId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test for a period and test version; an evaluated test changes only by its review (044, DR-39) (FR-OBL-011, FR-FIN-012/013, BR-OBL-006/007, section 8)</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2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statements an automatic evaluation read: written by the database from the test's snapshot, never by the application, so the breach report and a restatement find them by key (FR-FIN-017, BR-FIN-015)</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CovenantTestId, StatementId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6"/>
        <w:gridCol w:w="1711"/>
        <w:gridCol w:w="851"/>
        <w:gridCol w:w="851"/>
        <w:gridCol w:w="851"/>
        <w:gridCol w:w="851"/>
        <w:gridCol w:w="1633"/>
      </w:tblGrid>
      <w:tr>
        <w:trPr>
          <w:cantSplit/>
          <w:tblHeader/>
        </w:trPr>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6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‎obl.Covenant.ObligationId‎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‎obl.Covenant.FormulaId‎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FormulaResultUnit, FormulaUsesStatements</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‎obl.Covenant.CurrencyId‎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‎obl.Covenant.TestedCompanyId‎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‎obl.Covenant.SupersedesId‎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‎obl.CovenantAccount.CovenantId‎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‎obl.CovenantAccount.BankAccountId‎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‎obl.CovenantTest.FormulaId‎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‎obl.CovenantTest.EvaluatedBy‎</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‎obl.CovenantTest.EvidenceDocumentId‎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‎obl.CovenantTest.ReviewedBy‎</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‎obl.CovenantTestStatement.CovenantTestId‎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‎obl.CovenantTestStatement.StatementId‎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م5 · الالتزامات والتعهدات (2/3)</w:t>
      </w:r>
      <w:bookmarkEnd w:id="79"/>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543425"/>
            <wp:effectExtent t="0" r="0" b="0" l="0"/>
            <wp:docPr id="1" name="diagrams/erd/m5_obligations_2.png" descr="م5 · الالتزامات والتعهدات (2/3)" title="م5 · الالتزامات والتعهد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4543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8"/>
        <w:gridCol w:w="2254"/>
        <w:gridCol w:w="2040"/>
        <w:gridCol w:w="828"/>
        <w:gridCol w:w="828"/>
        <w:gridCol w:w="828"/>
        <w:gridCol w:w="828"/>
      </w:tblGrid>
      <w:tr>
        <w:trPr>
          <w:cantSplit/>
          <w:tblHeader/>
        </w:trPr>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on a facility (or on a limit, line or set of companies); the family comes from ObligationType and cannot be edited (FR-OBL-001, BR-OBL-001)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record, its remedy and any waiver (FR-OBL-012, BR-OBL-009/011, section 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the obligation applies to (AppliesToCompanyIds)</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ObligationId, CompanyId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Agenda item generated or logged for an event (FR-OBL-003..005, BR-OBL-003, section 8); DUE_SOON and OVERDUE are derived; a final status stays (044, DR-39)</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1610"/>
        <w:gridCol w:w="837"/>
        <w:gridCol w:w="837"/>
        <w:gridCol w:w="837"/>
        <w:gridCol w:w="837"/>
        <w:gridCol w:w="1750"/>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‎obl.Obligation.FacilityId‎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‎obl.Obligation.ObligationTypeId‎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‎obl.Obligation.ScopeLimitId‎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‎obl.Obligation.ScopeProductLineId‎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‎obl.Obligation.ParamCurrencyId‎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‎obl.Obligation.SupersedesId‎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‎obl.Obligation.SourceDocumentId‎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‎obl.Obligation.VerifiedBy‎</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‎obl.Obligation.ConflictId‎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‎obl.ObligationBreach.CovenantTestId‎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 TestPeriodEnd</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‎obl.ObligationBreach.ReportingInstanceId‎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‎obl.ObligationBreach.WaiverBankContactId‎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‎obl.ObligationBreach.WaiverDocumentId‎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‎obl.ObligationBreach.WaiverApprovedBy‎</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‎obl.ObligationCompany.CompanyId‎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‎obl.ReportingInstance.ReportingObligationId‎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‎obl.ReportingInstance.SubmissionChannelUsedId‎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‎obl.ReportingInstance.EvidenceDocumentId‎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‎obl.ReportingInstance.CurrencyId‎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0" w:id="80"/>
      <w:r>
        <w:rPr>
          <w:rFonts w:ascii="Arial" w:cs="Arial" w:eastAsia="Arial" w:hAnsi="Arial"/>
          <w:b/>
          <w:bCs/>
          <w:color w:val="2B5C8A"/>
          <w:sz w:val="23"/>
          <w:szCs w:val="23"/>
          <w:rtl/>
        </w:rPr>
        <w:t xml:space="preserve">م5 · الالتزامات والتعهدات (3/3)</w:t>
      </w:r>
      <w:bookmarkEnd w:id="80"/>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028950"/>
            <wp:effectExtent t="0" r="0" b="0" l="0"/>
            <wp:docPr id="1" name="diagrams/erd/m5_obligations_3.png" descr="م5 · الالتزامات والتعهدات (3/3)" title="م5 · الالتزامات والتعهد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3028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744"/>
        <w:gridCol w:w="2289"/>
        <w:gridCol w:w="830"/>
        <w:gridCol w:w="830"/>
        <w:gridCol w:w="830"/>
        <w:gridCol w:w="830"/>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17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or notice-due rule, 1:1 with Obligation (FR-OBL-002/003, BR-OBL-002, V-OBL-01)</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26"/>
        <w:gridCol w:w="1829"/>
        <w:gridCol w:w="854"/>
        <w:gridCol w:w="854"/>
        <w:gridCol w:w="854"/>
        <w:gridCol w:w="854"/>
        <w:gridCol w:w="1193"/>
      </w:tblGrid>
      <w:tr>
        <w:trPr>
          <w:cantSplit/>
          <w:tblHeader/>
        </w:trPr>
        <w:tc>
          <w:tcPr>
            <w:tcW w:type="dxa" w:w="3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‎obl.ReportingObligation.ObligationId‎</w:t>
            </w:r>
          </w:p>
        </w:tc>
        <w:tc>
          <w:tcPr>
            <w:tcW w:type="dxa" w:w="1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‎obl.ReportingObligation.SubmissionChannelId‎</w:t>
            </w:r>
          </w:p>
        </w:tc>
        <w:tc>
          <w:tcPr>
            <w:tcW w:type="dxa" w:w="1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‎obl.ReportingObligation.SupersedesId‎</w:t>
            </w:r>
          </w:p>
        </w:tc>
        <w:tc>
          <w:tcPr>
            <w:tcW w:type="dxa" w:w="1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bl>
    <w:p>
      <w:pPr>
        <w:bidi/>
        <w:spacing w:after="120" w:before="0"/>
      </w:pPr>
    </w:p>
    <w:p>
      <w:pPr>
        <w:pStyle w:val="Heading3"/>
        <w:bidi/>
      </w:pPr>
      <w:bookmarkStart w:name="_sec81" w:id="81"/>
      <w:r>
        <w:rPr>
          <w:rFonts w:ascii="Arial" w:cs="Arial" w:eastAsia="Arial" w:hAnsi="Arial"/>
          <w:b/>
          <w:bCs/>
          <w:color w:val="2B5C8A"/>
          <w:sz w:val="23"/>
          <w:szCs w:val="23"/>
          <w:rtl/>
        </w:rPr>
        <w:t xml:space="preserve">م5 · البيانات المالية والأرصدة (1/5)</w:t>
      </w:r>
      <w:bookmarkEnd w:id="81"/>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933575"/>
            <wp:effectExtent t="0" r="0" b="0" l="0"/>
            <wp:docPr id="1" name="diagrams/erd/m5_financials_1.png" descr="م5 · البيانات المالية والأرصدة (1/5)" title="م5 · البيانات المالية والأرصدة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19335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balance of an account in the account currency (FR-FIN-008, BR-FIN-005/006, V-FIN-02)</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transferred to the bank in a month; annual totals are computed automatically (FR-FIN-009/010, BR-FIN-007/008)</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unit of a holding's consolidated statement: the parent, each subsidiary, associate and joint venture, with its method and ownership (FR-FIN-015, BR-FIN-013; owner request 2026-10-18)</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ConsolidationMemberId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0"/>
        <w:gridCol w:w="1790"/>
        <w:gridCol w:w="858"/>
        <w:gridCol w:w="858"/>
        <w:gridCol w:w="858"/>
        <w:gridCol w:w="858"/>
        <w:gridCol w:w="1302"/>
      </w:tblGrid>
      <w:tr>
        <w:trPr>
          <w:cantSplit/>
          <w:tblHeader/>
        </w:trPr>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‎fin.AccountMonthlyStat.BankAccountId‎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‎fin.AccountMonthlyStat.DocumentId‎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‎fin.BankFlowEntry.CompanyId‎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‎fin.BankFlowEntry.InstitutionId‎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‎fin.BankFlowEntry.FacilityId‎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‎fin.BankFlowEntry.FlowKindListId‎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FlowKindListCode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FlowKindListId</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‎fin.BankFlowEntry.CurrencyId‎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‎fin.BankFlowEntry.DocumentId‎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‎fin.BankFlowEntry.EnteredBy‎</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‎fin.BankFlowEntry.ConfirmedBy‎</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‎fin.ConsolidationMember.StatementId‎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StatementBasis</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‎fin.ConsolidationMember.MemberCompanyId‎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‎fin.ConsolidationMember.MemberStatementId‎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MemberCompanyId</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‎fin.CreditAssessment.CompanyId‎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‎fin.CreditAssessment.StatementId‎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‎fin.CreditAssessment.PriorStatementId‎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‎fin.CreditAssessment.ScorecardId‎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‎fin.CreditAssessment.UsedPriorStatementId‎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‎fin.CreditAssessment.FinancialGradeId‎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‎fin.CreditAssessment.IndicatedGradeId‎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‎fin.CreditAssessment.CapGradeId‎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‎fin.CreditAssessment.StandaloneGradeId‎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‎fin.CreditAssessment.FinalGradeId‎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‎fin.CreditAssessment.PreparedBy‎</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‎fin.CreditAssessment.ApprovedBy‎</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2" w:id="82"/>
      <w:r>
        <w:rPr>
          <w:rFonts w:ascii="Arial" w:cs="Arial" w:eastAsia="Arial" w:hAnsi="Arial"/>
          <w:b/>
          <w:bCs/>
          <w:color w:val="2B5C8A"/>
          <w:sz w:val="23"/>
          <w:szCs w:val="23"/>
          <w:rtl/>
        </w:rPr>
        <w:t xml:space="preserve">م5 · البيانات المالية والأرصدة (2/5)</w:t>
      </w:r>
      <w:bookmarkEnd w:id="82"/>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076575"/>
            <wp:effectExtent t="0" r="0" b="0" l="0"/>
            <wp:docPr id="1" name="diagrams/erd/m5_financials_2.png" descr="م5 · البيانات المالية والأرصدة (2/5)" title="م5 · البيانات المالية والأرصدة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0765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(2/5)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9"/>
        <w:gridCol w:w="2491"/>
        <w:gridCol w:w="2008"/>
        <w:gridCol w:w="799"/>
        <w:gridCol w:w="799"/>
        <w:gridCol w:w="799"/>
        <w:gridCol w:w="799"/>
      </w:tblGrid>
      <w:tr>
        <w:trPr>
          <w:cantSplit/>
          <w:tblHeader/>
        </w:trPr>
        <w:tc>
          <w:tcPr>
            <w:tcW w:type="dxa" w:w="2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scorecard metric of an assessment: its value, its score on the linear continuum, its grade, weight and contribution; written by fin.usp_ComputeCreditAssessment only (BR-FIN-018, BR-FIN-019)</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CreditAssessmentFactorId</w:t>
            </w:r>
          </w:p>
        </w:tc>
        <w:tc>
          <w:tcPr>
            <w:tcW w:type="dxa" w:w="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‎fin.CreditAssessmentFinding‎</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finding of an assessment, with its text: a strength, a point to note or watch, a weakness, a critical risk or an adjustment, from the scorecard, an item rule, the covenants or the bank flows; written by fin.usp_ComputeCreditAssessment only (BR-FIN-020)</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CreditAssessmentFindingId</w:t>
            </w:r>
          </w:p>
        </w:tc>
        <w:tc>
          <w:tcPr>
            <w:tcW w:type="dxa" w:w="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analyst's inputs to an assessment: the grade of a qualitative factor, group support or an override, each with its justification; they change only while the assessment is a draft (BR-FIN-021, BR-FIN-022)</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CreditAssessmentInputId</w:t>
            </w:r>
          </w:p>
        </w:tc>
        <w:tc>
          <w:tcPr>
            <w:tcW w:type="dxa" w:w="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metric dictionary of the credit assessment: how each ratio is computed from the statement lines, its unit and direction, and the texts of its strength and weakness (docs/35 section 4)</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CreditMetricId</w:t>
            </w:r>
          </w:p>
        </w:tc>
        <w:tc>
          <w:tcPr>
            <w:tcW w:type="dxa" w:w="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758"/>
        <w:gridCol w:w="847"/>
        <w:gridCol w:w="847"/>
        <w:gridCol w:w="847"/>
        <w:gridCol w:w="847"/>
        <w:gridCol w:w="847"/>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‎fin.CreditAssessmentFactor.AssessmentId‎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‎fin.CreditAssessmentFactor.MetricId‎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‎fin.CreditAssessmentFactor.GradeId‎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‎fin.CreditAssessmentFinding.AssessmentId‎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‎fin.CreditAssessmentInput.AssessmentId‎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‎fin.CreditAssessmentInput.MetricId‎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‎fin.CreditAssessmentInput.GradeId‎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‎fin.CreditAssessmentInput.ParentAssessmentId‎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‎fin.CreditAssessmentInput.DocumentId‎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‎fin.CreditAssessmentInput.EnteredBy‎</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م5 · البيانات المالية والأرصدة (3/5)</w:t>
      </w:r>
      <w:bookmarkEnd w:id="83"/>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05125"/>
            <wp:effectExtent t="0" r="0" b="0" l="0"/>
            <wp:docPr id="1" name="diagrams/erd/m5_financials_3.png" descr="م5 · البيانات المالية والأرصدة (3/5)" title="م5 · البيانات المالية والأرصدة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29051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(3/5)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6"/>
        <w:gridCol w:w="1994"/>
        <w:gridCol w:w="2194"/>
        <w:gridCol w:w="820"/>
        <w:gridCol w:w="820"/>
        <w:gridCol w:w="820"/>
        <w:gridCol w:w="820"/>
      </w:tblGrid>
      <w:tr>
        <w:trPr>
          <w:cantSplit/>
          <w:tblHeader/>
        </w:trPr>
        <w:tc>
          <w:tcPr>
            <w:tcW w:type="dxa" w:w="23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statement header; highly confidential (FR-FIN-002/005/006, BR-FIN-001..004, section 8)</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 statement line item; 51 items seeded, twelve of them for the credit assessment; system items used in formulas cannot be deleted (FR-FIN-001, FR-FIN-020, CatalogBase)</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names (aliases) for a line item, used for paste and matching</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LineCatalogItemAliasId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 formula: a template or a facility-agreement version with revisions; never executed as text (FR-FIN-011, BR-FIN-009, section 12)</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7"/>
        <w:gridCol w:w="1878"/>
        <w:gridCol w:w="865"/>
        <w:gridCol w:w="865"/>
        <w:gridCol w:w="865"/>
        <w:gridCol w:w="865"/>
        <w:gridCol w:w="939"/>
      </w:tblGrid>
      <w:tr>
        <w:trPr>
          <w:cantSplit/>
          <w:tblHeader/>
        </w:trPr>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‎fin.FinancialStatement.CompanyId‎</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‎fin.FinancialStatement.CurrencyId‎</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Basis, Assurance, PeriodType, PeriodEnd</w:t>
            </w:r>
          </w:p>
        </w:tc>
      </w:tr>
      <w:tr>
        <w:trPr>
          <w:cantSplit/>
        </w:trPr>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‎fin.FinancialStatement.SourceDocumentId‎</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‎fin.FinancialStatement.PreparedBy‎</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‎fin.FinancialStatement.ApprovedBy‎</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‎fin.LineCatalogItemAlias.LineCatalogItemId‎</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‎fin.MeasureFormula.FacilityId‎</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‎fin.MeasureFormula.BaseTemplateId‎</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‎fin.MeasureFormula.ApprovedBy‎</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‎fin.MeasureFormula.SourceDocumentId‎</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‎fin.MeasureFormula.VerifiedBy‎</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‎fin.MeasureFormula.ConflictId‎</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4" w:id="84"/>
      <w:r>
        <w:rPr>
          <w:rFonts w:ascii="Arial" w:cs="Arial" w:eastAsia="Arial" w:hAnsi="Arial"/>
          <w:b/>
          <w:bCs/>
          <w:color w:val="2B5C8A"/>
          <w:sz w:val="23"/>
          <w:szCs w:val="23"/>
          <w:rtl/>
        </w:rPr>
        <w:t xml:space="preserve">م5 · البيانات المالية والأرصدة (4/5)</w:t>
      </w:r>
      <w:bookmarkEnd w:id="84"/>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028950"/>
            <wp:effectExtent t="0" r="0" b="0" l="0"/>
            <wp:docPr id="1" name="diagrams/erd/m5_financials_4.png" descr="م5 · البيانات المالية والأرصدة (4/5)" title="م5 · البيانات المالية والأرصدة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3028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(4/5)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5"/>
        <w:gridCol w:w="1779"/>
        <w:gridCol w:w="2274"/>
        <w:gridCol w:w="829"/>
        <w:gridCol w:w="829"/>
        <w:gridCol w:w="829"/>
        <w:gridCol w:w="829"/>
      </w:tblGrid>
      <w:tr>
        <w:trPr>
          <w:cantSplit/>
          <w:tblHeader/>
        </w:trPr>
        <w:tc>
          <w:tcPr>
            <w:tcW w:type="dxa" w:w="2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17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21 grades of the Moody's long-term scale, their range on the scorecard continuum and their risk band (docs/35 section 2, BR-FIN-018)</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RatingGradeId</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17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 revenue estimate for a fiscal year, used by a revenue-share covenant with RevenueBasisRule MANUAL_ESTIMATE (Q-FIN-05, BR-FIN-008, self-review B4)</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RevenueEstimateId</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17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sector scorecard of the credit assessment and its version; approved, it never changes and a change is a new version (docs/35 section 5, BR-FIN-023)</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ScorecardId</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w:t>
            </w:r>
          </w:p>
        </w:tc>
        <w:tc>
          <w:tcPr>
            <w:tcW w:type="dxa" w:w="17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adjustment of a scorecard: notches down, a standalone cap or an absolute cap on the best grade, applied in that order around group support and the override (docs/35 section 7)</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ScorecardAdjustmentId</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95"/>
        <w:gridCol w:w="1624"/>
        <w:gridCol w:w="889"/>
        <w:gridCol w:w="889"/>
        <w:gridCol w:w="889"/>
        <w:gridCol w:w="889"/>
        <w:gridCol w:w="889"/>
      </w:tblGrid>
      <w:tr>
        <w:trPr>
          <w:cantSplit/>
          <w:tblHeader/>
        </w:trPr>
        <w:tc>
          <w:tcPr>
            <w:tcW w:type="dxa" w:w="3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‎fin.RevenueEstimate.CompanyId‎</w:t>
            </w:r>
          </w:p>
        </w:tc>
        <w:tc>
          <w:tcPr>
            <w:tcW w:type="dxa" w:w="1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‎fin.RevenueEstimate.CurrencyId‎</w:t>
            </w:r>
          </w:p>
        </w:tc>
        <w:tc>
          <w:tcPr>
            <w:tcW w:type="dxa" w:w="1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‎fin.RevenueEstimate.DocumentId‎</w:t>
            </w:r>
          </w:p>
        </w:tc>
        <w:tc>
          <w:tcPr>
            <w:tcW w:type="dxa" w:w="1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‎fin.RevenueEstimate.PreparedBy‎</w:t>
            </w:r>
          </w:p>
        </w:tc>
        <w:tc>
          <w:tcPr>
            <w:tcW w:type="dxa" w:w="1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‎fin.RevenueEstimate.ApprovedBy‎</w:t>
            </w:r>
          </w:p>
        </w:tc>
        <w:tc>
          <w:tcPr>
            <w:tcW w:type="dxa" w:w="1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‎fin.Scorecard.CurrencyId‎</w:t>
            </w:r>
          </w:p>
        </w:tc>
        <w:tc>
          <w:tcPr>
            <w:tcW w:type="dxa" w:w="1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‎fin.ScorecardAdjustment.ScorecardId‎</w:t>
            </w:r>
          </w:p>
        </w:tc>
        <w:tc>
          <w:tcPr>
            <w:tcW w:type="dxa" w:w="1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‎fin.ScorecardAdjustment.CapGradeId‎</w:t>
            </w:r>
          </w:p>
        </w:tc>
        <w:tc>
          <w:tcPr>
            <w:tcW w:type="dxa" w:w="1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5" w:id="85"/>
      <w:r>
        <w:rPr>
          <w:rFonts w:ascii="Arial" w:cs="Arial" w:eastAsia="Arial" w:hAnsi="Arial"/>
          <w:b/>
          <w:bCs/>
          <w:color w:val="2B5C8A"/>
          <w:sz w:val="23"/>
          <w:szCs w:val="23"/>
          <w:rtl/>
        </w:rPr>
        <w:t xml:space="preserve">م5 · البيانات المالية والأرصدة (5/5)</w:t>
      </w:r>
      <w:bookmarkEnd w:id="85"/>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
            <wp:effectExtent t="0" r="0" b="0" l="0"/>
            <wp:docPr id="1" name="diagrams/erd/m5_financials_5.png" descr="م5 · البيانات المالية والأرصدة (5/5)" title="م5 · البيانات المالية والأرصدة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63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(5/5)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3"/>
        <w:gridCol w:w="1994"/>
        <w:gridCol w:w="2151"/>
        <w:gridCol w:w="834"/>
        <w:gridCol w:w="834"/>
        <w:gridCol w:w="834"/>
        <w:gridCol w:w="834"/>
      </w:tblGrid>
      <w:tr>
        <w:trPr>
          <w:cantSplit/>
          <w:tblHeader/>
        </w:trPr>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balance-sheet item rule of a scorecard: the item, its metric and the thresholds of LOW, MODERATE, ELEVATED, HIGH and CRITICAL; a value on a threshold belongs to the worse level (docs/35 section 6)</w:t>
            </w:r>
          </w:p>
        </w:tc>
        <w:tc>
          <w:tcPr>
            <w:tcW w:type="dxa" w:w="2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ScorecardItemRuleId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metric of a scorecard: its factor, its weight and the nine boundaries of its grid (best cap, Aaa|Aa, Aa|A, A|Baa, Baa|Ba, Ba|B, B|Caa, Caa|Ca, worst cap); a qualitative metric has no grid (docs/35 section 5)</w:t>
            </w:r>
          </w:p>
        </w:tc>
        <w:tc>
          <w:tcPr>
            <w:tcW w:type="dxa" w:w="2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ScorecardMetricId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 line in the header currency; stored value = input x UnitScale; Variance is derived; highly confidential (BR-FIN-001/002)</w:t>
            </w:r>
          </w:p>
        </w:tc>
        <w:tc>
          <w:tcPr>
            <w:tcW w:type="dxa" w:w="2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StatementLineId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analysis measure computed on an approved statement, for the study of the balance sheet; written by the engine (FR-FIN-016, BR-FIN-014)</w:t>
            </w:r>
          </w:p>
        </w:tc>
        <w:tc>
          <w:tcPr>
            <w:tcW w:type="dxa" w:w="2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StatementRatioId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99"/>
        <w:gridCol w:w="2135"/>
        <w:gridCol w:w="866"/>
        <w:gridCol w:w="866"/>
        <w:gridCol w:w="866"/>
        <w:gridCol w:w="866"/>
        <w:gridCol w:w="866"/>
      </w:tblGrid>
      <w:tr>
        <w:trPr>
          <w:cantSplit/>
          <w:tblHeader/>
        </w:trPr>
        <w:tc>
          <w:tcPr>
            <w:tcW w:type="dxa" w:w="3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‎fin.ScorecardItemRule.ScorecardId‎</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‎fin.ScorecardItemRule.MetricId‎</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‎fin.ScorecardMetric.ScorecardId‎</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‎fin.ScorecardMetric.MetricId‎</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‎fin.StatementLine.StatementId‎</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‎fin.StatementLine.LineCatalogItemId‎</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‎fin.StatementRatio.StatementId‎</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‎fin.StatementRatio.FormulaId‎</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86" w:id="86"/>
      <w:r>
        <w:rPr>
          <w:rFonts w:ascii="Arial" w:cs="Arial" w:eastAsia="Arial" w:hAnsi="Arial"/>
          <w:b/>
          <w:bCs/>
          <w:color w:val="2B5C8A"/>
          <w:sz w:val="26"/>
          <w:szCs w:val="26"/>
          <w:rtl/>
        </w:rPr>
        <w:t xml:space="preserve">10.8 م6 · الطلبات ودورات العمل والإشعارات</w:t>
      </w:r>
      <w:bookmarkEnd w:id="86"/>
    </w:p>
    <w:p>
      <w:pPr>
        <w:pStyle w:val="Heading3"/>
        <w:bidi/>
      </w:pPr>
      <w:bookmarkStart w:name="_sec87" w:id="87"/>
      <w:r>
        <w:rPr>
          <w:rFonts w:ascii="Arial" w:cs="Arial" w:eastAsia="Arial" w:hAnsi="Arial"/>
          <w:b/>
          <w:bCs/>
          <w:color w:val="2B5C8A"/>
          <w:sz w:val="23"/>
          <w:szCs w:val="23"/>
          <w:rtl/>
        </w:rPr>
        <w:t xml:space="preserve">م6 · قوالب دورات العمل (1/3)</w:t>
      </w:r>
      <w:bookmarkEnd w:id="87"/>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724150"/>
            <wp:effectExtent t="0" r="0" b="0" l="0"/>
            <wp:docPr id="1" name="diagrams/erd/m6_wf_templates_1.png" descr="م6 · قوالب دورات العمل (1/3)" title="م6 · قوالب دورات العمل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2724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8"/>
        <w:gridCol w:w="1979"/>
        <w:gridCol w:w="2187"/>
        <w:gridCol w:w="825"/>
        <w:gridCol w:w="825"/>
        <w:gridCol w:w="825"/>
        <w:gridCol w:w="825"/>
      </w:tblGrid>
      <w:tr>
        <w:trPr>
          <w:cantSplit/>
          <w:tblHeader/>
        </w:trPr>
        <w:tc>
          <w:tcPr>
            <w:tcW w:type="dxa" w:w="2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type definition (FR-REQ-001, BR-REQ-001, V-REQ-01); new types need no code (FR-REQ-021); its template is the current WorkflowTemplate of the type and its index fields the IndexRole fields of that template (DR-49)</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Audience of a request type: who may raise it; no rows = nobody (fail closed) (FR-REQ-007)</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Phase shown to the requester: DRAFT, IN_APPROVAL, RETURNED, AWAITING_REQUESTER, IN_PROGRESS, COMPLETED, REJECTED, CANCELLED (BR-WFL-011, D-6)</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version; a published version is immutable and its parts change only while it is a draft (044, DR-41) (FR-WFL-001/028, BR-WFL-019, AC-WFL-6)</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82"/>
        <w:gridCol w:w="1572"/>
        <w:gridCol w:w="882"/>
        <w:gridCol w:w="882"/>
        <w:gridCol w:w="882"/>
        <w:gridCol w:w="882"/>
        <w:gridCol w:w="882"/>
      </w:tblGrid>
      <w:tr>
        <w:trPr>
          <w:cantSplit/>
          <w:tblHeader/>
        </w:trPr>
        <w:tc>
          <w:tcPr>
            <w:tcW w:type="dxa" w:w="3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‎wfl.RequestTypeAudience.RoleId‎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‎wfl.RequestTypeAudience.DepartmentId‎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‎wfl.RequestTypeAudience.UserId‎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‎wfl.WorkflowTemplate.PublishedBy‎</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8" w:id="88"/>
      <w:r>
        <w:rPr>
          <w:rFonts w:ascii="Arial" w:cs="Arial" w:eastAsia="Arial" w:hAnsi="Arial"/>
          <w:b/>
          <w:bCs/>
          <w:color w:val="2B5C8A"/>
          <w:sz w:val="23"/>
          <w:szCs w:val="23"/>
          <w:rtl/>
        </w:rPr>
        <w:t xml:space="preserve">م6 · قوالب دورات العمل (2/3)</w:t>
      </w:r>
      <w:bookmarkEnd w:id="88"/>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33800"/>
            <wp:effectExtent t="0" r="0" b="0" l="0"/>
            <wp:docPr id="1" name="diagrams/erd/m6_wf_templates_2.png" descr="م6 · قوالب دورات العمل (2/3)" title="م6 · قوالب دورات العمل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3733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0"/>
        <w:gridCol w:w="2115"/>
        <w:gridCol w:w="2115"/>
        <w:gridCol w:w="826"/>
        <w:gridCol w:w="826"/>
        <w:gridCol w:w="826"/>
        <w:gridCol w:w="826"/>
      </w:tblGrid>
      <w:tr>
        <w:trPr>
          <w:cantSplit/>
          <w:tblHeader/>
        </w:trPr>
        <w:tc>
          <w:tcPr>
            <w:tcW w:type="dxa" w:w="23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Stage in a template version (FR-WFL-003/004/005, BR-WFL-002/010/012); physical delete only for a draft version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Approval slot in an APPROVAL stage; ALL = every slot, and a role requiring two people together = two slots (FR-WFL-007/041, BR-WFL-003/004)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Transition between two stages with a condition and a priority; a linear flow with simple conditional branching (FR-WFL-006, BR-WFL-001, D-8)</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Hook registered on a stage: a key and parameters, no code (FR-WFL-021, BR-WFL-015, section 5.4)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866"/>
        <w:gridCol w:w="879"/>
        <w:gridCol w:w="879"/>
        <w:gridCol w:w="879"/>
        <w:gridCol w:w="879"/>
        <w:gridCol w:w="933"/>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‎wfl.WorkflowStage.ExternalPhaseId‎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‎wfl.WorkflowStage.PoolPermissionId‎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‎wfl.WorkflowStage.AssigneeUserId‎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‎wfl.WorkflowStage.AssigneeDepartmentId‎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‎wfl.WorkflowStage.FallbackRoleId‎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‎wfl.StageApprover.UserId‎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‎wfl.StageApprover.DepartmentId‎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‎wfl.StageApprover.FallbackRoleId‎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‎wfl.WorkflowTransition.FromStageId‎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‎wfl.WorkflowTransition.ToStageId‎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‎wfl.WorkflowTransition.ResumeStageId‎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9" w:id="89"/>
      <w:r>
        <w:rPr>
          <w:rFonts w:ascii="Arial" w:cs="Arial" w:eastAsia="Arial" w:hAnsi="Arial"/>
          <w:b/>
          <w:bCs/>
          <w:color w:val="2B5C8A"/>
          <w:sz w:val="23"/>
          <w:szCs w:val="23"/>
          <w:rtl/>
        </w:rPr>
        <w:t xml:space="preserve">م6 · قوالب دورات العمل (3/3)</w:t>
      </w:r>
      <w:bookmarkEnd w:id="89"/>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352550"/>
            <wp:effectExtent t="0" r="0" b="0" l="0"/>
            <wp:docPr id="1" name="diagrams/erd/m6_wf_templates_3.png" descr="م6 · قوالب دورات العمل (3/3)" title="م6 · قوالب دورات العمل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1352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1"/>
        <w:gridCol w:w="1671"/>
        <w:gridCol w:w="2360"/>
        <w:gridCol w:w="818"/>
        <w:gridCol w:w="818"/>
        <w:gridCol w:w="818"/>
        <w:gridCol w:w="818"/>
      </w:tblGrid>
      <w:tr>
        <w:trPr>
          <w:cantSplit/>
          <w:tblHeader/>
        </w:trPr>
        <w:tc>
          <w:tcPr>
            <w:tcW w:type="dxa" w:w="2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Field in a template version; the form UI is generated without code (FR-REQ-002..005, BR-REQ-003/004)</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Attachment rule on a template version (FR-REQ-006, BR-REQ-005, FR-WFL-024/025)</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2"/>
        <w:gridCol w:w="1832"/>
        <w:gridCol w:w="854"/>
        <w:gridCol w:w="854"/>
        <w:gridCol w:w="854"/>
        <w:gridCol w:w="854"/>
        <w:gridCol w:w="854"/>
      </w:tblGrid>
      <w:tr>
        <w:trPr>
          <w:cantSplit/>
          <w:tblHeader/>
        </w:trPr>
        <w:tc>
          <w:tcPr>
            <w:tcW w:type="dxa" w:w="3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‎wfl.TemplateField.TemplateId‎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‎wfl.TemplateAttachmentRule.TemplateId‎</w:t>
            </w:r>
          </w:p>
        </w:tc>
        <w:tc>
          <w:tcPr>
            <w:tcW w:type="dxa" w:w="1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‎wfl.TemplateAttachmentRule.DocumentTypeId‎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0" w:id="90"/>
      <w:r>
        <w:rPr>
          <w:rFonts w:ascii="Arial" w:cs="Arial" w:eastAsia="Arial" w:hAnsi="Arial"/>
          <w:b/>
          <w:bCs/>
          <w:color w:val="2B5C8A"/>
          <w:sz w:val="23"/>
          <w:szCs w:val="23"/>
          <w:rtl/>
        </w:rPr>
        <w:t xml:space="preserve">م6 · الطلبات وإجراءاتها (1/3)</w:t>
      </w:r>
      <w:bookmarkEnd w:id="90"/>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00800"/>
            <wp:effectExtent t="0" r="0" b="0" l="0"/>
            <wp:docPr id="1" name="diagrams/erd/m6_requests_1.png" descr="م6 · الطلبات وإجراءاتها (1/3)" title="م6 · الطلبات وإجراءاته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6400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8"/>
        <w:gridCol w:w="1715"/>
        <w:gridCol w:w="2287"/>
        <w:gridCol w:w="836"/>
        <w:gridCol w:w="836"/>
        <w:gridCol w:w="836"/>
        <w:gridCol w:w="836"/>
      </w:tblGrid>
      <w:tr>
        <w:trPr>
          <w:cantSplit/>
          <w:tblHeader/>
        </w:trPr>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the most heavily used table; the internal status is kept separate from the visible phase (FR-WFL-001, FR-REQ-009, D-6, BR-REQ-002/003)</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Comment visible to the requester or internal; the application prevents editing it, and withdrawal keeps the original (FR-REQ-017, BR-REQ-014)</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 request and creates a DocumentLink (EntityType = Request) (FR-REQ-006, BR-REQ-005)</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as free text; edits replace the value and keep the history; no external validation (FR-REQ-010, X-DAT-7, BR-REQ-006)</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00"/>
        <w:gridCol w:w="2073"/>
        <w:gridCol w:w="867"/>
        <w:gridCol w:w="867"/>
        <w:gridCol w:w="867"/>
        <w:gridCol w:w="867"/>
        <w:gridCol w:w="1123"/>
      </w:tblGrid>
      <w:tr>
        <w:trPr>
          <w:cantSplit/>
          <w:tblHeader/>
        </w:trPr>
        <w:tc>
          <w:tcPr>
            <w:tcW w:type="dxa" w:w="3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‎wfl.Request.RequestTypeId‎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‎wfl.Request.TemplateId‎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‎wfl.Request.CompanyId‎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‎wfl.Request.DepartmentId‎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‎wfl.Request.RequesterUserId‎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‎wfl.Request.CreatedByUserId‎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‎wfl.Request.SubmittedByUserId‎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‎wfl.Request.CurrentStageInstanceId‎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‎wfl.Request.ExternalPhaseId‎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‎wfl.Request.AssigneeUserId‎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‎wfl.Request.ClosedByUserId‎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‎wfl.Request.CurrencyId‎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‎wfl.Request.ProductId‎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‎wfl.Request.ParentRequestId‎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‎wfl.Request.CopiedFromRequestId‎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‎wfl.Request.FacilityId‎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‎wfl.Request.LimitProductLineId‎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‎wfl.Request.InstitutionId‎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‎wfl.Request.ReservationId‎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‎wfl.RequestComment.AuthorUserId‎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‎wfl.RequestComment.ParentCommentId‎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‎wfl.RequestComment.RetractedBy‎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‎wfl.RequestAttachment.DocumentId‎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‎wfl.RequestExternalRef.SupersededById‎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‎wfl.RequestExternalRef.EnteredBy‎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1" w:id="91"/>
      <w:r>
        <w:rPr>
          <w:rFonts w:ascii="Arial" w:cs="Arial" w:eastAsia="Arial" w:hAnsi="Arial"/>
          <w:b/>
          <w:bCs/>
          <w:color w:val="2B5C8A"/>
          <w:sz w:val="23"/>
          <w:szCs w:val="23"/>
          <w:rtl/>
        </w:rPr>
        <w:t xml:space="preserve">م6 · الطلبات وإجراءاتها (2/3)</w:t>
      </w:r>
      <w:bookmarkEnd w:id="91"/>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71875"/>
            <wp:effectExtent t="0" r="0" b="0" l="0"/>
            <wp:docPr id="1" name="diagrams/erd/m6_requests_2.png" descr="م6 · الطلبات وإجراءاتها (2/3)" title="م6 · الطلبات وإجراءاته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3571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6"/>
        <w:gridCol w:w="1994"/>
        <w:gridCol w:w="2194"/>
        <w:gridCol w:w="820"/>
        <w:gridCol w:w="820"/>
        <w:gridCol w:w="820"/>
        <w:gridCol w:w="820"/>
      </w:tblGrid>
      <w:tr>
        <w:trPr>
          <w:cantSplit/>
          <w:tblHeader/>
        </w:trPr>
        <w:tc>
          <w:tcPr>
            <w:tcW w:type="dxa" w:w="23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Entry of a request into a stage; source of the cycle-time, withdrawal and SLA metrics (BR-WFL-002/007/012, section 8)</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slot created per entry and cycle; a new cycle creates new slots (BR-WFL-003, FR-WFL-007/008/011)</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action log covering every event; separate from the security audit log (FR-WFL-033/034, section 6.2)</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 of a hook with an idempotency key; a repeat returns the stored result (FR-WFL-021, BR-WFL-015)</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2099"/>
        <w:gridCol w:w="869"/>
        <w:gridCol w:w="869"/>
        <w:gridCol w:w="869"/>
        <w:gridCol w:w="869"/>
        <w:gridCol w:w="87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‎wfl.RequestStageInstance.TemplateId‎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‎wfl.RequestStageInstance.AssigneeUserId‎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‎wfl.RequestStageInstance.ResumeStageId‎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‎wfl.RequestApproval.StageInstanceId‎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‎wfl.RequestApproval.AssignedRoleId‎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‎wfl.RequestApproval.ActedByUserId‎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‎wfl.RequestApproval.OnBehalfOfUserId‎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‎wfl.RequestApproval.DelegationId‎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‎wfl.RequestAction.ActorUserId‎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‎wfl.RequestAction.OnBehalfOfUserId‎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bl>
    <w:p>
      <w:pPr>
        <w:bidi/>
        <w:spacing w:after="120" w:before="0"/>
      </w:pPr>
    </w:p>
    <w:p>
      <w:pPr>
        <w:pStyle w:val="Heading3"/>
        <w:bidi/>
      </w:pPr>
      <w:bookmarkStart w:name="_sec92" w:id="92"/>
      <w:r>
        <w:rPr>
          <w:rFonts w:ascii="Arial" w:cs="Arial" w:eastAsia="Arial" w:hAnsi="Arial"/>
          <w:b/>
          <w:bCs/>
          <w:color w:val="2B5C8A"/>
          <w:sz w:val="23"/>
          <w:szCs w:val="23"/>
          <w:rtl/>
        </w:rPr>
        <w:t xml:space="preserve">م6 · الطلبات وإجراءاتها (3/3)</w:t>
      </w:r>
      <w:bookmarkEnd w:id="92"/>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4124325"/>
            <wp:effectExtent t="0" r="0" b="0" l="0"/>
            <wp:docPr id="1" name="diagrams/erd/m6_requests_3.png" descr="م6 · الطلبات وإجراءاتها (3/3)" title="م6 · الطلبات وإجراءاته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4124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672"/>
        <w:gridCol w:w="2229"/>
        <w:gridCol w:w="863"/>
        <w:gridCol w:w="863"/>
        <w:gridCol w:w="863"/>
        <w:gridCol w:w="863"/>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1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 delegation with a period and scope; no chained delegation (FR-WFL-020, BR-WFL-021, V-WFL-06)</w:t>
            </w:r>
          </w:p>
        </w:tc>
        <w:tc>
          <w:tcPr>
            <w:tcW w:type="dxa" w:w="2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UserDelegationId</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50"/>
        <w:gridCol w:w="1709"/>
        <w:gridCol w:w="901"/>
        <w:gridCol w:w="901"/>
        <w:gridCol w:w="901"/>
        <w:gridCol w:w="901"/>
        <w:gridCol w:w="901"/>
      </w:tblGrid>
      <w:tr>
        <w:trPr>
          <w:cantSplit/>
          <w:tblHeader/>
        </w:trPr>
        <w:tc>
          <w:tcPr>
            <w:tcW w:type="dxa" w:w="3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‎wfl.UserDelegation.FromUserId‎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‎wfl.UserDelegation.ToUserId‎</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‎wfl.UserDelegation.RequestTypeId‎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‎wfl.UserDelegation.RevokedBy‎</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3" w:id="93"/>
      <w:r>
        <w:rPr>
          <w:rFonts w:ascii="Arial" w:cs="Arial" w:eastAsia="Arial" w:hAnsi="Arial"/>
          <w:b/>
          <w:bCs/>
          <w:color w:val="2B5C8A"/>
          <w:sz w:val="23"/>
          <w:szCs w:val="23"/>
          <w:rtl/>
        </w:rPr>
        <w:t xml:space="preserve">م6 · الإشعارات (1/2)</w:t>
      </w:r>
      <w:bookmarkEnd w:id="93"/>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553075"/>
            <wp:effectExtent t="0" r="0" b="0" l="0"/>
            <wp:docPr id="1" name="diagrams/erd/m6_notifications_1.png" descr="م6 · الإشعارات (1/2)" title="م6 · الإشعار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5553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0"/>
        <w:gridCol w:w="2393"/>
        <w:gridCol w:w="2033"/>
        <w:gridCol w:w="807"/>
        <w:gridCol w:w="807"/>
        <w:gridCol w:w="807"/>
        <w:gridCol w:w="807"/>
      </w:tblGrid>
      <w:tr>
        <w:trPr>
          <w:cantSplit/>
          <w:tblHeader/>
        </w:trPr>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 batch for a user, channel and period; never sent empty (FR-NTF-014, BR-NTF-004, JOB-NTF-DIGEST)</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 for a user; the content carries no restricted values (FR-NTF-005/006/007/021, BR-NTF-001/002/007/008/011)</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 of a notification per channel, with status and retries (FR-NTF-019, BR-NTF-009, section 8)</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Event catalogue: specification 13 owns it for all modules, and modules seed their events into it (FR-NTF-001, section 9.2)</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1"/>
        <w:gridCol w:w="2198"/>
        <w:gridCol w:w="847"/>
        <w:gridCol w:w="847"/>
        <w:gridCol w:w="847"/>
        <w:gridCol w:w="847"/>
        <w:gridCol w:w="847"/>
      </w:tblGrid>
      <w:tr>
        <w:trPr>
          <w:cantSplit/>
          <w:tblHeader/>
        </w:trPr>
        <w:tc>
          <w:tcPr>
            <w:tcW w:type="dxa" w:w="3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‎ntf.DigestBatch.UserId‎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‎ntf.Notification.UserId‎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‎ntf.Notification.CompanyId‎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‎ntf.NotificationDelivery.NotificationId‎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‎ntf.NotificationDelivery.DigestBatchId‎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4" w:id="94"/>
      <w:r>
        <w:rPr>
          <w:rFonts w:ascii="Arial" w:cs="Arial" w:eastAsia="Arial" w:hAnsi="Arial"/>
          <w:b/>
          <w:bCs/>
          <w:color w:val="2B5C8A"/>
          <w:sz w:val="23"/>
          <w:szCs w:val="23"/>
          <w:rtl/>
        </w:rPr>
        <w:t xml:space="preserve">م6 · الإشعارات (2/2)</w:t>
      </w:r>
      <w:bookmarkEnd w:id="94"/>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0150"/>
            <wp:effectExtent t="0" r="0" b="0" l="0"/>
            <wp:docPr id="1" name="diagrams/erd/m6_notifications_2.png" descr="م6 · الإشعارات (2/2)" title="م6 · الإشعار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96000" cy="1200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6"/>
        <w:gridCol w:w="1595"/>
        <w:gridCol w:w="2393"/>
        <w:gridCol w:w="820"/>
        <w:gridCol w:w="820"/>
        <w:gridCol w:w="820"/>
        <w:gridCol w:w="820"/>
      </w:tblGrid>
      <w:tr>
        <w:trPr>
          <w:cantSplit/>
          <w:tblHeader/>
        </w:trPr>
        <w:tc>
          <w:tcPr>
            <w:tcW w:type="dxa" w:w="25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preference per event group and channel (FR-NTF-010, BR-NTF-003/014); mandatory notifications cannot be switched off in the application</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Recipient rule for an event; changes apply to subsequent events only (FR-NTF-003, BR-NTF-001, V-NTF-02)</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 template per (event, channel, language); deleting it reverts to the seed template (FR-NTF-012, FR-NTF-025)</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03"/>
        <w:gridCol w:w="2291"/>
        <w:gridCol w:w="854"/>
        <w:gridCol w:w="854"/>
        <w:gridCol w:w="854"/>
        <w:gridCol w:w="854"/>
        <w:gridCol w:w="854"/>
      </w:tblGrid>
      <w:tr>
        <w:trPr>
          <w:cantSplit/>
          <w:tblHeader/>
        </w:trPr>
        <w:tc>
          <w:tcPr>
            <w:tcW w:type="dxa" w:w="3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‎ntf.NotificationRule.RoleId‎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‎ntf.NotificationRule.PermissionId‎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5" w:id="95"/>
      <w:r>
        <w:rPr>
          <w:rFonts w:ascii="Arial" w:cs="Arial" w:eastAsia="Arial" w:hAnsi="Arial"/>
          <w:b/>
          <w:bCs/>
          <w:color w:val="2B5C8A"/>
          <w:sz w:val="26"/>
          <w:szCs w:val="26"/>
          <w:rtl/>
        </w:rPr>
        <w:t xml:space="preserve">10.9 م7/م8 · الاعتمادات المستندية والبروفورما</w:t>
      </w:r>
      <w:bookmarkEnd w:id="95"/>
    </w:p>
    <w:p>
      <w:pPr>
        <w:pStyle w:val="Heading3"/>
        <w:bidi/>
      </w:pPr>
      <w:bookmarkStart w:name="_sec96" w:id="96"/>
      <w:r>
        <w:rPr>
          <w:rFonts w:ascii="Arial" w:cs="Arial" w:eastAsia="Arial" w:hAnsi="Arial"/>
          <w:b/>
          <w:bCs/>
          <w:color w:val="2B5C8A"/>
          <w:sz w:val="23"/>
          <w:szCs w:val="23"/>
          <w:rtl/>
        </w:rPr>
        <w:t xml:space="preserve">م7/م8 · شروط الاعتماد والنماذج (1/3)</w:t>
      </w:r>
      <w:bookmarkEnd w:id="96"/>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14650"/>
            <wp:effectExtent t="0" r="0" b="0" l="0"/>
            <wp:docPr id="1" name="diagrams/erd/m7_8_lc_terms_1.png" descr="م7/م8 · شروط الاعتماد والنماذج (1/3)" title="م7/م8 · شروط الاعتماد والنماذج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291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3"/>
        <w:gridCol w:w="2569"/>
        <w:gridCol w:w="1950"/>
        <w:gridCol w:w="823"/>
        <w:gridCol w:w="823"/>
        <w:gridCol w:w="823"/>
        <w:gridCol w:w="823"/>
      </w:tblGrid>
      <w:tr>
        <w:trPr>
          <w:cantSplit/>
          <w:tblHeader/>
        </w:trPr>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Definition of a field in letter-of-credit terms: data seeded per tenant (FR-LCT-004, BR-LCT-002); UCP references are in lc.LcFieldUcpRef</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reference for a field: article and paragraph (UcpRefs in specification); feeds the badge, R-LCT-01 and BR-LCT-018</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LcFieldUcpRefId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lightweight supplier or customer without identity; promoted to Party when needed (FR-LCT-036/037, BR-LCT-022, Q-PTY-03)</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Document-clause library with versions: template text with parameters (FR-LCT-017..019, BR-LCT-012); UCP references are in lc.LcDocumentClauseUcpRef</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970"/>
        <w:gridCol w:w="869"/>
        <w:gridCol w:w="869"/>
        <w:gridCol w:w="869"/>
        <w:gridCol w:w="869"/>
        <w:gridCol w:w="869"/>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‎lc.LcFieldUcpRef.LcFieldDefinitionId‎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‎lc.LcFieldUcpRef.UcpArticleId‎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‎lc.Counterparty.CountryId‎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‎lc.Counterparty.PartyId‎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‎lc.Counterparty.MergedIntoId‎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‎lc.LcDocumentClause.InstitutionId‎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7" w:id="97"/>
      <w:r>
        <w:rPr>
          <w:rFonts w:ascii="Arial" w:cs="Arial" w:eastAsia="Arial" w:hAnsi="Arial"/>
          <w:b/>
          <w:bCs/>
          <w:color w:val="2B5C8A"/>
          <w:sz w:val="23"/>
          <w:szCs w:val="23"/>
          <w:rtl/>
        </w:rPr>
        <w:t xml:space="preserve">م7/م8 · شروط الاعتماد والنماذج (2/3)</w:t>
      </w:r>
      <w:bookmarkEnd w:id="97"/>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53175"/>
            <wp:effectExtent t="0" r="0" b="0" l="0"/>
            <wp:docPr id="1" name="diagrams/erd/m7_8_lc_terms_2.png" descr="م7/م8 · شروط الاعتماد والنماذج (2/3)" title="م7/م8 · شروط الاعتماد والنماذج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6353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2"/>
        <w:gridCol w:w="1770"/>
        <w:gridCol w:w="2360"/>
        <w:gridCol w:w="818"/>
        <w:gridCol w:w="818"/>
        <w:gridCol w:w="818"/>
        <w:gridCol w:w="818"/>
      </w:tblGrid>
      <w:tr>
        <w:trPr>
          <w:cantSplit/>
          <w:tblHeader/>
        </w:trPr>
        <w:tc>
          <w:tcPr>
            <w:tcW w:type="dxa" w:w="24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w:t>
            </w:r>
          </w:p>
        </w:tc>
        <w:tc>
          <w:tcPr>
            <w:tcW w:type="dxa" w:w="1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for a document clause: article and paragraph (UcpRefs in specification)</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LcDocumentClauseUcpRefId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terms version: one row per version, with the section 6.2 dictionary columns; shared by proforma, request, credit and amendment (FR-LCT-001..035); a locked version changes only in its treasury fields until TreasuryHash (044, DR-41)</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r>
      <w:tr>
        <w:trPr>
          <w:cantSplit/>
        </w:trPr>
        <w:tc>
          <w:tcPr>
            <w:tcW w:type="dxa" w:w="24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w:t>
            </w:r>
          </w:p>
        </w:tc>
        <w:tc>
          <w:tcPr>
            <w:tcW w:type="dxa" w:w="1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clause selected in the terms, with its parameters; written only while the terms are a draft (044, DR-41) (FR-LCT-018, BR-LCT-012)</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w:t>
            </w:r>
          </w:p>
        </w:tc>
        <w:tc>
          <w:tcPr>
            <w:tcW w:type="dxa" w:w="1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Charges per term: one row per category; six complete rows, checked by the application (V-LCT-12); written only while the terms are a draft (044, DR-41) (FR-LCT-020, BR-LCT-014)</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71"/>
        <w:gridCol w:w="1583"/>
        <w:gridCol w:w="861"/>
        <w:gridCol w:w="861"/>
        <w:gridCol w:w="861"/>
        <w:gridCol w:w="861"/>
        <w:gridCol w:w="1166"/>
      </w:tblGrid>
      <w:tr>
        <w:trPr>
          <w:cantSplit/>
          <w:tblHeader/>
        </w:trPr>
        <w:tc>
          <w:tcPr>
            <w:tcW w:type="dxa" w:w="3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‎lc.LcDocumentClauseUcpRef.LcDocumentClauseId‎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‎lc.LcDocumentClauseUcpRef.UcpArticleId‎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‎lc.LcTerms.EncKeyId‎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‎lc.LcTerms.HashKeyId‎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‎lc.LcTerms.CurrencyId‎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‎lc.LcTerms.IncotermId‎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‎lc.LcTerms.FacilityAccountId‎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‎lc.LcTerms.MarginSettlementAccountId‎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‎lc.LcTerms.ChargesAccountId‎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‎lc.LcTerms.PrevLcCurrencyId‎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‎lc.LcTerms.LockedBy‎</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‎lc.LcTerms.SupersedesTermsId‎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‎lc.LcTerms.CopiedFromTermsId‎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8" w:id="98"/>
      <w:r>
        <w:rPr>
          <w:rFonts w:ascii="Arial" w:cs="Arial" w:eastAsia="Arial" w:hAnsi="Arial"/>
          <w:b/>
          <w:bCs/>
          <w:color w:val="2B5C8A"/>
          <w:sz w:val="23"/>
          <w:szCs w:val="23"/>
          <w:rtl/>
        </w:rPr>
        <w:t xml:space="preserve">م7/م8 · شروط الاعتماد والنماذج (3/3)</w:t>
      </w:r>
      <w:bookmarkEnd w:id="98"/>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5638800" cy="8191500"/>
            <wp:effectExtent t="0" r="0" b="0" l="0"/>
            <wp:docPr id="1" name="diagrams/erd/m7_8_lc_terms_3.png" descr="م7/م8 · شروط الاعتماد والنماذج (3/3)" title="م7/م8 · شروط الاعتماد والنماذج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638800"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4"/>
        <w:gridCol w:w="1958"/>
        <w:gridCol w:w="2166"/>
        <w:gridCol w:w="859"/>
        <w:gridCol w:w="859"/>
        <w:gridCol w:w="859"/>
        <w:gridCol w:w="859"/>
      </w:tblGrid>
      <w:tr>
        <w:trPr>
          <w:cantSplit/>
          <w:tblHeader/>
        </w:trPr>
        <w:tc>
          <w:tcPr>
            <w:tcW w:type="dxa" w:w="23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 template per bank, product and form type, with version, effective period and contract annex (FR-LCT-026, BR-LCT-017, specification 02 F-14)</w:t>
            </w:r>
          </w:p>
        </w:tc>
        <w:tc>
          <w:tcPr>
            <w:tcW w:type="dxa" w:w="2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3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Mapping of a system field to a PDF field or a portal-form item (FR-LCT-027, BR-LCT-020)</w:t>
            </w:r>
          </w:p>
        </w:tc>
        <w:tc>
          <w:tcPr>
            <w:tcW w:type="dxa" w:w="2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04"/>
        <w:gridCol w:w="1700"/>
        <w:gridCol w:w="872"/>
        <w:gridCol w:w="872"/>
        <w:gridCol w:w="872"/>
        <w:gridCol w:w="872"/>
        <w:gridCol w:w="872"/>
      </w:tblGrid>
      <w:tr>
        <w:trPr>
          <w:cantSplit/>
          <w:tblHeader/>
        </w:trPr>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‎lc.LcFormTemplate.InstitutionId‎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‎lc.LcFormTemplate.ProductId‎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‎lc.LcFormTemplate.CompanyId‎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‎lc.LcFormTemplate.SourceDocumentId‎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‎lc.LcFormTemplate.AnnexDocumentId‎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‎lc.LcFormTemplate.LetterheadDocumentId‎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‎lc.LcFormFieldMap.TemplateId‎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9" w:id="99"/>
      <w:r>
        <w:rPr>
          <w:rFonts w:ascii="Arial" w:cs="Arial" w:eastAsia="Arial" w:hAnsi="Arial"/>
          <w:b/>
          <w:bCs/>
          <w:color w:val="2B5C8A"/>
          <w:sz w:val="23"/>
          <w:szCs w:val="23"/>
          <w:rtl/>
        </w:rPr>
        <w:t xml:space="preserve">م7/م8 · الاعتمادات والبروفورما (1/3)</w:t>
      </w:r>
      <w:bookmarkEnd w:id="99"/>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019800"/>
            <wp:effectExtent t="0" r="0" b="0" l="0"/>
            <wp:docPr id="1" name="diagrams/erd/m7_8_lc_ops_1.png" descr="م7/م8 · الاعتمادات والبروفورما (1/3)" title="م7/م8 · الاعتمادات والبروفورم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6019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6"/>
        <w:gridCol w:w="2368"/>
        <w:gridCol w:w="1992"/>
        <w:gridCol w:w="847"/>
        <w:gridCol w:w="847"/>
        <w:gridCol w:w="847"/>
        <w:gridCol w:w="847"/>
      </w:tblGrid>
      <w:tr>
        <w:trPr>
          <w:cantSplit/>
          <w:tblHeader/>
        </w:trPr>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record for both sides: purchases (we are the applicant) and sales (we are the beneficiary) (FR-LCI-011..016, FR-LCE-009, BR-LCI-004/008/016, BR-LCE-007/009)</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for a credit (ERP and similar); no uniqueness; search on the normalised value (FR-LCI-013, BR-REQ-006)</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to an issued or received letter of credit (FR-LCI-018/019, FR-LCE-020, BR-LCI-011/012, BR-LCE-014); statuses in section 8</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 or presentation of documents under a credit; for exports includes transfer of allocation (FR-LCI-023, BR-LCI-013, BR-LCE-011); statuses in section 8</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2"/>
        <w:gridCol w:w="1749"/>
        <w:gridCol w:w="869"/>
        <w:gridCol w:w="869"/>
        <w:gridCol w:w="869"/>
        <w:gridCol w:w="869"/>
        <w:gridCol w:w="1487"/>
      </w:tblGrid>
      <w:tr>
        <w:trPr>
          <w:cantSplit/>
          <w:tblHeader/>
        </w:trPr>
        <w:tc>
          <w:tcPr>
            <w:tcW w:type="dxa" w:w="3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‎lc.LetterOfCredit.CounterpartyId‎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‎lc.LetterOfCredit.RelationshipId‎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‎lc.LetterOfCredit.ProductId‎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‎lc.LetterOfCredit.LimitProductLineId‎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‎lc.LetterOfCredit.UtilizationId‎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‎lc.LetterOfCredit.ProformaId‎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LcClass, CurrencyId, TolerancePlusPct, ToleranceMinusPct</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‎lc.LcAmendment.CompanyId‎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‎lc.LcAmendment.LcId‎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‎lc.LcAmendment.TermsId‎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‎lc.LcAmendment.CurrencyId‎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‎lc.LcAmendment.AppliedBy‎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‎lc.LcAmendment.WithdrawalDocumentId‎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‎lc.LcDrawing.SettlementAccountId‎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‎lc.LcDrawing.RequestId‎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100" w:id="100"/>
      <w:r>
        <w:rPr>
          <w:rFonts w:ascii="Arial" w:cs="Arial" w:eastAsia="Arial" w:hAnsi="Arial"/>
          <w:b/>
          <w:bCs/>
          <w:color w:val="2B5C8A"/>
          <w:sz w:val="23"/>
          <w:szCs w:val="23"/>
          <w:rtl/>
        </w:rPr>
        <w:t xml:space="preserve">م7/م8 · الاعتمادات والبروفورما (2/3)</w:t>
      </w:r>
      <w:bookmarkEnd w:id="100"/>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257675"/>
            <wp:effectExtent t="0" r="0" b="0" l="0"/>
            <wp:docPr id="1" name="diagrams/erd/m7_8_lc_ops_2.png" descr="م7/م8 · الاعتمادات والبروفورما (2/3)" title="م7/م8 · الاعتمادات والبروفورم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4257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2"/>
        <w:gridCol w:w="2155"/>
        <w:gridCol w:w="2155"/>
        <w:gridCol w:w="823"/>
        <w:gridCol w:w="823"/>
        <w:gridCol w:w="823"/>
        <w:gridCol w:w="823"/>
      </w:tblGrid>
      <w:tr>
        <w:trPr>
          <w:cantSplit/>
          <w:tblHeader/>
        </w:trPr>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 sales order against a received credit; no credit limit corresponds to it (FR-LCE-013..015, BR-LCE-009..013); statuses in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an export drawing across sales orders (FR-LCE-016/017, BR-LCE-011/013)</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Discrepancy on presented or issued documents; the decision requires the lc.discrepancy.decide permission (FR-LCI-024, FR-LCE-021,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proforma invoice; after issue only its status, void reason and successor change (043, DR-41); number format {seq:000}-{erp}-{yy} (FR-LCE-005..008, BR-LCE-001..006)</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5"/>
        <w:gridCol w:w="1702"/>
        <w:gridCol w:w="882"/>
        <w:gridCol w:w="882"/>
        <w:gridCol w:w="882"/>
        <w:gridCol w:w="882"/>
        <w:gridCol w:w="1229"/>
      </w:tblGrid>
      <w:tr>
        <w:trPr>
          <w:cantSplit/>
          <w:tblHeader/>
        </w:trPr>
        <w:tc>
          <w:tcPr>
            <w:tcW w:type="dxa" w:w="3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‎lc.LcSalesOrder.CompanyId‎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‎lc.LcSalesOrder.LcId‎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‎lc.LcDrawingAllocation.SalesOrderId‎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‎lc.LcDiscrepancy.DecidedBy‎</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‎lc.ProformaInvoice.CompanyId‎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‎lc.ProformaInvoice.CustomerId‎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‎lc.ProformaInvoice.CurrencyId‎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‎lc.ProformaInvoice.TermsId‎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‎lc.ProformaInvoice.ProceedsAccountId‎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‎lc.ProformaInvoice.DocumentId‎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‎lc.ProformaInvoice.SupersededById‎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101" w:id="101"/>
      <w:r>
        <w:rPr>
          <w:rFonts w:ascii="Arial" w:cs="Arial" w:eastAsia="Arial" w:hAnsi="Arial"/>
          <w:b/>
          <w:bCs/>
          <w:color w:val="2B5C8A"/>
          <w:sz w:val="23"/>
          <w:szCs w:val="23"/>
          <w:rtl/>
        </w:rPr>
        <w:t xml:space="preserve">م7/م8 · الاعتمادات والبروفورما (3/3)</w:t>
      </w:r>
      <w:bookmarkEnd w:id="101"/>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333750"/>
            <wp:effectExtent t="0" r="0" b="0" l="0"/>
            <wp:docPr id="1" name="diagrams/erd/m7_8_lc_ops_3.png" descr="م7/م8 · الاعتمادات والبروفورما (3/3)" title="م7/م8 · الاعتمادات والبروفورم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333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2"/>
        <w:gridCol w:w="1605"/>
        <w:gridCol w:w="2423"/>
        <w:gridCol w:w="826"/>
        <w:gridCol w:w="826"/>
        <w:gridCol w:w="826"/>
        <w:gridCol w:w="826"/>
      </w:tblGrid>
      <w:tr>
        <w:trPr>
          <w:cantSplit/>
          <w:tblHeader/>
        </w:trPr>
        <w:tc>
          <w:tcPr>
            <w:tcW w:type="dxa" w:w="2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item in the proforma (FR-LCE-003, BR-LCE-001); fixed after issue: written once, in one statement, never updated; the totals match the lines (044, DR-41)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comparing received credit terms with the proforma (FR-LCT-031, FR-LCE-023, BR-LCT-021)</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 field difference, its verdict and the treasury decision (FR-LCT-031, BR-LCT-021)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891"/>
        <w:gridCol w:w="882"/>
        <w:gridCol w:w="882"/>
        <w:gridCol w:w="882"/>
        <w:gridCol w:w="882"/>
        <w:gridCol w:w="94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‎lc.ProformaLine.ProformaId‎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‎lc.LcTermsComparison.BaselineTermsId‎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‎lc.LcTermsComparison.ReceivedTermsId‎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‎lc.LcTermsComparison.RunBy‎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‎lc.LcTermsComparisonLine.ComparisonId‎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02" w:id="102"/>
      <w:r>
        <w:rPr>
          <w:rFonts w:ascii="Arial" w:cs="Arial" w:eastAsia="Arial" w:hAnsi="Arial"/>
          <w:b/>
          <w:bCs/>
          <w:color w:val="1F3A5F"/>
          <w:sz w:val="32"/>
          <w:szCs w:val="32"/>
          <w:rtl/>
        </w:rPr>
        <w:t xml:space="preserve">11. أنماط التصميم للمجالات الرئيسية</w:t>
      </w:r>
      <w:bookmarkEnd w:id="1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r>
              <w:rPr>
                <w:rFonts w:ascii="Arial" w:cs="Arial" w:eastAsia="Arial" w:hAnsi="Arial"/>
                <w:b w:val="false"/>
                <w:bCs w:val="false"/>
                <w:sz w:val="18"/>
                <w:szCs w:val="18"/>
                <w:rtl/>
              </w:rPr>
              <w:t xml:space="preserve">؛ ووحدة القوائم المالية (§11.4)</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103" w:id="103"/>
      <w:r>
        <w:rPr>
          <w:rFonts w:ascii="Arial" w:cs="Arial" w:eastAsia="Arial" w:hAnsi="Arial"/>
          <w:b/>
          <w:bCs/>
          <w:color w:val="2B5C8A"/>
          <w:sz w:val="26"/>
          <w:szCs w:val="26"/>
          <w:rtl/>
        </w:rPr>
        <w:t xml:space="preserve">11.1 إقفال دورة العمل بيد إدارة الخزينة (C-7)</w:t>
      </w:r>
      <w:bookmarkEnd w:id="103"/>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104" w:id="104"/>
      <w:r>
        <w:rPr>
          <w:rFonts w:ascii="Arial" w:cs="Arial" w:eastAsia="Arial" w:hAnsi="Arial"/>
          <w:b/>
          <w:bCs/>
          <w:color w:val="2B5C8A"/>
          <w:sz w:val="26"/>
          <w:szCs w:val="26"/>
          <w:rtl/>
        </w:rPr>
        <w:t xml:space="preserve">11.2 الملكية المتعددة والمراجع المركّبة (DR-04 · DR-06 · DR-09 · DR-10)</w:t>
      </w:r>
      <w:bookmarkEnd w:id="1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105" w:id="105"/>
      <w:r>
        <w:rPr>
          <w:rFonts w:ascii="Arial" w:cs="Arial" w:eastAsia="Arial" w:hAnsi="Arial"/>
          <w:b/>
          <w:bCs/>
          <w:color w:val="2B5C8A"/>
          <w:sz w:val="26"/>
          <w:szCs w:val="26"/>
          <w:rtl/>
        </w:rPr>
        <w:t xml:space="preserve">11.3 الكتالوجات المملوكة للمشترك (DR-03 · DR-05 · DR-07)</w:t>
      </w:r>
      <w:bookmarkEnd w:id="105"/>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2"/>
        <w:bidi/>
      </w:pPr>
      <w:bookmarkStart w:name="_sec106" w:id="106"/>
      <w:r>
        <w:rPr>
          <w:rFonts w:ascii="Arial" w:cs="Arial" w:eastAsia="Arial" w:hAnsi="Arial"/>
          <w:b/>
          <w:bCs/>
          <w:color w:val="2B5C8A"/>
          <w:sz w:val="26"/>
          <w:szCs w:val="26"/>
          <w:rtl/>
        </w:rPr>
        <w:t xml:space="preserve">11.4 القوائم المالية والتعهدات (ADR 0016، </w:t>
      </w:r>
      <w:r>
        <w:rPr>
          <w:rFonts w:ascii="Courier New" w:cs="Courier New" w:eastAsia="Courier New" w:hAnsi="Courier New"/>
          <w:b/>
          <w:bCs/>
          <w:color w:val="1F2937"/>
          <w:sz w:val="22"/>
          <w:szCs w:val="22"/>
          <w:rtl/>
        </w:rPr>
        <w:t xml:space="preserve">‎045_financial_statements.sql‎</w:t>
      </w:r>
      <w:r>
        <w:rPr>
          <w:rFonts w:ascii="Arial" w:cs="Arial" w:eastAsia="Arial" w:hAnsi="Arial"/>
          <w:b/>
          <w:bCs/>
          <w:color w:val="2B5C8A"/>
          <w:sz w:val="26"/>
          <w:szCs w:val="26"/>
          <w:rtl/>
        </w:rPr>
        <w:t xml:space="preserve">)</w:t>
      </w:r>
      <w:bookmarkEnd w:id="1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19"/>
        <w:gridCol w:w="3430"/>
        <w:gridCol w:w="1715"/>
      </w:tblGrid>
      <w:tr>
        <w:trPr>
          <w:cantSplit/>
          <w:tblHeader/>
        </w:trPr>
        <w:tc>
          <w:tcPr>
            <w:tcW w:type="dxa" w:w="4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مستقلة للشركة، وموحّدة للقابضة وحدها (</w:t>
            </w:r>
            <w:r>
              <w:rPr>
                <w:rFonts w:ascii="Courier New" w:cs="Courier New" w:eastAsia="Courier New" w:hAnsi="Courier New"/>
                <w:b w:val="false"/>
                <w:bCs w:val="false"/>
                <w:color w:val="1F2937"/>
                <w:sz w:val="16"/>
                <w:szCs w:val="16"/>
                <w:shd w:fill="F1F3F5" w:color="auto" w:val="clear"/>
                <w:rtl/>
              </w:rPr>
              <w:t xml:space="preserve">‎org.Company.IsHolding‎</w:t>
            </w:r>
            <w:r>
              <w:rPr>
                <w:rFonts w:ascii="Arial" w:cs="Arial" w:eastAsia="Arial" w:hAnsi="Arial"/>
                <w:b w:val="false"/>
                <w:bCs w:val="false"/>
                <w:sz w:val="18"/>
                <w:szCs w:val="18"/>
                <w:rtl/>
              </w:rPr>
              <w:t xml:space="preserve">)؛ تُكتب مسودة، ولا يتغير رأسها وبنودها ووحداتها إلا مسودة؛ الحالة </w:t>
            </w:r>
            <w:r>
              <w:rPr>
                <w:rFonts w:ascii="Courier New" w:cs="Courier New" w:eastAsia="Courier New" w:hAnsi="Courier New"/>
                <w:b w:val="false"/>
                <w:bCs w:val="false"/>
                <w:color w:val="1F2937"/>
                <w:sz w:val="16"/>
                <w:szCs w:val="16"/>
                <w:shd w:fill="F1F3F5" w:color="auto" w:val="clear"/>
                <w:rtl/>
              </w:rPr>
              <w:t xml:space="preserve">‎DRAFT → SUBMITTED → APPROVED → SUPERSEDED‎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‎SUBMITTED → REJECTED → DRAFT‎</w:t>
            </w:r>
            <w:r>
              <w:rPr>
                <w:rFonts w:ascii="Arial" w:cs="Arial" w:eastAsia="Arial" w:hAnsi="Arial"/>
                <w:b w:val="false"/>
                <w:bCs w:val="false"/>
                <w:sz w:val="18"/>
                <w:szCs w:val="18"/>
                <w:rtl/>
              </w:rPr>
              <w:t xml:space="preserve">؛ المدققة تسمّي مدققها ورأيه، ومعتمدها غير معدّها</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045 (50060، 50061) وقيود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القائمة الموحّدة: القابضة وحدة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واحدة، وكل تابعة وزميلة ومشروع مشترك بطريقته ونسبته وتاريخ دخوله أو خروجه وقائمتها المستقلة إن وُجدت</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مركّب على أساس القائمة؛ التقديم بلا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ووحدة أخرى يُرفض (50061)</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واحد لكل قائمة وصيغة (</w:t>
            </w:r>
            <w:r>
              <w:rPr>
                <w:rFonts w:ascii="Courier New" w:cs="Courier New" w:eastAsia="Courier New" w:hAnsi="Courier New"/>
                <w:b w:val="false"/>
                <w:bCs w:val="false"/>
                <w:color w:val="1F2937"/>
                <w:sz w:val="16"/>
                <w:szCs w:val="16"/>
                <w:shd w:fill="F1F3F5" w:color="auto" w:val="clear"/>
                <w:rtl/>
              </w:rPr>
              <w:t xml:space="preserve">‎MeasureFormula.Scope = ANALYSIS‎</w:t>
            </w:r>
            <w:r>
              <w:rPr>
                <w:rFonts w:ascii="Arial" w:cs="Arial" w:eastAsia="Arial" w:hAnsi="Arial"/>
                <w:b w:val="false"/>
                <w:bCs w:val="false"/>
                <w:sz w:val="18"/>
                <w:szCs w:val="18"/>
                <w:rtl/>
              </w:rPr>
              <w:t xml:space="preserve">، ووحدة </w:t>
            </w:r>
            <w:r>
              <w:rPr>
                <w:rFonts w:ascii="Courier New" w:cs="Courier New" w:eastAsia="Courier New" w:hAnsi="Courier New"/>
                <w:b w:val="false"/>
                <w:bCs w:val="false"/>
                <w:color w:val="1F2937"/>
                <w:sz w:val="16"/>
                <w:szCs w:val="16"/>
                <w:shd w:fill="F1F3F5" w:color="auto" w:val="clear"/>
                <w:rtl/>
              </w:rPr>
              <w:t xml:space="preserve">‎DAYS‎</w:t>
            </w:r>
            <w:r>
              <w:rPr>
                <w:rFonts w:ascii="Arial" w:cs="Arial" w:eastAsia="Arial" w:hAnsi="Arial"/>
                <w:b w:val="false"/>
                <w:bCs w:val="false"/>
                <w:sz w:val="18"/>
                <w:szCs w:val="18"/>
                <w:rtl/>
              </w:rPr>
              <w:t xml:space="preserve"> للتحليل وحده) بلقطته أو سبب تعذّر حسابه</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لقطة الاختبار عند </w:t>
            </w:r>
            <w:r>
              <w:rPr>
                <w:rFonts w:ascii="Courier New" w:cs="Courier New" w:eastAsia="Courier New" w:hAnsi="Courier New"/>
                <w:b w:val="false"/>
                <w:bCs w:val="false"/>
                <w:color w:val="1F2937"/>
                <w:sz w:val="16"/>
                <w:szCs w:val="16"/>
                <w:shd w:fill="F1F3F5" w:color="auto" w:val="clear"/>
                <w:rtl/>
              </w:rPr>
              <w:t xml:space="preserve">‎EVALUATED‎</w:t>
            </w:r>
            <w:r>
              <w:rPr>
                <w:rFonts w:ascii="Arial" w:cs="Arial" w:eastAsia="Arial" w:hAnsi="Arial"/>
                <w:b w:val="false"/>
                <w:bCs w:val="false"/>
                <w:sz w:val="18"/>
                <w:szCs w:val="18"/>
                <w:rtl/>
              </w:rPr>
              <w:t xml:space="preserve"> بقادح يعمل أخيرًا بعد فحوص 044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الاختبار المرتبط لا يُحذف</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الإيرادات المعتمد لسنة مالية، لتعهد حصة الإيرادات بلا قائمة سنوية (Q-FIN-05)</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نوعه من قائمة </w:t>
            </w:r>
            <w:r>
              <w:rPr>
                <w:rFonts w:ascii="Courier New" w:cs="Courier New" w:eastAsia="Courier New" w:hAnsi="Courier New"/>
                <w:b w:val="false"/>
                <w:bCs w:val="false"/>
                <w:color w:val="1F2937"/>
                <w:sz w:val="16"/>
                <w:szCs w:val="16"/>
                <w:shd w:fill="F1F3F5" w:color="auto" w:val="clear"/>
                <w:rtl/>
              </w:rPr>
              <w:t xml:space="preserve">‎FLOW_KIND‎</w:t>
            </w:r>
            <w:r>
              <w:rPr>
                <w:rFonts w:ascii="Arial" w:cs="Arial" w:eastAsia="Arial" w:hAnsi="Arial"/>
                <w:b w:val="false"/>
                <w:bCs w:val="false"/>
                <w:sz w:val="18"/>
                <w:szCs w:val="18"/>
                <w:rtl/>
              </w:rPr>
              <w:t xml:space="preserve"> بمفتاح مركّب، وحالته </w:t>
            </w:r>
            <w:r>
              <w:rPr>
                <w:rFonts w:ascii="Courier New" w:cs="Courier New" w:eastAsia="Courier New" w:hAnsi="Courier New"/>
                <w:b w:val="false"/>
                <w:bCs w:val="false"/>
                <w:color w:val="1F2937"/>
                <w:sz w:val="16"/>
                <w:szCs w:val="16"/>
                <w:shd w:fill="F1F3F5" w:color="auto" w:val="clear"/>
                <w:rtl/>
              </w:rPr>
              <w:t xml:space="preserve">‎DRAFT/CONFIRMED‎</w:t>
            </w:r>
            <w:r>
              <w:rPr>
                <w:rFonts w:ascii="Arial" w:cs="Arial" w:eastAsia="Arial" w:hAnsi="Arial"/>
                <w:b w:val="false"/>
                <w:bCs w:val="false"/>
                <w:sz w:val="18"/>
                <w:szCs w:val="18"/>
                <w:rtl/>
              </w:rPr>
              <w:t xml:space="preserve"> يؤكدها غير مُدخلها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ويُدخل للشهر على مستوى البنك أو لكل تسهيل لا الاثنين</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50062</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‎fin.v_StatementBreachReport‎</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مخالفة أو إنذار مبكر لآخر تقييم في كل فترة تعهد قرأ قوائم: القائمة وإصدارها وأساسها، والتعهد وبنده، والتسهيل وبنكه، وسجل المخالفة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يقرؤه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‎fin.fn_BankFlowPerformance(@AsOf)‎</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كل تعهد تدفق أو حصة إيرادات سارٍ في التاريخ: النافذة، والمؤكَّد والمنتظر، والباقي والمعدل الشهري اللازم، والإنجاز والحالة</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تحسب عند القراءة</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‎fin.v_ConsolidationUnits‎</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وحدة بقائمتها المعتمدة ونسبة الملكية المسجّلة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w:t>
            </w:r>
          </w:p>
        </w:tc>
      </w:tr>
    </w:tbl>
    <w:p>
      <w:pPr>
        <w:bidi/>
        <w:spacing w:after="120" w:before="0"/>
      </w:pPr>
    </w:p>
    <w:p>
      <w:pPr>
        <w:bidi/>
        <w:spacing w:after="110" w:before="0" w:line="312"/>
      </w:pPr>
      <w:r>
        <w:rPr>
          <w:rFonts w:ascii="Arial" w:cs="Arial" w:eastAsia="Arial" w:hAnsi="Arial"/>
          <w:b w:val="false"/>
          <w:bCs w:val="false"/>
          <w:sz w:val="21"/>
          <w:szCs w:val="21"/>
          <w:rtl/>
        </w:rPr>
        <w:t xml:space="preserve">الربط مع نظام التقييم الائتماني الخارجي مرحلة لاحقة لم تُبنَ (المواصفة 12 §11).</w:t>
      </w:r>
    </w:p>
    <w:p>
      <w:pPr>
        <w:pStyle w:val="Heading2"/>
        <w:bidi/>
      </w:pPr>
      <w:bookmarkStart w:name="_sec107" w:id="107"/>
      <w:r>
        <w:rPr>
          <w:rFonts w:ascii="Arial" w:cs="Arial" w:eastAsia="Arial" w:hAnsi="Arial"/>
          <w:b/>
          <w:bCs/>
          <w:color w:val="2B5C8A"/>
          <w:sz w:val="26"/>
          <w:szCs w:val="26"/>
          <w:rtl/>
        </w:rPr>
        <w:t xml:space="preserve">11.5 التقييم الائتماني على سلّم موديز (ADR 0017، </w:t>
      </w:r>
      <w:r>
        <w:rPr>
          <w:rFonts w:ascii="Courier New" w:cs="Courier New" w:eastAsia="Courier New" w:hAnsi="Courier New"/>
          <w:b/>
          <w:bCs/>
          <w:color w:val="1F2937"/>
          <w:sz w:val="22"/>
          <w:szCs w:val="22"/>
          <w:rtl/>
        </w:rPr>
        <w:t xml:space="preserve">‎046_credit_assessment.sql‎</w:t>
      </w:r>
      <w:r>
        <w:rPr>
          <w:rFonts w:ascii="Arial" w:cs="Arial" w:eastAsia="Arial" w:hAnsi="Arial"/>
          <w:b/>
          <w:bCs/>
          <w:color w:val="2B5C8A"/>
          <w:sz w:val="26"/>
          <w:szCs w:val="26"/>
          <w:rtl/>
        </w:rPr>
        <w:t xml:space="preserve">، </w:t>
      </w:r>
      <w:r>
        <w:rPr>
          <w:rFonts w:ascii="Courier New" w:cs="Courier New" w:eastAsia="Courier New" w:hAnsi="Courier New"/>
          <w:b/>
          <w:bCs/>
          <w:color w:val="1F2937"/>
          <w:sz w:val="22"/>
          <w:szCs w:val="22"/>
          <w:rtl/>
        </w:rPr>
        <w:t xml:space="preserve">‎docs/35‎</w:t>
      </w:r>
      <w:r>
        <w:rPr>
          <w:rFonts w:ascii="Arial" w:cs="Arial" w:eastAsia="Arial" w:hAnsi="Arial"/>
          <w:b/>
          <w:bCs/>
          <w:color w:val="2B5C8A"/>
          <w:sz w:val="26"/>
          <w:szCs w:val="26"/>
          <w:rtl/>
        </w:rPr>
        <w:t xml:space="preserve">)</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84"/>
        <w:gridCol w:w="3922"/>
        <w:gridCol w:w="2258"/>
      </w:tblGrid>
      <w:tr>
        <w:trPr>
          <w:cantSplit/>
          <w:tblHeader/>
        </w:trPr>
        <w:tc>
          <w:tcPr>
            <w:tcW w:type="dxa" w:w="3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3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المنهجية</w:t>
            </w:r>
          </w:p>
        </w:tc>
        <w:tc>
          <w:tcPr>
            <w:tcW w:type="dxa" w:w="3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r>
              <w:rPr>
                <w:rFonts w:ascii="Arial" w:cs="Arial" w:eastAsia="Arial" w:hAnsi="Arial"/>
                <w:b w:val="false"/>
                <w:bCs w:val="false"/>
                <w:sz w:val="18"/>
                <w:szCs w:val="18"/>
                <w:rtl/>
              </w:rPr>
              <w:t xml:space="preserve"> (21 درجة ومجالاتها على الخط) و</w:t>
            </w:r>
            <w:r>
              <w:rPr>
                <w:rFonts w:ascii="Courier New" w:cs="Courier New" w:eastAsia="Courier New" w:hAnsi="Courier New"/>
                <w:b w:val="false"/>
                <w:bCs w:val="false"/>
                <w:color w:val="1F2937"/>
                <w:sz w:val="16"/>
                <w:szCs w:val="16"/>
                <w:shd w:fill="F1F3F5" w:color="auto" w:val="clear"/>
                <w:rtl/>
              </w:rPr>
              <w:t xml:space="preserve">‎fin.CreditMetric‎</w:t>
            </w:r>
            <w:r>
              <w:rPr>
                <w:rFonts w:ascii="Arial" w:cs="Arial" w:eastAsia="Arial" w:hAnsi="Arial"/>
                <w:b w:val="false"/>
                <w:bCs w:val="false"/>
                <w:sz w:val="18"/>
                <w:szCs w:val="18"/>
                <w:rtl/>
              </w:rPr>
              <w:t xml:space="preserve"> (36 مقياسًا بتعريفاتها ونصوصها) و</w:t>
            </w:r>
            <w:r>
              <w:rPr>
                <w:rFonts w:ascii="Courier New" w:cs="Courier New" w:eastAsia="Courier New" w:hAnsi="Courier New"/>
                <w:b w:val="false"/>
                <w:bCs w:val="false"/>
                <w:color w:val="1F2937"/>
                <w:sz w:val="16"/>
                <w:szCs w:val="16"/>
                <w:shd w:fill="F1F3F5" w:color="auto" w:val="clear"/>
                <w:rtl/>
              </w:rPr>
              <w:t xml:space="preserve">‎fin.Scorecard‎</w:t>
            </w:r>
            <w:r>
              <w:rPr>
                <w:rFonts w:ascii="Arial" w:cs="Arial" w:eastAsia="Arial" w:hAnsi="Arial"/>
                <w:b w:val="false"/>
                <w:bCs w:val="false"/>
                <w:sz w:val="18"/>
                <w:szCs w:val="18"/>
                <w:rtl/>
              </w:rPr>
              <w:t xml:space="preserve"> بإصداراتها و</w:t>
            </w:r>
            <w:r>
              <w:rPr>
                <w:rFonts w:ascii="Courier New" w:cs="Courier New" w:eastAsia="Courier New" w:hAnsi="Courier New"/>
                <w:b w:val="false"/>
                <w:bCs w:val="false"/>
                <w:color w:val="1F2937"/>
                <w:sz w:val="16"/>
                <w:szCs w:val="16"/>
                <w:shd w:fill="F1F3F5" w:color="auto" w:val="clear"/>
                <w:rtl/>
              </w:rPr>
              <w:t xml:space="preserve">‎ScorecardMetric‎</w:t>
            </w:r>
            <w:r>
              <w:rPr>
                <w:rFonts w:ascii="Arial" w:cs="Arial" w:eastAsia="Arial" w:hAnsi="Arial"/>
                <w:b w:val="false"/>
                <w:bCs w:val="false"/>
                <w:sz w:val="18"/>
                <w:szCs w:val="18"/>
                <w:rtl/>
              </w:rPr>
              <w:t xml:space="preserve"> (الأوزان وحدود الشبكات التسعة) و</w:t>
            </w:r>
            <w:r>
              <w:rPr>
                <w:rFonts w:ascii="Courier New" w:cs="Courier New" w:eastAsia="Courier New" w:hAnsi="Courier New"/>
                <w:b w:val="false"/>
                <w:bCs w:val="false"/>
                <w:color w:val="1F2937"/>
                <w:sz w:val="16"/>
                <w:szCs w:val="16"/>
                <w:shd w:fill="F1F3F5" w:color="auto" w:val="clear"/>
                <w:rtl/>
              </w:rPr>
              <w:t xml:space="preserve">‎ScorecardItemRule‎</w:t>
            </w:r>
            <w:r>
              <w:rPr>
                <w:rFonts w:ascii="Arial" w:cs="Arial" w:eastAsia="Arial" w:hAnsi="Arial"/>
                <w:b w:val="false"/>
                <w:bCs w:val="false"/>
                <w:sz w:val="18"/>
                <w:szCs w:val="18"/>
                <w:rtl/>
              </w:rPr>
              <w:t xml:space="preserve"> (حدود مخاطر البنود) و</w:t>
            </w:r>
            <w:r>
              <w:rPr>
                <w:rFonts w:ascii="Courier New" w:cs="Courier New" w:eastAsia="Courier New" w:hAnsi="Courier New"/>
                <w:b w:val="false"/>
                <w:bCs w:val="false"/>
                <w:color w:val="1F2937"/>
                <w:sz w:val="16"/>
                <w:szCs w:val="16"/>
                <w:shd w:fill="F1F3F5" w:color="auto" w:val="clear"/>
                <w:rtl/>
              </w:rPr>
              <w:t xml:space="preserve">‎ScorecardAdjustment‎</w:t>
            </w:r>
            <w:r>
              <w:rPr>
                <w:rFonts w:ascii="Arial" w:cs="Arial" w:eastAsia="Arial" w:hAnsi="Arial"/>
                <w:b w:val="false"/>
                <w:bCs w:val="false"/>
                <w:sz w:val="18"/>
                <w:szCs w:val="18"/>
                <w:rtl/>
              </w:rPr>
              <w:t xml:space="preserve"> (التنزيل والسقوف بمراحلها): </w:t>
            </w:r>
            <w:r>
              <w:rPr>
                <w:rFonts w:ascii="Arial" w:cs="Arial" w:eastAsia="Arial" w:hAnsi="Arial"/>
                <w:b/>
                <w:bCs/>
                <w:sz w:val="18"/>
                <w:szCs w:val="18"/>
                <w:rtl/>
              </w:rPr>
              <w:t xml:space="preserve">عالمية تملكها المنصة</w:t>
            </w:r>
            <w:r>
              <w:rPr>
                <w:rFonts w:ascii="Arial" w:cs="Arial" w:eastAsia="Arial" w:hAnsi="Arial"/>
                <w:b w:val="false"/>
                <w:bCs w:val="false"/>
                <w:sz w:val="18"/>
                <w:szCs w:val="18"/>
                <w:rtl/>
              </w:rPr>
              <w:t xml:space="preserve">، تبذرها </w:t>
            </w:r>
            <w:r>
              <w:rPr>
                <w:rFonts w:ascii="Courier New" w:cs="Courier New" w:eastAsia="Courier New" w:hAnsi="Courier New"/>
                <w:b w:val="false"/>
                <w:bCs w:val="false"/>
                <w:color w:val="1F2937"/>
                <w:sz w:val="16"/>
                <w:szCs w:val="16"/>
                <w:shd w:fill="F1F3F5" w:color="auto" w:val="clear"/>
                <w:rtl/>
              </w:rPr>
              <w:t xml:space="preserve">‎seed/104‎</w:t>
            </w:r>
            <w:r>
              <w:rPr>
                <w:rFonts w:ascii="Arial" w:cs="Arial" w:eastAsia="Arial" w:hAnsi="Arial"/>
                <w:b w:val="false"/>
                <w:bCs w:val="false"/>
                <w:sz w:val="18"/>
                <w:szCs w:val="18"/>
                <w:rtl/>
              </w:rPr>
              <w:t xml:space="preserve"> المولَّدة من </w:t>
            </w:r>
            <w:r>
              <w:rPr>
                <w:rFonts w:ascii="Courier New" w:cs="Courier New" w:eastAsia="Courier New" w:hAnsi="Courier New"/>
                <w:b w:val="false"/>
                <w:bCs w:val="false"/>
                <w:color w:val="1F2937"/>
                <w:sz w:val="16"/>
                <w:szCs w:val="16"/>
                <w:shd w:fill="F1F3F5" w:color="auto" w:val="clear"/>
                <w:rtl/>
              </w:rPr>
              <w:t xml:space="preserve">‎tools/dbgen/credit_scorecard.json‎</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ثم لا تتغير، ولا الدرجات والمقاييس التي تستعملها (50066)</w:t>
            </w:r>
          </w:p>
        </w:tc>
      </w:tr>
      <w:tr>
        <w:trPr>
          <w:cantSplit/>
        </w:trPr>
        <w:tc>
          <w:tcPr>
            <w:tcW w:type="dxa" w:w="3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3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قائمة معتمدة على بطاقة: قائمة المقارنة والتاريخ والسعر، والنتائج (التغطية، والدرجة المالية والمؤشرة والمنفردة والنهائية، والتنزيل والسقف والدعم والتجاوز، والخلاصة، واللقطة، وبصمة المدخلات)</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يكتبها الإجراء وحده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المسودة تُحسب، وتُقدَّم محسوبة على ما تحمله، ويعتمدها غير مُعِدّها، وبعدها لا تتغير (50063)</w:t>
            </w:r>
          </w:p>
        </w:tc>
      </w:tr>
      <w:tr>
        <w:trPr>
          <w:cantSplit/>
        </w:trPr>
        <w:tc>
          <w:tcPr>
            <w:tcW w:type="dxa" w:w="3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w:t>
            </w:r>
          </w:p>
        </w:tc>
        <w:tc>
          <w:tcPr>
            <w:tcW w:type="dxa" w:w="3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العاملان النوعيان ودعم المجموعة والتجاوز، كلٌّ بمبرّر</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المسودة وحدها؛ النوعي من البطاقة؛ الدعم من تقييم معتمد للأم أو للقابضة الموحِّدة (50065)؛ والتجاوز −2 إلى +1</w:t>
            </w:r>
          </w:p>
        </w:tc>
      </w:tr>
      <w:tr>
        <w:trPr>
          <w:cantSplit/>
        </w:trPr>
        <w:tc>
          <w:tcPr>
            <w:tcW w:type="dxa" w:w="3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w:t>
            </w:r>
          </w:p>
        </w:tc>
        <w:tc>
          <w:tcPr>
            <w:tcW w:type="dxa" w:w="3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كل مقياس ووزنه ومساهمته، والملاحظات بأنواعها ونصوصها</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ولا تتغير بعد المسودة</w:t>
            </w:r>
          </w:p>
        </w:tc>
      </w:tr>
      <w:tr>
        <w:trPr>
          <w:cantSplit/>
        </w:trPr>
        <w:tc>
          <w:tcPr>
            <w:tcW w:type="dxa" w:w="3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‎fin.usp_ComputeCreditAssessment‎</w:t>
            </w:r>
          </w:p>
        </w:tc>
        <w:tc>
          <w:tcPr>
            <w:tcW w:type="dxa" w:w="3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 بحالاتها الحدية، والدرجات على الخط، والتغطية الكمية، والتعديلات بترتيبها، والملاحظات من البطاقة والبنود والتعهدات والتحويلات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باسم المستدعي: مرشّحات الصفوف تحصره في المشترك، وسلسلة الملكية تكتب ما يُحجب عن التطبيق؛ ويطابقه </w:t>
            </w:r>
            <w:r>
              <w:rPr>
                <w:rFonts w:ascii="Courier New" w:cs="Courier New" w:eastAsia="Courier New" w:hAnsi="Courier New"/>
                <w:b w:val="false"/>
                <w:bCs w:val="false"/>
                <w:color w:val="1F2937"/>
                <w:sz w:val="16"/>
                <w:szCs w:val="16"/>
                <w:shd w:fill="F1F3F5" w:color="auto" w:val="clear"/>
                <w:rtl/>
              </w:rPr>
              <w:t xml:space="preserve">‎credit_reference.py‎</w:t>
            </w:r>
          </w:p>
        </w:tc>
      </w:tr>
      <w:tr>
        <w:trPr>
          <w:cantSplit/>
        </w:trPr>
        <w:tc>
          <w:tcPr>
            <w:tcW w:type="dxa" w:w="3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w:t>
            </w:r>
          </w:p>
        </w:tc>
        <w:tc>
          <w:tcPr>
            <w:tcW w:type="dxa" w:w="3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‎v_CreditAssessmentReport‎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‎Factors‎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‎Items‎</w:t>
            </w:r>
            <w:r>
              <w:rPr>
                <w:rFonts w:ascii="Arial" w:cs="Arial" w:eastAsia="Arial" w:hAnsi="Arial"/>
                <w:b w:val="false"/>
                <w:bCs w:val="false"/>
                <w:sz w:val="18"/>
                <w:szCs w:val="18"/>
                <w:rtl/>
              </w:rPr>
              <w:t xml:space="preserve"> (والدالة </w:t>
            </w:r>
            <w:r>
              <w:rPr>
                <w:rFonts w:ascii="Courier New" w:cs="Courier New" w:eastAsia="Courier New" w:hAnsi="Courier New"/>
                <w:b w:val="false"/>
                <w:bCs w:val="false"/>
                <w:color w:val="1F2937"/>
                <w:sz w:val="16"/>
                <w:szCs w:val="16"/>
                <w:shd w:fill="F1F3F5" w:color="auto" w:val="clear"/>
                <w:rtl/>
              </w:rPr>
              <w:t xml:space="preserve">‎fn_StatementItemAnalysis‎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‎GroupUnits‎</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تقرؤها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جداولها</w:t>
            </w:r>
          </w:p>
        </w:tc>
      </w:tr>
    </w:tbl>
    <w:p>
      <w:pPr>
        <w:bidi/>
        <w:spacing w:after="120" w:before="0"/>
      </w:pPr>
    </w:p>
    <w:p>
      <w:pPr>
        <w:pStyle w:val="Heading1"/>
        <w:bidi/>
      </w:pPr>
      <w:bookmarkStart w:name="_sec108" w:id="108"/>
      <w:r>
        <w:rPr>
          <w:rFonts w:ascii="Arial" w:cs="Arial" w:eastAsia="Arial" w:hAnsi="Arial"/>
          <w:b/>
          <w:bCs/>
          <w:color w:val="1F3A5F"/>
          <w:sz w:val="32"/>
          <w:szCs w:val="32"/>
          <w:rtl/>
        </w:rPr>
        <w:t xml:space="preserve">12. النشر وإدارة التغيير</w:t>
      </w:r>
      <w:bookmarkEnd w:id="108"/>
    </w:p>
    <w:p>
      <w:pPr>
        <w:pStyle w:val="Heading2"/>
        <w:bidi/>
      </w:pPr>
      <w:bookmarkStart w:name="_sec109" w:id="109"/>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109"/>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ADR 0015): not sa, no server role or server-wide right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(50140), the SQL Server build and Ubuntu release of versions.json (gate G4), BankFas present in its collation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holding only what prepare_database.sh leaves (50142), RECURSIVE_TRIGGERS OFF (50145);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deploy.sql does not run by hand: without the preflight's mark in the same session it stops at once (50146).</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ينشئ القاعدة: يتوقف (50146) ما لم يسبقه الفحص التمهيدي في الجلسة نفسها، و(50141) ما لم تكن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موجودة؛ ينشئها المدير بـ</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بـ</w:t>
      </w:r>
      <w:r>
        <w:rPr>
          <w:rFonts w:ascii="Courier New" w:cs="Courier New" w:eastAsia="Courier New" w:hAnsi="Courier New"/>
          <w:b w:val="false"/>
          <w:bCs w:val="false"/>
          <w:color w:val="1F2937"/>
          <w:sz w:val="18"/>
          <w:szCs w:val="18"/>
          <w:shd w:fill="F1F3F5" w:color="auto" w:val="clear"/>
          <w:rtl/>
        </w:rPr>
        <w:t xml:space="preserve">‎Arabic_100_CI_AS_SC‎</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 → </w:t>
      </w:r>
      <w:r>
        <w:rPr>
          <w:rFonts w:ascii="Courier New" w:cs="Courier New" w:eastAsia="Courier New" w:hAnsi="Courier New"/>
          <w:b w:val="false"/>
          <w:bCs w:val="false"/>
          <w:color w:val="1F2937"/>
          <w:sz w:val="18"/>
          <w:szCs w:val="18"/>
          <w:shd w:fill="F1F3F5" w:color="auto" w:val="clear"/>
          <w:rtl/>
        </w:rPr>
        <w:t xml:space="preserve">‎043_review_guards‎</w:t>
      </w:r>
      <w:r>
        <w:rPr>
          <w:rFonts w:ascii="Arial" w:cs="Arial" w:eastAsia="Arial" w:hAnsi="Arial"/>
          <w:b w:val="false"/>
          <w:bCs w:val="false"/>
          <w:sz w:val="21"/>
          <w:szCs w:val="21"/>
          <w:rtl/>
        </w:rPr>
        <w:t xml:space="preserve"> (حراس الدفعة أ، ADR 0011) → </w:t>
      </w:r>
      <w:r>
        <w:rPr>
          <w:rFonts w:ascii="Courier New" w:cs="Courier New" w:eastAsia="Courier New" w:hAnsi="Courier New"/>
          <w:b w:val="false"/>
          <w:bCs w:val="false"/>
          <w:color w:val="1F2937"/>
          <w:sz w:val="18"/>
          <w:szCs w:val="18"/>
          <w:shd w:fill="F1F3F5" w:color="auto" w:val="clear"/>
          <w:rtl/>
        </w:rPr>
        <w:t xml:space="preserve">‎044_entry_guards‎</w:t>
      </w:r>
      <w:r>
        <w:rPr>
          <w:rFonts w:ascii="Arial" w:cs="Arial" w:eastAsia="Arial" w:hAnsi="Arial"/>
          <w:b w:val="false"/>
          <w:bCs w:val="false"/>
          <w:sz w:val="21"/>
          <w:szCs w:val="21"/>
          <w:rtl/>
        </w:rPr>
        <w:t xml:space="preserve"> (شروط دخول الشرائح S1-ب إلى S4، ADR 0011، وحراس المراجعة الذاتية §7.2، ADR 0015) → </w:t>
      </w:r>
      <w:r>
        <w:rPr>
          <w:rFonts w:ascii="Courier New" w:cs="Courier New" w:eastAsia="Courier New" w:hAnsi="Courier New"/>
          <w:b w:val="false"/>
          <w:bCs w:val="false"/>
          <w:color w:val="1F2937"/>
          <w:sz w:val="18"/>
          <w:szCs w:val="18"/>
          <w:shd w:fill="F1F3F5" w:color="auto" w:val="clear"/>
          <w:rtl/>
        </w:rPr>
        <w:t xml:space="preserve">‎045_financial_statements‎</w:t>
      </w:r>
      <w:r>
        <w:rPr>
          <w:rFonts w:ascii="Arial" w:cs="Arial" w:eastAsia="Arial" w:hAnsi="Arial"/>
          <w:b w:val="false"/>
          <w:bCs w:val="false"/>
          <w:sz w:val="21"/>
          <w:szCs w:val="21"/>
          <w:rtl/>
        </w:rPr>
        <w:t xml:space="preserve"> (القوائم المالية، ADR 0016) → </w:t>
      </w:r>
      <w:r>
        <w:rPr>
          <w:rFonts w:ascii="Courier New" w:cs="Courier New" w:eastAsia="Courier New" w:hAnsi="Courier New"/>
          <w:b w:val="false"/>
          <w:bCs w:val="false"/>
          <w:color w:val="1F2937"/>
          <w:sz w:val="18"/>
          <w:szCs w:val="18"/>
          <w:shd w:fill="F1F3F5" w:color="auto" w:val="clear"/>
          <w:rtl/>
        </w:rPr>
        <w:t xml:space="preserve">‎046_credit_assessment‎</w:t>
      </w:r>
      <w:r>
        <w:rPr>
          <w:rFonts w:ascii="Arial" w:cs="Arial" w:eastAsia="Arial" w:hAnsi="Arial"/>
          <w:b w:val="false"/>
          <w:bCs w:val="false"/>
          <w:sz w:val="21"/>
          <w:szCs w:val="21"/>
          <w:rtl/>
        </w:rPr>
        <w:t xml:space="preserve"> (التقييم الائتماني، ADR 0017)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 → </w:t>
      </w:r>
      <w:r>
        <w:rPr>
          <w:rFonts w:ascii="Courier New" w:cs="Courier New" w:eastAsia="Courier New" w:hAnsi="Courier New"/>
          <w:b w:val="false"/>
          <w:bCs w:val="false"/>
          <w:color w:val="1F2937"/>
          <w:sz w:val="18"/>
          <w:szCs w:val="18"/>
          <w:shd w:fill="F1F3F5" w:color="auto" w:val="clear"/>
          <w:rtl/>
        </w:rPr>
        <w:t xml:space="preserve">‎090_readonly_denies‎</w:t>
      </w:r>
      <w:r>
        <w:rPr>
          <w:rFonts w:ascii="Arial" w:cs="Arial" w:eastAsia="Arial" w:hAnsi="Arial"/>
          <w:b w:val="false"/>
          <w:bCs w:val="false"/>
          <w:sz w:val="21"/>
          <w:szCs w:val="21"/>
          <w:rtl/>
        </w:rPr>
        <w:t xml:space="preserve"> (حجب الدوال الداخلية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آخر سكربت ثابت لأنه يحجب كل دالة أنشأها ما قبله،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 </w:t>
      </w:r>
      <w:r>
        <w:rPr>
          <w:rFonts w:ascii="Courier New" w:cs="Courier New" w:eastAsia="Courier New" w:hAnsi="Courier New"/>
          <w:b w:val="false"/>
          <w:bCs w:val="false"/>
          <w:color w:val="1F2937"/>
          <w:sz w:val="18"/>
          <w:szCs w:val="18"/>
          <w:shd w:fill="F1F3F5" w:color="auto" w:val="clear"/>
          <w:rtl/>
        </w:rPr>
        <w:t xml:space="preserve">‎seed/104_credit_scorecard‎</w:t>
      </w:r>
      <w:r>
        <w:rPr>
          <w:rFonts w:ascii="Arial" w:cs="Arial" w:eastAsia="Arial" w:hAnsi="Arial"/>
          <w:b w:val="false"/>
          <w:bCs w:val="false"/>
          <w:sz w:val="21"/>
          <w:szCs w:val="21"/>
          <w:rtl/>
        </w:rPr>
        <w:t xml:space="preserve"> (منهجية التقييم الائتماني، مولَّدة من </w:t>
      </w:r>
      <w:r>
        <w:rPr>
          <w:rFonts w:ascii="Courier New" w:cs="Courier New" w:eastAsia="Courier New" w:hAnsi="Courier New"/>
          <w:b w:val="false"/>
          <w:bCs w:val="false"/>
          <w:color w:val="1F2937"/>
          <w:sz w:val="18"/>
          <w:szCs w:val="18"/>
          <w:shd w:fill="F1F3F5" w:color="auto" w:val="clear"/>
          <w:rtl/>
        </w:rPr>
        <w:t xml:space="preserve">‎tools/dbgen/credit_scorecard.json‎</w:t>
      </w:r>
      <w:r>
        <w:rPr>
          <w:rFonts w:ascii="Arial" w:cs="Arial" w:eastAsia="Arial" w:hAnsi="Arial"/>
          <w:b w:val="false"/>
          <w:bCs w:val="false"/>
          <w:sz w:val="21"/>
          <w:szCs w:val="21"/>
          <w:rtl/>
        </w:rPr>
        <w:t xml:space="preserve">)؛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 ولا تُحسب النافذة إلا إذا فعّل معلنها حساب النشر خلال دقيقة، ولا يُسكت تنبيه AUDIT لحساب النشر أبدًا، وأُضيفت القاعدتان SERVER_CONFIG وLOGINS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110" w:id="110"/>
      <w:r>
        <w:rPr>
          <w:rFonts w:ascii="Arial" w:cs="Arial" w:eastAsia="Arial" w:hAnsi="Arial"/>
          <w:b/>
          <w:bCs/>
          <w:color w:val="2B5C8A"/>
          <w:sz w:val="26"/>
          <w:szCs w:val="26"/>
          <w:rtl/>
        </w:rPr>
        <w:t xml:space="preserve">12.2 تغيير النموذج</w:t>
      </w:r>
      <w:bookmarkEnd w:id="110"/>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(يطبع أرقام §1 و§4 لتُحدَّث منها) ← </w:t>
      </w:r>
      <w:r>
        <w:rPr>
          <w:rFonts w:ascii="Courier New" w:cs="Courier New" w:eastAsia="Courier New" w:hAnsi="Courier New"/>
          <w:b w:val="false"/>
          <w:bCs w:val="false"/>
          <w:color w:val="1F2937"/>
          <w:sz w:val="18"/>
          <w:szCs w:val="18"/>
          <w:shd w:fill="F1F3F5" w:color="auto" w:val="clear"/>
          <w:rtl/>
        </w:rPr>
        <w:t xml:space="preserve">‎python3 tools/dbgen/build_erd_doc.py‎</w:t>
      </w:r>
      <w:r>
        <w:rPr>
          <w:rFonts w:ascii="Arial" w:cs="Arial" w:eastAsia="Arial" w:hAnsi="Arial"/>
          <w:b w:val="false"/>
          <w:bCs w:val="false"/>
          <w:sz w:val="21"/>
          <w:szCs w:val="21"/>
          <w:rtl/>
        </w:rPr>
        <w:t xml:space="preserve"> لإعادة بناء </w:t>
      </w:r>
      <w:r>
        <w:rPr>
          <w:rFonts w:ascii="Courier New" w:cs="Courier New" w:eastAsia="Courier New" w:hAnsi="Courier New"/>
          <w:b w:val="false"/>
          <w:bCs w:val="false"/>
          <w:color w:val="1F2937"/>
          <w:sz w:val="18"/>
          <w:szCs w:val="18"/>
          <w:shd w:fill="F1F3F5" w:color="auto" w:val="clear"/>
          <w:rtl/>
        </w:rPr>
        <w:t xml:space="preserve">‎20-database-design-and-erd.md‎</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111" w:id="111"/>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111"/>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112" w:id="112"/>
      <w:r>
        <w:rPr>
          <w:rFonts w:ascii="Arial" w:cs="Arial" w:eastAsia="Arial" w:hAnsi="Arial"/>
          <w:b/>
          <w:bCs/>
          <w:color w:val="2B5C8A"/>
          <w:sz w:val="26"/>
          <w:szCs w:val="26"/>
          <w:rtl/>
        </w:rPr>
        <w:t xml:space="preserve">12.4 الأداء والحمل</w:t>
      </w:r>
      <w:bookmarkEnd w:id="112"/>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113" w:id="113"/>
      <w:r>
        <w:rPr>
          <w:rFonts w:ascii="Arial" w:cs="Arial" w:eastAsia="Arial" w:hAnsi="Arial"/>
          <w:b/>
          <w:bCs/>
          <w:color w:val="1F3A5F"/>
          <w:sz w:val="32"/>
          <w:szCs w:val="32"/>
          <w:rtl/>
        </w:rPr>
        <w:t xml:space="preserve">13. البذور وتهيئة المشترك</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(تسعة إعدادات: سبعة أمنية وبداية يوم العمل ونهايته؛ 32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(142 صلاحية منها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لتأكيد التدفقات، ADR 0016، و</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للتقييم الائتماني، ADR 0017؛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و</w:t>
            </w:r>
            <w:r>
              <w:rPr>
                <w:rFonts w:ascii="Courier New" w:cs="Courier New" w:eastAsia="Courier New" w:hAnsi="Courier New"/>
                <w:b w:val="false"/>
                <w:bCs w:val="false"/>
                <w:color w:val="1F2937"/>
                <w:sz w:val="16"/>
                <w:szCs w:val="16"/>
                <w:shd w:fill="F1F3F5" w:color="auto" w:val="clear"/>
                <w:rtl/>
              </w:rPr>
              <w:t xml:space="preserve">‎104‎</w:t>
            </w:r>
            <w:r>
              <w:rPr>
                <w:rFonts w:ascii="Arial" w:cs="Arial" w:eastAsia="Arial" w:hAnsi="Arial"/>
                <w:b w:val="false"/>
                <w:bCs w:val="false"/>
                <w:sz w:val="18"/>
                <w:szCs w:val="18"/>
                <w:rtl/>
              </w:rPr>
              <w:t xml:space="preserve"> (سلّم موديز بـ21 درجة، و36 مقياسًا، وثلاث بطاقات قطاعية معتمدة بأوزانها وشبكاتها وقواعد بنودها وتعديلاتها، ADR 0017).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114" w:id="114"/>
      <w:r>
        <w:rPr>
          <w:rFonts w:ascii="Arial" w:cs="Arial" w:eastAsia="Arial" w:hAnsi="Arial"/>
          <w:b/>
          <w:bCs/>
          <w:color w:val="1F3A5F"/>
          <w:sz w:val="32"/>
          <w:szCs w:val="32"/>
          <w:rtl/>
        </w:rPr>
        <w:t xml:space="preserve">14. أدلة التحقق وحدودها (بصراحة)</w:t>
      </w:r>
      <w:bookmarkEnd w:id="1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5"/>
        <w:gridCol w:w="4799"/>
        <w:gridCol w:w="1820"/>
      </w:tblGrid>
      <w:tr>
        <w:trPr>
          <w:cantSplit/>
          <w:tblHeader/>
        </w:trPr>
        <w:tc>
          <w:tcPr>
            <w:tcW w:type="dxa" w:w="3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213 جدولًا / 3,612 عمودًا؛ لا مراجع معلّقة؛ لا مخالفة لقواعد النطاق</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تشغيل سابق</w:t>
            </w:r>
            <w:r>
              <w:rPr>
                <w:rFonts w:ascii="Arial" w:cs="Arial" w:eastAsia="Arial" w:hAnsi="Arial"/>
                <w:b w:val="false"/>
                <w:bCs w:val="false"/>
                <w:sz w:val="18"/>
                <w:szCs w:val="18"/>
                <w:rtl/>
              </w:rPr>
              <w:t xml:space="preserve"> — 194 جدولًا / 763 مفتاحًا أجنبيًا / 691 قيد فريد أو أساسي،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لم يُعَد على النموذج الحالي، ولا يدخل CI</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213 جدولًا، 274 منحة مولّدة، 108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75 من 75،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DR-50 موجود في DDL المولَّد أو في الحارس الثابت (043، 044)، لا في الوثيقة وحدها</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w:t>
            </w:r>
            <w:r>
              <w:rPr>
                <w:rFonts w:ascii="Courier New" w:cs="Courier New" w:eastAsia="Courier New" w:hAnsi="Courier New"/>
                <w:b w:val="false"/>
                <w:bCs w:val="false"/>
                <w:color w:val="1F2937"/>
                <w:sz w:val="16"/>
                <w:szCs w:val="16"/>
                <w:shd w:fill="F1F3F5" w:color="auto" w:val="clear"/>
                <w:rtl/>
              </w:rPr>
              <w:t xml:space="preserve">‎check_fk_indexes.py‎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551 مفهرسًا، 85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صفر بلا فهرس؛ الخطوة 3</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يطابق </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بحساب المراقبة 14 بندًا مع DDL المولَّد والسكربتات الثابتة: الجداول والمخططات والمفاتيح والقيود والفهارس والسياسات، والوحدات المنفّذة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و78 قادحًا بلا معطَّل، ولا دالة مفتوحة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وحساب النشر معطَّل، والترتيب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(الخطوة 5)؛ والخطوة 23 تشترط ألا يبقى بعد الاختبارات مفتاح أو قيد غير موثوق ولا قادح أو سياسة معطّلة ولا مستخدم اختبار ولا مشترك</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الحراس، التدفق المالي)</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بالخطوات 6 إلى 22 و19b من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7 فحوص (T1–T6 وT2b) · </w:t>
            </w:r>
            <w:r>
              <w:rPr>
                <w:rFonts w:ascii="Courier New" w:cs="Courier New" w:eastAsia="Courier New" w:hAnsi="Courier New"/>
                <w:b w:val="false"/>
                <w:bCs w:val="false"/>
                <w:color w:val="1F2937"/>
                <w:sz w:val="16"/>
                <w:szCs w:val="16"/>
                <w:shd w:fill="F1F3F5" w:color="auto" w:val="clear"/>
                <w:rtl/>
              </w:rPr>
              <w:t xml:space="preserve">‎tenant_isolation_tests.sql‎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‎auth_flow_tests.sql‎</w:t>
            </w:r>
            <w:r>
              <w:rPr>
                <w:rFonts w:ascii="Arial" w:cs="Arial" w:eastAsia="Arial" w:hAnsi="Arial"/>
                <w:b w:val="false"/>
                <w:bCs w:val="false"/>
                <w:sz w:val="18"/>
                <w:szCs w:val="18"/>
                <w:rtl/>
              </w:rPr>
              <w:t xml:space="preserve"> 20 (حسابات المستخدمين وإعدادات المشترك، ADR 0003 و0004) · </w:t>
            </w:r>
            <w:r>
              <w:rPr>
                <w:rFonts w:ascii="Courier New" w:cs="Courier New" w:eastAsia="Courier New" w:hAnsi="Courier New"/>
                <w:b w:val="false"/>
                <w:bCs w:val="false"/>
                <w:color w:val="1F2937"/>
                <w:sz w:val="16"/>
                <w:szCs w:val="16"/>
                <w:shd w:fill="F1F3F5" w:color="auto" w:val="clear"/>
                <w:rtl/>
              </w:rPr>
              <w:t xml:space="preserve">‎operator_support_tests.sql‎</w:t>
            </w:r>
            <w:r>
              <w:rPr>
                <w:rFonts w:ascii="Arial" w:cs="Arial" w:eastAsia="Arial" w:hAnsi="Arial"/>
                <w:b w:val="false"/>
                <w:bCs w:val="false"/>
                <w:sz w:val="18"/>
                <w:szCs w:val="18"/>
                <w:rtl/>
              </w:rPr>
              <w:t xml:space="preserve"> 11 · </w:t>
            </w:r>
            <w:r>
              <w:rPr>
                <w:rFonts w:ascii="Courier New" w:cs="Courier New" w:eastAsia="Courier New" w:hAnsi="Courier New"/>
                <w:b w:val="false"/>
                <w:bCs w:val="false"/>
                <w:color w:val="1F2937"/>
                <w:sz w:val="16"/>
                <w:szCs w:val="16"/>
                <w:shd w:fill="F1F3F5" w:color="auto" w:val="clear"/>
                <w:rtl/>
              </w:rPr>
              <w:t xml:space="preserve">‎job_context_tests.sql‎</w:t>
            </w:r>
            <w:r>
              <w:rPr>
                <w:rFonts w:ascii="Arial" w:cs="Arial" w:eastAsia="Arial" w:hAnsi="Arial"/>
                <w:b w:val="false"/>
                <w:bCs w:val="false"/>
                <w:sz w:val="18"/>
                <w:szCs w:val="18"/>
                <w:rtl/>
              </w:rPr>
              <w:t xml:space="preserve"> 7 · </w:t>
            </w:r>
            <w:r>
              <w:rPr>
                <w:rFonts w:ascii="Courier New" w:cs="Courier New" w:eastAsia="Courier New" w:hAnsi="Courier New"/>
                <w:b w:val="false"/>
                <w:bCs w:val="false"/>
                <w:color w:val="1F2937"/>
                <w:sz w:val="16"/>
                <w:szCs w:val="16"/>
                <w:shd w:fill="F1F3F5" w:color="auto" w:val="clear"/>
                <w:rtl/>
              </w:rPr>
              <w:t xml:space="preserve">‎tenant_onboarding_tests.sql‎</w:t>
            </w:r>
            <w:r>
              <w:rPr>
                <w:rFonts w:ascii="Arial" w:cs="Arial" w:eastAsia="Arial" w:hAnsi="Arial"/>
                <w:b w:val="false"/>
                <w:bCs w:val="false"/>
                <w:sz w:val="18"/>
                <w:szCs w:val="18"/>
                <w:rtl/>
              </w:rPr>
              <w:t xml:space="preserve"> 5 (ADR 0004) · </w:t>
            </w:r>
            <w:r>
              <w:rPr>
                <w:rFonts w:ascii="Courier New" w:cs="Courier New" w:eastAsia="Courier New" w:hAnsi="Courier New"/>
                <w:b w:val="false"/>
                <w:bCs w:val="false"/>
                <w:color w:val="1F2937"/>
                <w:sz w:val="16"/>
                <w:szCs w:val="16"/>
                <w:shd w:fill="F1F3F5" w:color="auto" w:val="clear"/>
                <w:rtl/>
              </w:rPr>
              <w:t xml:space="preserve">‎numbering_tests.sql‎</w:t>
            </w:r>
            <w:r>
              <w:rPr>
                <w:rFonts w:ascii="Arial" w:cs="Arial" w:eastAsia="Arial" w:hAnsi="Arial"/>
                <w:b w:val="false"/>
                <w:bCs w:val="false"/>
                <w:sz w:val="18"/>
                <w:szCs w:val="18"/>
                <w:rtl/>
              </w:rPr>
              <w:t xml:space="preserve"> 8 و</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2 (C1: ستة اتصالات متزامنة، 114 رقمًا من 1 إلى 114 بلا تكرار ولا فجوة بعد 36 تراجعًا؛ C2: خارج معاملة، ADR 0005) · </w:t>
            </w:r>
            <w:r>
              <w:rPr>
                <w:rFonts w:ascii="Courier New" w:cs="Courier New" w:eastAsia="Courier New" w:hAnsi="Courier New"/>
                <w:b w:val="false"/>
                <w:bCs w:val="false"/>
                <w:color w:val="1F2937"/>
                <w:sz w:val="16"/>
                <w:szCs w:val="16"/>
                <w:shd w:fill="F1F3F5" w:color="auto" w:val="clear"/>
                <w:rtl/>
              </w:rPr>
              <w:t xml:space="preserve">‎kyc_history_tests.sql‎</w:t>
            </w:r>
            <w:r>
              <w:rPr>
                <w:rFonts w:ascii="Arial" w:cs="Arial" w:eastAsia="Arial" w:hAnsi="Arial"/>
                <w:b w:val="false"/>
                <w:bCs w:val="false"/>
                <w:sz w:val="18"/>
                <w:szCs w:val="18"/>
                <w:rtl/>
              </w:rPr>
              <w:t xml:space="preserve"> 4 (ADR 0006) · </w:t>
            </w:r>
            <w:r>
              <w:rPr>
                <w:rFonts w:ascii="Courier New" w:cs="Courier New" w:eastAsia="Courier New" w:hAnsi="Courier New"/>
                <w:b w:val="false"/>
                <w:bCs w:val="false"/>
                <w:color w:val="1F2937"/>
                <w:sz w:val="16"/>
                <w:szCs w:val="16"/>
                <w:shd w:fill="F1F3F5" w:color="auto" w:val="clear"/>
                <w:rtl/>
              </w:rPr>
              <w:t xml:space="preserve">‎reference_data_tests.sql‎</w:t>
            </w:r>
            <w:r>
              <w:rPr>
                <w:rFonts w:ascii="Arial" w:cs="Arial" w:eastAsia="Arial" w:hAnsi="Arial"/>
                <w:b w:val="false"/>
                <w:bCs w:val="false"/>
                <w:sz w:val="18"/>
                <w:szCs w:val="18"/>
                <w:rtl/>
              </w:rPr>
              <w:t xml:space="preserve"> 4 · </w:t>
            </w:r>
            <w:r>
              <w:rPr>
                <w:rFonts w:ascii="Courier New" w:cs="Courier New" w:eastAsia="Courier New" w:hAnsi="Courier New"/>
                <w:b w:val="false"/>
                <w:bCs w:val="false"/>
                <w:color w:val="1F2937"/>
                <w:sz w:val="16"/>
                <w:szCs w:val="16"/>
                <w:shd w:fill="F1F3F5" w:color="auto" w:val="clear"/>
                <w:rtl/>
              </w:rPr>
              <w:t xml:space="preserve">‎audit_trail_tests.sql‎</w:t>
            </w:r>
            <w:r>
              <w:rPr>
                <w:rFonts w:ascii="Arial" w:cs="Arial" w:eastAsia="Arial" w:hAnsi="Arial"/>
                <w:b w:val="false"/>
                <w:bCs w:val="false"/>
                <w:sz w:val="18"/>
                <w:szCs w:val="18"/>
                <w:rtl/>
              </w:rPr>
              <w:t xml:space="preserve"> 7 (ADR 0007) · </w:t>
            </w:r>
            <w:r>
              <w:rPr>
                <w:rFonts w:ascii="Courier New" w:cs="Courier New" w:eastAsia="Courier New" w:hAnsi="Courier New"/>
                <w:b w:val="false"/>
                <w:bCs w:val="false"/>
                <w:color w:val="1F2937"/>
                <w:sz w:val="16"/>
                <w:szCs w:val="16"/>
                <w:shd w:fill="F1F3F5" w:color="auto" w:val="clear"/>
                <w:rtl/>
              </w:rPr>
              <w:t xml:space="preserve">‎data_export_tests.sql‎</w:t>
            </w:r>
            <w:r>
              <w:rPr>
                <w:rFonts w:ascii="Arial" w:cs="Arial" w:eastAsia="Arial" w:hAnsi="Arial"/>
                <w:b w:val="false"/>
                <w:bCs w:val="false"/>
                <w:sz w:val="18"/>
                <w:szCs w:val="18"/>
                <w:rtl/>
              </w:rPr>
              <w:t xml:space="preserve"> 7 (X1–X7، ADR 0008) · </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(ADR 0009) · </w:t>
            </w:r>
            <w:r>
              <w:rPr>
                <w:rFonts w:ascii="Courier New" w:cs="Courier New" w:eastAsia="Courier New" w:hAnsi="Courier New"/>
                <w:b w:val="false"/>
                <w:bCs w:val="false"/>
                <w:color w:val="1F2937"/>
                <w:sz w:val="16"/>
                <w:szCs w:val="16"/>
                <w:shd w:fill="F1F3F5" w:color="auto" w:val="clear"/>
                <w:rtl/>
              </w:rPr>
              <w:t xml:space="preserve">‎review_fixes_tests.sql‎</w:t>
            </w:r>
            <w:r>
              <w:rPr>
                <w:rFonts w:ascii="Arial" w:cs="Arial" w:eastAsia="Arial" w:hAnsi="Arial"/>
                <w:b w:val="false"/>
                <w:bCs w:val="false"/>
                <w:sz w:val="18"/>
                <w:szCs w:val="18"/>
                <w:rtl/>
              </w:rPr>
              <w:t xml:space="preserve"> 43 (RF1–RF34 لإصلاحات المراجعة وشروط دخول الشرائح، ADR 0011؛ وSR1–SR9 للمراجعة الذاتية، ADR 0015) · </w:t>
            </w:r>
            <w:r>
              <w:rPr>
                <w:rFonts w:ascii="Courier New" w:cs="Courier New" w:eastAsia="Courier New" w:hAnsi="Courier New"/>
                <w:b w:val="false"/>
                <w:bCs w:val="false"/>
                <w:color w:val="1F2937"/>
                <w:sz w:val="16"/>
                <w:szCs w:val="16"/>
                <w:shd w:fill="F1F3F5" w:color="auto" w:val="clear"/>
                <w:rtl/>
              </w:rPr>
              <w:t xml:space="preserve">‎financial_statements_tests.sql‎</w:t>
            </w:r>
            <w:r>
              <w:rPr>
                <w:rFonts w:ascii="Arial" w:cs="Arial" w:eastAsia="Arial" w:hAnsi="Arial"/>
                <w:b w:val="false"/>
                <w:bCs w:val="false"/>
                <w:sz w:val="18"/>
                <w:szCs w:val="18"/>
                <w:rtl/>
              </w:rPr>
              <w:t xml:space="preserve"> 11 (FS1–FS11، ADR 0016) · </w:t>
            </w:r>
            <w:r>
              <w:rPr>
                <w:rFonts w:ascii="Courier New" w:cs="Courier New" w:eastAsia="Courier New" w:hAnsi="Courier New"/>
                <w:b w:val="false"/>
                <w:bCs w:val="false"/>
                <w:color w:val="1F2937"/>
                <w:sz w:val="16"/>
                <w:szCs w:val="16"/>
                <w:shd w:fill="F1F3F5" w:color="auto" w:val="clear"/>
                <w:rtl/>
              </w:rPr>
              <w:t xml:space="preserve">‎credit_assessment_tests.sql‎</w:t>
            </w:r>
            <w:r>
              <w:rPr>
                <w:rFonts w:ascii="Arial" w:cs="Arial" w:eastAsia="Arial" w:hAnsi="Arial"/>
                <w:b w:val="false"/>
                <w:bCs w:val="false"/>
                <w:sz w:val="18"/>
                <w:szCs w:val="18"/>
                <w:rtl/>
              </w:rPr>
              <w:t xml:space="preserve"> 12 (CA1–CA12، ADR 0017؛ ويمرر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 حالات الضغط الست عشرة للمراجعة المستقلة في الخطوة 3) · </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9 (SA1–SA9، ADR 0012 و0015) · </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(ADR 0013) · </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8 (PF1–PF8، ADR 0014 و0015)؛ وكلها تمر في CI، ويفشل البناء إن اختلف عدد أي منها عن المتوقع</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115" w:id="115"/>
      <w:r>
        <w:rPr>
          <w:rFonts w:ascii="Arial" w:cs="Arial" w:eastAsia="Arial" w:hAnsi="Arial"/>
          <w:b/>
          <w:bCs/>
          <w:color w:val="1F3A5F"/>
          <w:sz w:val="32"/>
          <w:szCs w:val="32"/>
          <w:rtl/>
        </w:rPr>
        <w:t xml:space="preserve">15. القرارات المتخذة (تُعتمد ما لم تعترض)</w:t>
      </w:r>
      <w:bookmarkEnd w:id="1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القائمة الحالية في §3.3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116" w:id="116"/>
      <w:r>
        <w:rPr>
          <w:rFonts w:ascii="Arial" w:cs="Arial" w:eastAsia="Arial" w:hAnsi="Arial"/>
          <w:b/>
          <w:bCs/>
          <w:color w:val="1F3A5F"/>
          <w:sz w:val="32"/>
          <w:szCs w:val="32"/>
          <w:rtl/>
        </w:rPr>
        <w:t xml:space="preserve">16. حدود معروفة ونقاط مفتوحة</w:t>
      </w:r>
      <w:bookmarkEnd w:id="1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523"/>
        <w:gridCol w:w="2374"/>
        <w:gridCol w:w="3029"/>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بخطواته من 0 إلى 23 مع 4b و19b و19c، واختباراته كلها (§14)</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(21 مخزّنة، أغلبها للمفاتيح والفرادة: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للعقد المراجَعة، و</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وأمثاله)</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والدفعة (ب)، شروط دخول الشرائح S1 إلى S4، منفّذة كلها في اليوم نفسه (النموذج و</w:t>
            </w:r>
            <w:r>
              <w:rPr>
                <w:rFonts w:ascii="Courier New" w:cs="Courier New" w:eastAsia="Courier New" w:hAnsi="Courier New"/>
                <w:b w:val="false"/>
                <w:bCs w:val="false"/>
                <w:color w:val="1F2937"/>
                <w:sz w:val="16"/>
                <w:szCs w:val="16"/>
                <w:shd w:fill="F1F3F5" w:color="auto" w:val="clear"/>
                <w:rtl/>
              </w:rPr>
              <w:t xml:space="preserve">‎044_entry_guards.sql‎</w:t>
            </w:r>
            <w:r>
              <w:rPr>
                <w:rFonts w:ascii="Arial" w:cs="Arial" w:eastAsia="Arial" w:hAnsi="Arial"/>
                <w:b w:val="false"/>
                <w:bCs w:val="false"/>
                <w:sz w:val="18"/>
                <w:szCs w:val="18"/>
                <w:rtl/>
              </w:rPr>
              <w:t xml:space="preserve">، الاختبارات RF19 إلى RF34؛ 75 إصلاحًا يفحصها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وDR-20 محلولة بـ DR-02، ويبقى مؤجلًا مرساة البصمة الخارجية (مع O-13) وفحص المفاتيح المتقاعدة (DR-20)</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ما بقي من المراجعة الذاتية ووحدة القوائم المالية</w:t>
            </w:r>
            <w:r>
              <w:rPr>
                <w:rFonts w:ascii="Arial" w:cs="Arial" w:eastAsia="Arial" w:hAnsi="Arial"/>
                <w:b w:val="false"/>
                <w:bCs w:val="false"/>
                <w:sz w:val="18"/>
                <w:szCs w:val="18"/>
                <w:rtl/>
              </w:rPr>
              <w:t xml:space="preserve"> (ADR 0015، ADR 0016)</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يعتمدان التوقيت، وسماحات CI يضبطها أي مشغّل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§7)؛ وفي القوائم: التدفق المخصّص لتسهيل يُحسب له وحده، والتدفق على مستوى البنك يُحسب لكل تعهدات تسهيلاته (BR-FIN-016، اعتمده المالك 2026-10-18)، والأداء يُحسب عند القراءة بلا لقطة يومية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اليومية مع مهام S2-ب؛ والربط بالتقييم الائتماني مرحلة لاحقة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معايرة التقييم الائتماني</w:t>
            </w:r>
            <w:r>
              <w:rPr>
                <w:rFonts w:ascii="Arial" w:cs="Arial" w:eastAsia="Arial" w:hAnsi="Arial"/>
                <w:b w:val="false"/>
                <w:bCs w:val="false"/>
                <w:sz w:val="18"/>
                <w:szCs w:val="18"/>
                <w:rtl/>
              </w:rPr>
              <w:t xml:space="preserve"> (ADR 0017،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معايرة بخبرة المحلل وروجعت مراجعة مستقلة، بلا بيانات تعثر؛ والقوائم المرحلية تُحوَّل إلى سنة بالضرب؛ ولا حدود غير مسحوبة ولا تأخر في السداد في المقاييس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§16)</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سبعة أسئلة للمالك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وتتحقق إدارة مخاطر الائتمان في البنك من المعايرة قبل استعمال الدرجة في قرار</w:t>
            </w:r>
          </w:p>
        </w:tc>
      </w:tr>
    </w:tbl>
    <w:p>
      <w:pPr>
        <w:bidi/>
        <w:spacing w:after="120" w:before="0"/>
      </w:pPr>
    </w:p>
    <w:p>
      <w:pPr>
        <w:pStyle w:val="Heading1"/>
        <w:bidi/>
      </w:pPr>
      <w:bookmarkStart w:name="_sec117" w:id="117"/>
      <w:r>
        <w:rPr>
          <w:rFonts w:ascii="Arial" w:cs="Arial" w:eastAsia="Arial" w:hAnsi="Arial"/>
          <w:b/>
          <w:bCs/>
          <w:color w:val="1F3A5F"/>
          <w:sz w:val="32"/>
          <w:szCs w:val="32"/>
          <w:rtl/>
        </w:rPr>
        <w:t xml:space="preserve">17. الخطوة التالية</w:t>
      </w:r>
      <w:bookmarkEnd w:id="117"/>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 وكذلك إصلاحات المراجعة الذاتية (ADR 0015) ووحدة القوائم المالية (ADR 0016)، وما بقي منهما في O-16، والتقييم الائتماني (ADR 0017) وما بقي منه في O-17.</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p>
      <w:pPr>
        <w:pStyle w:val="Heading1"/>
        <w:bidi/>
      </w:pPr>
      <w:bookmarkStart w:name="_sec118" w:id="118"/>
      <w:r>
        <w:rPr>
          <w:rFonts w:ascii="Arial" w:cs="Arial" w:eastAsia="Arial" w:hAnsi="Arial"/>
          <w:b/>
          <w:bCs/>
          <w:color w:val="1F3A5F"/>
          <w:sz w:val="32"/>
          <w:szCs w:val="32"/>
          <w:rtl/>
        </w:rPr>
        <w:t xml:space="preserve">18. مراجعة التصميم (Design review)</w:t>
      </w:r>
      <w:bookmarkEnd w:id="118"/>
    </w:p>
    <w:p>
      <w:pPr>
        <w:bidi/>
        <w:spacing w:after="110" w:before="0" w:line="312"/>
      </w:pPr>
      <w:r>
        <w:rPr>
          <w:rFonts w:ascii="Arial" w:cs="Arial" w:eastAsia="Arial" w:hAnsi="Arial"/>
          <w:b w:val="false"/>
          <w:bCs w:val="false"/>
          <w:sz w:val="21"/>
          <w:szCs w:val="21"/>
          <w:rtl/>
        </w:rPr>
        <w:t xml:space="preserve">أجرى فريق من خمسة مهندسي قواعد بيانات مراجعة مستقلة لكل مجموعة وحدات، فحصت كل جدول وكل علاقة مفتاح أجنبي على أسس النمذجة العلائقية: التطبيع، والمفاتيح، والإلزام والعدد، وسلامة المرجع، والعزل بين المشتركين، والتكرار، والفهرسة، والحساسية، ودلالات دورة العمل. النتائج مسجَّلة بمعرّفاتها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وتحمل كل نتيجة مرجع السطر في النموذج أو في DDL.</w:t>
      </w:r>
    </w:p>
    <w:p>
      <w:pPr>
        <w:bidi/>
        <w:spacing w:after="110" w:before="0" w:line="312"/>
      </w:pPr>
      <w:r>
        <w:rPr>
          <w:rFonts w:ascii="Arial" w:cs="Arial" w:eastAsia="Arial" w:hAnsi="Arial"/>
          <w:b/>
          <w:bCs/>
          <w:sz w:val="21"/>
          <w:szCs w:val="21"/>
          <w:rtl/>
        </w:rPr>
        <w:t xml:space="preserve">الإجمالي: 50 نتيجة — حرجة 10 · رئيسية 36 · طفيفة 4.</w:t>
      </w:r>
      <w:r>
        <w:rPr>
          <w:rFonts w:ascii="Arial" w:cs="Arial" w:eastAsia="Arial" w:hAnsi="Arial"/>
          <w:b w:val="false"/>
          <w:bCs w:val="false"/>
          <w:sz w:val="21"/>
          <w:szCs w:val="21"/>
          <w:rtl/>
        </w:rPr>
        <w:t xml:space="preserve"> الحرجة مُطبَّقة في النموذج والـDDL (C-12)، والرئيسية والطفيفة قرّرها المالك في 2026-10-13 (O-15، §18.3)، ويتحقق من التصريحي منها آليًا.</w:t>
      </w:r>
    </w:p>
    <w:p>
      <w:pPr>
        <w:pStyle w:val="Heading2"/>
        <w:bidi/>
      </w:pPr>
      <w:bookmarkStart w:name="_sec119" w:id="119"/>
      <w:r>
        <w:rPr>
          <w:rFonts w:ascii="Arial" w:cs="Arial" w:eastAsia="Arial" w:hAnsi="Arial"/>
          <w:b/>
          <w:bCs/>
          <w:color w:val="2B5C8A"/>
          <w:sz w:val="26"/>
          <w:szCs w:val="26"/>
          <w:rtl/>
        </w:rPr>
        <w:t xml:space="preserve">18.1 النتائج الحرجة</w:t>
      </w:r>
      <w:bookmarkEnd w:id="1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2"/>
        <w:gridCol w:w="2687"/>
        <w:gridCol w:w="882"/>
        <w:gridCol w:w="2683"/>
        <w:gridCol w:w="1848"/>
        <w:gridCol w:w="882"/>
      </w:tblGrid>
      <w:tr>
        <w:trPr>
          <w:cantSplit/>
          <w:tblHeader/>
        </w:trPr>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DR-01</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‎plat.TenantModule.IsEnabled‎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Entitlement rows are tenant-owned (no global flag;</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TenantModule platform-owned: declare it global with an explicit TenantId FK to plat.Tenant (global noapp is a legal target), expose it to tp_app only through a view filtered on SESSION_CONTEXT('TenantId') with SELECT only, a…</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DR-02</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MfaKeyId (model line 126, comment 'DATA key that encrypted the MFA secret') and doc.DocumentVersion.KeyId (line 378, 'file encryption key') reference sec.TenantKey through a composite FK on (TenantId, TenantKeyId) only (db/genera…</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UNIQUE (TenantId, TenantKeyId, Purpose) on sec.TenantKey.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DR-03</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‎cat.LookupItem.LookupItemId (targeted by 13 in-scope FKs)‎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'mixed' (12-institutions-accounts-catalogs.model:255;</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referenced items tenant-owned: materialise the seeded global items per tenant so every LookupItem row has TenantId NOT NULL, and emit composite FKs (TenantId, X) -&gt; (TenantId, LookupItemId).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DR-04</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‎pty.Address.OwnerType, OwnerId‎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OwnerType+OwnerId is a polymorphic owner (PARTY/INSTITUTION/UNIT/CONTACT;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OwnerType/OwnerId pair with exclusive-arc columns (PartyId, InstitutionId, UnitId, ContactId), each a composite FK (TenantId, X) -&gt; (TenantId, X), with a CHECK that exactly one is non-null;</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DR-05</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 (mixed) and cat.LookupList (mixed); 13 tenant tables reference LookupItem.LookupListId / *ItemId referencing columns‎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and cat.LookupList are mixed (model 12:247-256), so their references are simple FKs with no TenantId (DDL 002:232 FK_LookupItem_LookupListId;</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cat.LookupItem tenant-owned.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DR-06</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 (ScopeLimitProductLineId); cmp.TermValue (LimitProductLineId).ScopeLimitProductLineId,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are declared via=FacilityId only (model 13:438 and 13:561;</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 both to via=FacilityId,LimitId so the composite key is (TenantId, FacilityId, LimitId,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DR-07</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declared mixed (db/model/12 line 255: TenantId NULL = global, otherwise tenant-owned), but the generator emits FKs into it as simple keys on LookupItemId alone: db/generated/tsql/002_foreign_keys.sql:524 (fin.Ba…</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Give each tenant its own copies of the global lookup items it uses (section 13 tenant initialisation already creates per-tenant catalogs), then make the references composite (TenantId, LookupItemId) to cat.LookupItem(TenantId, Lo…</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Attributes is an unclassified json column (db/model/14 line 32).</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 the cash-margin account as a typed FK to acc.BankAccount using the via pattern of acc.BankAccount.RelationshipId.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DR-09</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stage reference is bound to the tenant only.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TemplateId (req, copied from the request at entry) to wfl.RequestStageInstance and declare StageId and ResumeStageId as -&gt;wfl.WorkflowStage via=TemplateId (the WorkflowStage scope unique already exists, DDL 001_tables.sql:467…</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DR-10</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-&gt; lc.LetterOfCredit is generated as (TenantId, LcId) only (DDL 002_foreign_keys.sql:587), so a request of company A can be linked to a letter of credit of company B inside the same tenant.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Request.LcId -&gt;lc.LetterOfCredit via=CompanyId.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bl>
    <w:p>
      <w:pPr>
        <w:bidi/>
        <w:spacing w:after="120" w:before="0"/>
      </w:pPr>
    </w:p>
    <w:p>
      <w:pPr>
        <w:pStyle w:val="Heading2"/>
        <w:bidi/>
      </w:pPr>
      <w:bookmarkStart w:name="_sec120" w:id="120"/>
      <w:r>
        <w:rPr>
          <w:rFonts w:ascii="Arial" w:cs="Arial" w:eastAsia="Arial" w:hAnsi="Arial"/>
          <w:b/>
          <w:bCs/>
          <w:color w:val="2B5C8A"/>
          <w:sz w:val="26"/>
          <w:szCs w:val="26"/>
          <w:rtl/>
        </w:rPr>
        <w:t xml:space="preserve">18.2 النتائج الرئيسية والطفيفة</w:t>
      </w:r>
      <w:bookmarkEnd w:id="1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0"/>
        <w:gridCol w:w="1954"/>
        <w:gridCol w:w="840"/>
        <w:gridCol w:w="858"/>
        <w:gridCol w:w="2145"/>
        <w:gridCol w:w="2387"/>
        <w:gridCol w:w="840"/>
      </w:tblGrid>
      <w:tr>
        <w:trPr>
          <w:cantSplit/>
          <w:tblHeader/>
        </w:trPr>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2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‎doc.DocumentVersion.StorageKey‎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storage path is unique only per tenant (UQ_DocumentVersion_StorageKey = UNIQUE (TenantId, StorageKey), db/generated/tsql/001_tables.sql:609), yet the design (6.4) describes one shared file store.</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StorageKey globally unique and add CHECK (StorageKey LIKE CAST(TenantId AS varchar(10)) + '/%').</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 is a bare bigint commented 'the corresponding event in AuditLog' (model line 332) with no reference.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composite FK (TenantId, AuditLogId) -&gt; aud.AuditLog (TenantId, 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restricted export (IncludesRestricted = 1: identity numbers and images) can be approved by its own requester.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(ApprovedBy IS NULL OR ApprovedBy &lt;&gt; RequestedBy), a pairing CHECK between ApprovedBy and ApprovedAt, and CHECK (Status &lt;&gt; 'READY' OR ExpiresAt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has five values, but no CHECK ties the lease and completion fields to them;</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&lt;&gt; 'PROCESSING' OR (LockedBy IS NOT NULL AND LockedUntil IS NOT NULL)), CHECK (Status &lt;&gt; 'DELIVERED' OR DeliveredAt IS NOT NULL) and CHECK (Status &lt;&gt; 'DEAD' OR LastError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‎plat.SupportAccessGrant.EndsAt‎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1 to 72 hour window (BR-PLT-017) is enforced only in the application;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(DATEDIFF(MINUTE, StartsAt, EndsAt) BETWEEN 60 AND 4320).</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‎sec.Permission.LockedToRoleCodes‎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LockedToRoleCodes (json, e.g.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lock with a junction table keyed on a stable role identity (SeedKey or a global role catalog) and enforce it with a trigger on sec.RolePermission.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TenantSetting.Key (ascii(100), unique per tenant) has no foreign key to cfg.SettingDefinition.Key.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simple FK (Key) -&gt; cfg.SettingDefinition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 is a stored copy of a rule the database never evaluates: the model comment says RESTRICTED if the type is IsSensitive (line 354), but the only CHECK is enum membership (CK_Document_Sensitivity), and the default is CON…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Enforce a sensitivity floor with a trigger on doc.Document, and on cat.DocumentType updates, that raises Sensitivity to RESTRICTED when IsSensitive is set.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(12-institutions-accounts-catalogs.model:447) includes SUSPENDED, EXPIRED and REVOKED, but the table has no timestamp, actor or reason for any transition.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SuspendedAt, RevokedAt, RevokedBy and RevocationReason.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 HashKeyId‎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EncKeyId and HashKeyId reference sec.TenantKey by key id only (generated as (TenantId, EncKeyId) -&gt; (TenantId, TenantKeyId)).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Store the purpose on the row as a constant column (e.g.</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بـ DR-02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 ApprovedAt, SupersedesGrantId‎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ApprovedBy and ApprovedAt (11-organization-party.model:143-144) are nullable, and the status CHECK (line 156) requires only a source document or an exception reason for ACTIVE/SUPERSEDED/REVOKED.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IN ('DRAFT','PENDING_APPROVAL') OR (ApprovedBy IS NOT NULL AND ApprovedAt IS NOT NULL)) and CHECK (ApprovedBy IS NULL OR ApprovedAt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‎org.Shareholding.Layer, HolderPartyId, CompanyId‎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cardinality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Layer &gt;= 2 means 'indirect, through intermediate entities' (11-organization-party.model:78), but no column identifies the intermediate holder or the parent holding.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self-referencing ViaShareholdingId (or IntermediatePartyId) with via=CompanyId pointing to the intermediate's layer-1 row, and key the uniqueness and the open-row filter on (CompanyId, HolderPartyId, ViaShareholdingId, Effe…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 IsSuperseded‎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SupersededById (11-organization-party.model:305) is generated as (TenantId, SupersededById) only (002_foreign_keys.sql:156), so a document can be superseded by a document belonging to a different party.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via=PartyId to SupersededById so the successor must belong to the same party.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company-party mirror is stored twice: org.Company.PartyId (11-organization-party.model:16, unique line 34) and pty.Party.LinkedCompanyId (line 274, unique line 278).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one pointer and derive the other, or enforce equality declaratively: add a unique key (TenantId, CompanyId, PartyId) on org.Company and make pty.Party's link a composite FK (TenantId, LinkedCompanyId, PartyId) -&gt; org.Company…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org.Company.TaxNumber (11-organization-party.model:26) is a plain ascii(30) column with no sens tag, on a 'public' aggregate root (line 12) whose PublicId is exposed through the API (docs/20 sections 1 and 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Drop org.Company.TaxNumber and read the current TaxIdentity row (CountryId = the company's CountryId, IsCurrent = 1) through a view.</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 (and lc.LetterOfCredit link, file 16).SourceType, SourceRefId‎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SourceRefId is a bigint that holds an LcId or a RequestId depending on SourceType (13:254-255).</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SourceRefId with typed nullable FKs (for example a request FK to wfl.Request, and the LC link kept on one side only).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‎fac.ValueConflict.TargetEntity, TargetId, FacilityId‎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conflict targets an entity through free text TargetEntity ascii(60) (13:328) and bigint TargetId (13:329), with no FK and no domain CHECK (DDL 001 has only the NOT NULL).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typed nullable target FKs with (TenantId, FacilityId, ...) composite keys and an exactly-one CHECK, as LimitMovement does.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 (header); fac.Limit, fac.LimitProductLine, fac.LimitCompanyRule, prc.PricingRule, cmp.TermValue (rev children).ApprovedRevisionNo, ParentLimitId, LimitId, ToRevision‎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Revision integrity is left to the application.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stable identity from versions.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 (with cat.BaseRateValue and cat.BaseRateAlias).InstitutionId (MARKET rows), CurrencyId, Code, BaseRateAlias.InstitutionId‎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is tenant-owned (no global/mixed flag, model 12:210;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MARKET base rates and their values global or mixed (TenantId NULL, platform-written, tenant read-only) and keep BANK_INTERNAL tenant-owned, with a justification line per table.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 cat.ProductFinancingType (with cat.Product and cat.FacilityType).IsIslamic, Compliance‎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Shariah classification is modelled three ways.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IsIslamic with the same Compliance enum.</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 fac.LimitProductLine, fac.LimitCompanyRule, fac.ProductLineTerm, fac.OutstandingSnapshot, fac.ValueConflict, prc.PricingRule, cmp.TermValue (src tables).OriginalText (and CandidateAOriginalText, Reason, Notes, ChangeSummary)‎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src flag adds OriginalText NVARCHAR(2000) to each sourced row (DDL 001:2969, 3020, 3070, 3114 and others) and ValueConflict.CandidateA/BOriginalText (13:335, 13:341).</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Flag OriginalText and the free-text columns in src and rev tables as sens=confidential, and add DENY SELECT for tp_readonly on them.</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 fac.FacilityLender; fac.Facility; ref.Country; cat.LegalEntityType; cat.Position.AppliesTo, Roles, AlertLeadDays, BankUnilateralRights, WeekendDays, DefaultBodyTypes, ApplicableBodyTypes‎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Multi-valued columns are not domain-checked.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Have dbgen emit a membership CHECK for every set{} column (wrap the value in commas and reject any token outside the list, plus duplicates).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generated FK is (TenantId, GuarantorIdentityDocumentId) to pty.IdentityDocument only (002_foreign_keys.sql:444).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GuarantorIdentityDocumentId -&gt;pty.IdentityDocument via=GuarantorPartyId, with a unique (TenantId, PartyId, IdentityDocumentId) on pty.IdentityDocument.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version-chain FK is (TenantId, SupersedesId) to fin.FinancialStatement only (002_foreign_keys.sql:510) with no via= on CompanyId or on the period key.</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SupersedesId -&gt;fin.FinancialStatement via=CompanyId,Basis,Assurance,PeriodType,PeriodEnd (the columns of the approved-uniqueness key), with a unique on the target (TenantId, those columns, FinancialStatementId).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ScopeLimitProductLineId (db/model/13 line 438), cmp.TermValue.LimitProductLineId (line 561) and obl.Obligation.ScopeProductLineId (db/model/14 line 167) use via=FacilityId only.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via=FacilityId,ScopeLimitId for PricingRule and Obligation, and via=FacilityId,LimitId for TermValue.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is {DRAFT, ACTIVE, RELEASED, EXPIRED} (db/model/14 line 33), and it has no value for a replaced version.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SUPERSEDED to Status and set it in the approval transaction.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‎fin.AccountMonthlyStat.MonthEnd‎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fin.AccountMonthlyStat and fin.BankFlowEntry key on MonthEnd (db/model/14 line 456 unique BankAccountId,MonthEnd;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(MonthEnd = EOMONTH(MonthEnd)) to both tables, and apply the same rule to any other MonthEnd used as a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‎obl.Covenant.ThresholdUnit‎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CK_Covenant_3 (001_tables.sql:4144) requires Operator and ThresholdValue when ThresholdState = 'SET', but not ThresholdUnit (model lines 286-288).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(ThresholdState &lt;&gt; 'SET' OR ThresholdUnit IS NOT NULL) and CHECK (MeasureKind NOT IN ('RATIO','AMOUNT','PERCENT_OF_REVENUE') OR StatementBasis IS NOT NULL), and review RequiredAssurance the same way.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The model says stored results are not edited (المخزَّن لا يُعدَّل, db/model/14 line 300) and InputsSnapshot is fixed after saving (line 314, BR-FIN-010).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a GoverningCovenantId (and GoverningReportingObligationId on ReportingInstance) that is never re-pointed, and resolve the current revision through the logical chain.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Subtype rows (Guarantee, PromissoryNote, InsurancePolicyAssignment, ValuationSchedule;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the typed-FK pattern.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legal content is mutable at the database level.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mutable draft from issued content: keep LcTerms mutable only while DRAFT and insert a new immutable row on lock, with DENY UPDATE/DELETE to tp_app and tp_platform on the locked table (the append mechanism already used 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LcTerms.OwnerType/OwnerId is polymorphic with no FK (16:162-163), and the generated FK for CurrentTermsId is (TenantId, CurrentTermsId) only (DDL 002_foreign_keys.sql:709).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OwnerType/OwnerId with typed nullable owner keys (RequestId, ProformaInvoiceId, LetterOfCreditId, LcAmendmentId) and a check that exactly one applies for the Purpose, so each terms row has a real FK.</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‎wfl.HookExecution.ActionFilter‎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idempotency key omits ActionFilter.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ActionFilter in the unique key (SQL Server treats NULLs as equal in unique constraints, so ON_ENTER and ON_EXIT rows stay unique).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‎wfl.Request.DueAt‎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duplicates the open stage instance.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RequestStageInstance the single source of stage, assignee and SLA state, and build the queue and SLA indexes on it (it already indexes DueAt where ExitedAt IS NULL, 15:405).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is optional (16:397;</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(LcClass = 'SALES' OR InstitutionId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restricted IBAN is encrypted in one column, but comparison and diff storage writes field values in plaintext with no sensitivity tag.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Exclude sens=restricted FieldKeys from comparison and diff at write time, storing only the mask and an HMAC for changed restricted fields, or encrypt those values with the §6.2 envelope.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‎org.Company.ErpCodeNormalized‎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ErpCodeNormalized (11-organization-party.model:28) is a stored derivation of ErpCompanyCode (the comment says it implements the BR-LCE-002 formula).</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ErpCodeNormalized as a calc column with a persisted expression, e.g.</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 ref.Currency, and every cat.* table with a Code check (for example cat.BaseRate, cat.LookupItem).Iso2, Iso3, Code‎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database collation is Arabic_100_CI_AS_SC (db/deploy.sql:9).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COLLATE Latin1_General_100_BIN2 inside each Code CHECK, for example Iso2 COLLATE Latin1_General_100_BIN2 NOT LIKE '%[^A-Z]%'.</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‎wfl.RequestType.AmountFieldKey‎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 repeats facts that other tables already own.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Derive field keys from TemplateField.IndexRole of the current template, derive the default template from WorkflowTemplate.IsCurrent, and make NumberSequenceKey a computed column or a check equal to 'req:' + Code.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DR-50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‎wfl.Request.OutcomeReason‎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Several state columns lack the evidence that their state implies.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CHECKs: Status IN ('REJECTED','CANCELLED') implies OutcomeReason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bl>
    <w:p>
      <w:pPr>
        <w:bidi/>
        <w:spacing w:after="120" w:before="0"/>
      </w:pPr>
    </w:p>
    <w:p>
      <w:pPr>
        <w:pStyle w:val="Heading2"/>
        <w:bidi/>
      </w:pPr>
      <w:bookmarkStart w:name="_sec121" w:id="121"/>
      <w:r>
        <w:rPr>
          <w:rFonts w:ascii="Arial" w:cs="Arial" w:eastAsia="Arial" w:hAnsi="Arial"/>
          <w:b/>
          <w:bCs/>
          <w:color w:val="2B5C8A"/>
          <w:sz w:val="26"/>
          <w:szCs w:val="26"/>
          <w:rtl/>
        </w:rPr>
        <w:t xml:space="preserve">18.3 القرار</w:t>
      </w:r>
      <w:bookmarkEnd w:id="121"/>
    </w:p>
    <w:p>
      <w:pPr>
        <w:pStyle w:val="ListParagraph"/>
        <w:numPr>
          <w:ilvl w:val="0"/>
          <w:numId w:val="7"/>
        </w:numPr>
        <w:bidi/>
        <w:spacing w:after="70" w:before="0" w:line="300"/>
      </w:pPr>
      <w:r>
        <w:rPr>
          <w:rFonts w:ascii="Arial" w:cs="Arial" w:eastAsia="Arial" w:hAnsi="Arial"/>
          <w:b/>
          <w:bCs/>
          <w:sz w:val="21"/>
          <w:szCs w:val="21"/>
          <w:rtl/>
        </w:rPr>
        <w:t xml:space="preserve">الحرجة (10): مُعتمدة ومُطبَّقة</w:t>
      </w:r>
      <w:r>
        <w:rPr>
          <w:rFonts w:ascii="Arial" w:cs="Arial" w:eastAsia="Arial" w:hAnsi="Arial"/>
          <w:b w:val="false"/>
          <w:bCs w:val="false"/>
          <w:sz w:val="21"/>
          <w:szCs w:val="21"/>
          <w:rtl/>
        </w:rPr>
        <w:t xml:space="preserve"> في النموذج والـDDL بالتغيير C-12، ويتحقق منها </w:t>
      </w:r>
      <w:r>
        <w:rPr>
          <w:rFonts w:ascii="Courier New" w:cs="Courier New" w:eastAsia="Courier New" w:hAnsi="Courier New"/>
          <w:b w:val="false"/>
          <w:bCs w:val="false"/>
          <w:color w:val="1F2937"/>
          <w:sz w:val="18"/>
          <w:szCs w:val="18"/>
          <w:shd w:fill="F1F3F5" w:color="auto" w:val="clear"/>
          <w:rtl/>
        </w:rPr>
        <w:t xml:space="preserve">‎tools/dbgen/check_review_fixes.py‎</w:t>
      </w:r>
      <w:r>
        <w:rPr>
          <w:rFonts w:ascii="Arial" w:cs="Arial" w:eastAsia="Arial" w:hAnsi="Arial"/>
          <w:b w:val="false"/>
          <w:bCs w:val="false"/>
          <w:sz w:val="21"/>
          <w:szCs w:val="21"/>
          <w:rtl/>
        </w:rPr>
        <w:t xml:space="preserve"> آليًا على DDL المولَّد.</w:t>
      </w:r>
    </w:p>
    <w:p>
      <w:pPr>
        <w:pStyle w:val="ListParagraph"/>
        <w:numPr>
          <w:ilvl w:val="0"/>
          <w:numId w:val="7"/>
        </w:numPr>
        <w:bidi/>
        <w:spacing w:after="70" w:before="0" w:line="300"/>
      </w:pPr>
      <w:r>
        <w:rPr>
          <w:rFonts w:ascii="Arial" w:cs="Arial" w:eastAsia="Arial" w:hAnsi="Arial"/>
          <w:b/>
          <w:bCs/>
          <w:sz w:val="21"/>
          <w:szCs w:val="21"/>
          <w:rtl/>
        </w:rPr>
        <w:t xml:space="preserve">الرئيسية (36) والطفيفة (4): قرّرها المالك في 2026-10-13</w:t>
      </w:r>
      <w:r>
        <w:rPr>
          <w:rFonts w:ascii="Arial" w:cs="Arial" w:eastAsia="Arial" w:hAnsi="Arial"/>
          <w:b w:val="false"/>
          <w:bCs w:val="false"/>
          <w:sz w:val="21"/>
          <w:szCs w:val="21"/>
          <w:rtl/>
        </w:rPr>
        <w:t xml:space="preserve"> بسجل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(O-15). الدفعة (أ) مُطبَّقة في 33 نتيجة (</w:t>
      </w:r>
      <w:r>
        <w:rPr>
          <w:rFonts w:ascii="Courier New" w:cs="Courier New" w:eastAsia="Courier New" w:hAnsi="Courier New"/>
          <w:b w:val="false"/>
          <w:bCs w:val="false"/>
          <w:color w:val="1F2937"/>
          <w:sz w:val="18"/>
          <w:szCs w:val="18"/>
          <w:shd w:fill="F1F3F5" w:color="auto" w:val="clear"/>
          <w:rtl/>
        </w:rPr>
        <w:t xml:space="preserve">‎docs/adr/0011-design-review-fixes.md‎</w:t>
      </w:r>
      <w:r>
        <w:rPr>
          <w:rFonts w:ascii="Arial" w:cs="Arial" w:eastAsia="Arial" w:hAnsi="Arial"/>
          <w:b w:val="false"/>
          <w:bCs w:val="false"/>
          <w:sz w:val="21"/>
          <w:szCs w:val="21"/>
          <w:rtl/>
        </w:rPr>
        <w:t xml:space="preserve">، الاختبارات RF1 إلى RF18)، والدفعة (ب)، شروط دخول الشرائح S1 إلى S4، مُطبَّقة كلها في اليوم نفسه (</w:t>
      </w:r>
      <w:r>
        <w:rPr>
          <w:rFonts w:ascii="Courier New" w:cs="Courier New" w:eastAsia="Courier New" w:hAnsi="Courier New"/>
          <w:b w:val="false"/>
          <w:bCs w:val="false"/>
          <w:color w:val="1F2937"/>
          <w:sz w:val="18"/>
          <w:szCs w:val="18"/>
          <w:shd w:fill="F1F3F5" w:color="auto" w:val="clear"/>
          <w:rtl/>
        </w:rPr>
        <w:t xml:space="preserve">‎db/static/044_entry_guards.sql‎</w:t>
      </w:r>
      <w:r>
        <w:rPr>
          <w:rFonts w:ascii="Arial" w:cs="Arial" w:eastAsia="Arial" w:hAnsi="Arial"/>
          <w:b w:val="false"/>
          <w:bCs w:val="false"/>
          <w:sz w:val="21"/>
          <w:szCs w:val="21"/>
          <w:rtl/>
        </w:rPr>
        <w:t xml:space="preserve">، الاختبارات RF19 إلى RF34)، وDR-20 محلولة بـ DR-02. المؤجَّل: مرساة البصمة الخارجية (مع O-13) وفحص المفاتيح المتقاعدة.</w:t>
      </w:r>
    </w:p>
    <w:p>
      <w:pPr>
        <w:pStyle w:val="ListParagraph"/>
        <w:numPr>
          <w:ilvl w:val="0"/>
          <w:numId w:val="7"/>
        </w:numPr>
        <w:bidi/>
        <w:spacing w:after="70" w:before="0" w:line="300"/>
      </w:pPr>
      <w:r>
        <w:rPr>
          <w:rFonts w:ascii="Arial" w:cs="Arial" w:eastAsia="Arial" w:hAnsi="Arial"/>
          <w:b/>
          <w:bCs/>
          <w:sz w:val="21"/>
          <w:szCs w:val="21"/>
          <w:rtl/>
        </w:rPr>
        <w:t xml:space="preserve">بعد أي تغيير</w:t>
      </w:r>
      <w:r>
        <w:rPr>
          <w:rFonts w:ascii="Arial" w:cs="Arial" w:eastAsia="Arial" w:hAnsi="Arial"/>
          <w:b w:val="false"/>
          <w:bCs w:val="false"/>
          <w:sz w:val="21"/>
          <w:szCs w:val="21"/>
          <w:rtl/>
        </w:rPr>
        <w:t xml:space="preserve"> في النموذج: </w:t>
      </w:r>
      <w:r>
        <w:rPr>
          <w:rFonts w:ascii="Courier New" w:cs="Courier New" w:eastAsia="Courier New" w:hAnsi="Courier New"/>
          <w:b w:val="false"/>
          <w:bCs w:val="false"/>
          <w:color w:val="1F2937"/>
          <w:sz w:val="18"/>
          <w:szCs w:val="18"/>
          <w:shd w:fill="F1F3F5" w:color="auto" w:val="clear"/>
          <w:rtl/>
        </w:rPr>
        <w:t xml:space="preserve">‎dbgen check‎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‎dbgen build‎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‎pg_validate.sh‎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‎ddl_metrics.py‎</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‎erd_mermaid.py‎</w:t>
      </w:r>
      <w:r>
        <w:rPr>
          <w:rFonts w:ascii="Arial" w:cs="Arial" w:eastAsia="Arial" w:hAnsi="Arial"/>
          <w:b w:val="false"/>
          <w:bCs w:val="false"/>
          <w:sz w:val="21"/>
          <w:szCs w:val="21"/>
          <w:rtl/>
        </w:rPr>
        <w:t xml:space="preserve"> لتحديث المخططات، ثم إعادة بناء هذه الوثيقة.</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DATABASE DESIGN AND ERD · BankFas · v0.4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394afd22ce9e6c7945c20880b9406609bf5a77f0.png"/><Relationship Id="rId11" Type="http://schemas.openxmlformats.org/officeDocument/2006/relationships/image" Target="media/b75998481ab0ef1db4e242cf4d90e3edd0b0a4e1.png"/><Relationship Id="rId12" Type="http://schemas.openxmlformats.org/officeDocument/2006/relationships/image" Target="media/c5243c44db735c9d729faff26f19525db6e885af.png"/><Relationship Id="rId13" Type="http://schemas.openxmlformats.org/officeDocument/2006/relationships/image" Target="media/c842c9051cd134a0e972866c6c1d833dc2e2fa86.png"/><Relationship Id="rId14" Type="http://schemas.openxmlformats.org/officeDocument/2006/relationships/image" Target="media/f138ff820713f546089e628bcf21fdcb667bfa91.png"/><Relationship Id="rId15" Type="http://schemas.openxmlformats.org/officeDocument/2006/relationships/image" Target="media/1ffc1d2252b4b598b1afe0d227267fc517051315.png"/><Relationship Id="rId16" Type="http://schemas.openxmlformats.org/officeDocument/2006/relationships/image" Target="media/9b3786f8184a09b5f1368696fc307318687913db.png"/><Relationship Id="rId17" Type="http://schemas.openxmlformats.org/officeDocument/2006/relationships/image" Target="media/badc69daba83dbe5931f68b48317c53ab6966240.png"/><Relationship Id="rId18" Type="http://schemas.openxmlformats.org/officeDocument/2006/relationships/image" Target="media/d3f2179fc08ce0eacd8158922885beb09b1d8d13.png"/><Relationship Id="rId19" Type="http://schemas.openxmlformats.org/officeDocument/2006/relationships/image" Target="media/c76002d011352f5395eb0b6c31f09f1d67c59208.png"/><Relationship Id="rId20" Type="http://schemas.openxmlformats.org/officeDocument/2006/relationships/image" Target="media/f4c50df974498ead537ccfd6ca29a95a98fa7484.png"/><Relationship Id="rId21" Type="http://schemas.openxmlformats.org/officeDocument/2006/relationships/image" Target="media/29eb4df0aacf9c0072e337a761f788843d7a80cf.png"/><Relationship Id="rId22" Type="http://schemas.openxmlformats.org/officeDocument/2006/relationships/image" Target="media/08bdee3bcf819dc839c1b65d7a24e0afcf352130.png"/><Relationship Id="rId23" Type="http://schemas.openxmlformats.org/officeDocument/2006/relationships/image" Target="media/053f781cfec5ee877bd32c2ffdc3aae8dd46ee1c.png"/><Relationship Id="rId24" Type="http://schemas.openxmlformats.org/officeDocument/2006/relationships/image" Target="media/8470b75364dcd28479439dd17daa67e1565e226d.png"/><Relationship Id="rId25" Type="http://schemas.openxmlformats.org/officeDocument/2006/relationships/image" Target="media/026d79bf28ca59e4df83d484a44be405f141278f.png"/><Relationship Id="rId26" Type="http://schemas.openxmlformats.org/officeDocument/2006/relationships/image" Target="media/ce4cb11a4565be7d03d6e1638c168ff6cbca80ab.png"/><Relationship Id="rId27" Type="http://schemas.openxmlformats.org/officeDocument/2006/relationships/image" Target="media/cb080cd65b607f7f9633ce1ddc6d1fe9caa73fd5.png"/><Relationship Id="rId28" Type="http://schemas.openxmlformats.org/officeDocument/2006/relationships/image" Target="media/a7b8ed1cdeea67cf394d53d30f27f2b03d16b086.png"/><Relationship Id="rId29" Type="http://schemas.openxmlformats.org/officeDocument/2006/relationships/image" Target="media/fafbd534482467ca795a619256cc040d809678d7.png"/><Relationship Id="rId30" Type="http://schemas.openxmlformats.org/officeDocument/2006/relationships/image" Target="media/19ed210285c6be503a282437430627d0141bf437.png"/><Relationship Id="rId31" Type="http://schemas.openxmlformats.org/officeDocument/2006/relationships/image" Target="media/6151074b201dee05eb38162f85390b819d75990b.png"/><Relationship Id="rId32" Type="http://schemas.openxmlformats.org/officeDocument/2006/relationships/image" Target="media/49cb5193cf21a99ab8f6c97029a00bf1bad3271a.png"/><Relationship Id="rId33" Type="http://schemas.openxmlformats.org/officeDocument/2006/relationships/image" Target="media/e67035773addbfd0d234ddf7bdbd3703eb7b2d01.png"/><Relationship Id="rId34" Type="http://schemas.openxmlformats.org/officeDocument/2006/relationships/image" Target="media/8d5d972816be1a4f7fb7bd461a82351be911260c.png"/><Relationship Id="rId35" Type="http://schemas.openxmlformats.org/officeDocument/2006/relationships/image" Target="media/1dfa69fe80e24e4114061f8d82f7a15cdf46b836.png"/><Relationship Id="rId36" Type="http://schemas.openxmlformats.org/officeDocument/2006/relationships/image" Target="media/22eea4621d189d2ec2ce3de64049d504827489ba.png"/><Relationship Id="rId37" Type="http://schemas.openxmlformats.org/officeDocument/2006/relationships/image" Target="media/51418d538b6808035e0db5c469ea7ba46dffa8f3.png"/><Relationship Id="rId38" Type="http://schemas.openxmlformats.org/officeDocument/2006/relationships/image" Target="media/46a0f19f17d64fe26b4c36522e53db828d08c0e2.png"/><Relationship Id="rId39" Type="http://schemas.openxmlformats.org/officeDocument/2006/relationships/image" Target="media/be2422664b11cc849ef3d82a92cb61fbd44ff584.png"/><Relationship Id="rId40" Type="http://schemas.openxmlformats.org/officeDocument/2006/relationships/image" Target="media/93dccc242007585c67c314a8ec0d81704fe3501f.png"/><Relationship Id="rId41" Type="http://schemas.openxmlformats.org/officeDocument/2006/relationships/image" Target="media/6e4faef8ac35f9cf67360b56acf8ed5d4428738e.png"/><Relationship Id="rId42" Type="http://schemas.openxmlformats.org/officeDocument/2006/relationships/image" Target="media/1e2b41f142148e53cebb38d8af332c67607f10e7.png"/><Relationship Id="rId43" Type="http://schemas.openxmlformats.org/officeDocument/2006/relationships/image" Target="media/76e546e477c4da7d3bb36259438ed6a4d3726402.png"/><Relationship Id="rId44" Type="http://schemas.openxmlformats.org/officeDocument/2006/relationships/image" Target="media/271e0b36918d1081cbb0fb919ffdbe0b3739a561.png"/><Relationship Id="rId45" Type="http://schemas.openxmlformats.org/officeDocument/2006/relationships/image" Target="media/63d48754eed442470525e2402aba12e000d32da3.png"/><Relationship Id="rId46" Type="http://schemas.openxmlformats.org/officeDocument/2006/relationships/image" Target="media/f1c2c34bf83df820e0c42dc07d3ff28846823b78.png"/><Relationship Id="rId47" Type="http://schemas.openxmlformats.org/officeDocument/2006/relationships/image" Target="media/e7206aece210a18d152c06ed614c4fd81914d74c.png"/><Relationship Id="rId48" Type="http://schemas.openxmlformats.org/officeDocument/2006/relationships/image" Target="media/719dcfc4d1a2bb585edcb893ae4bea494650a0f2.png"/><Relationship Id="rId49" Type="http://schemas.openxmlformats.org/officeDocument/2006/relationships/image" Target="media/e017a7b7068131182508c2f4a525c30806afc22f.png"/><Relationship Id="rId50" Type="http://schemas.openxmlformats.org/officeDocument/2006/relationships/image" Target="media/501b67cbb32f47b51061a57cae996b54871e0ca6.png"/><Relationship Id="rId51" Type="http://schemas.openxmlformats.org/officeDocument/2006/relationships/image" Target="media/5603e99f8f2a7cc1938496761df70c8a63a82ac9.png"/><Relationship Id="rId52" Type="http://schemas.openxmlformats.org/officeDocument/2006/relationships/image" Target="media/d32931f60476832bc70843e9d8df92e774a5e348.png"/><Relationship Id="rId53" Type="http://schemas.openxmlformats.org/officeDocument/2006/relationships/image" Target="media/22b7151060330cba0d5582b3c50d902f273639b0.png"/><Relationship Id="rId54" Type="http://schemas.openxmlformats.org/officeDocument/2006/relationships/image" Target="media/ff2cc8eda57f36b5a409b0d74edbdd1205d90248.png"/><Relationship Id="rId55" Type="http://schemas.openxmlformats.org/officeDocument/2006/relationships/image" Target="media/9f2025f81a68afd7e5fd3981a0478aa601d61ab4.png"/><Relationship Id="rId56" Type="http://schemas.openxmlformats.org/officeDocument/2006/relationships/image" Target="media/6d73f64b9dd539249535b0f9316dbfd459d50e5e.png"/><Relationship Id="rId57" Type="http://schemas.openxmlformats.org/officeDocument/2006/relationships/image" Target="media/0c719f21dbf5ac2950b55bf2296b1d7d248fd9b8.png"/><Relationship Id="rId58" Type="http://schemas.openxmlformats.org/officeDocument/2006/relationships/image" Target="media/1cff704b7a56f0926a395c483fd82b150b6f9cfa.png"/><Relationship Id="rId59" Type="http://schemas.openxmlformats.org/officeDocument/2006/relationships/image" Target="media/bc41e29c8a4d4ca258559843ce1d18fed9c7c057.png"/><Relationship Id="rId60" Type="http://schemas.openxmlformats.org/officeDocument/2006/relationships/image" Target="media/494c0f4a1326e3bbc19667850012a84e52403045.png"/><Relationship Id="rId61" Type="http://schemas.openxmlformats.org/officeDocument/2006/relationships/image" Target="media/f3c6a99e2f66df4dbe72197e44ae37e9973bbd72.png"/><Relationship Id="rId62" Type="http://schemas.openxmlformats.org/officeDocument/2006/relationships/image" Target="media/d539d1be88e22a9ddb39b43fe087de6d95fef4aa.png"/><Relationship Id="rId63" Type="http://schemas.openxmlformats.org/officeDocument/2006/relationships/image" Target="media/7ff803ad906bcfa2ebcbadf7dabb9605bc925441.png"/><Relationship Id="rId64" Type="http://schemas.openxmlformats.org/officeDocument/2006/relationships/image" Target="media/32e4178cfcb0982981bc4df131be60ca723fa475.png"/><Relationship Id="rId65" Type="http://schemas.openxmlformats.org/officeDocument/2006/relationships/image" Target="media/7300a75f1e07f1ea9aec9b51ff08678436fe43ba.png"/><Relationship Id="rId66" Type="http://schemas.openxmlformats.org/officeDocument/2006/relationships/image" Target="media/96ebc6fa69822558c7c239d6a27c23f8a70b39d4.png"/><Relationship Id="rId67" Type="http://schemas.openxmlformats.org/officeDocument/2006/relationships/image" Target="media/29590e30561ea7b950cc1ca528df7a1885be854b.png"/><Relationship Id="rId68" Type="http://schemas.openxmlformats.org/officeDocument/2006/relationships/image" Target="media/c3923270745ec1d61733243ee7111b3b6e68e05d.png"/><Relationship Id="rId69" Type="http://schemas.openxmlformats.org/officeDocument/2006/relationships/image" Target="media/fe9d9a8186638b18fae1e422875fcbe2eb728097.png"/><Relationship Id="rId70" Type="http://schemas.openxmlformats.org/officeDocument/2006/relationships/image" Target="media/b0939dc5f64d9418898980eb654a0547e53d205d.png"/><Relationship Id="rId71" Type="http://schemas.openxmlformats.org/officeDocument/2006/relationships/image" Target="media/539a0e0258e41a6d83d02cbbc473021e62781cba.png"/><Relationship Id="rId72" Type="http://schemas.openxmlformats.org/officeDocument/2006/relationships/image" Target="media/c08708dd425ff7caf905c156d869c26b83ec0603.png"/><Relationship Id="rId73" Type="http://schemas.openxmlformats.org/officeDocument/2006/relationships/image" Target="media/c07c181f6bb574f7b888c1c4f10db1da4b196022.png"/><Relationship Id="rId74" Type="http://schemas.openxmlformats.org/officeDocument/2006/relationships/image" Target="media/7008bc244f86ea28562c3e07ecd466b89506f6b3.png"/><Relationship Id="rId7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DESIGN AND ERD — BankFas</dc:title>
  <dc:creator>Claude</dc:creator>
  <dc:description>BankFas database design document</dc:description>
  <cp:lastModifiedBy>Un-named</cp:lastModifiedBy>
  <cp:revision>1</cp:revision>
  <dcterms:created xsi:type="dcterms:W3CDTF">2026-10-19T00:07:05.811Z</dcterms:created>
  <dcterms:modified xsi:type="dcterms:W3CDTF">2026-10-19T00:07:05.811Z</dcterms:modified>
</cp:coreProperties>
</file>

<file path=docProps/custom.xml><?xml version="1.0" encoding="utf-8"?>
<Properties xmlns="http://schemas.openxmlformats.org/officeDocument/2006/custom-properties" xmlns:vt="http://schemas.openxmlformats.org/officeDocument/2006/docPropsVTypes"/>
</file>