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(213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481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خبير ائتمان مستقل</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213</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3,612 مُعرَّفة في النماذج + الأعمدة الآلية = </w:t>
            </w:r>
            <w:r>
              <w:rPr>
                <w:rFonts w:ascii="Arial" w:cs="Arial" w:eastAsia="Arial" w:hAnsi="Arial"/>
                <w:b/>
                <w:bCs/>
                <w:sz w:val="18"/>
                <w:szCs w:val="18"/>
                <w:rtl/>
              </w:rPr>
              <w:t xml:space="preserve">4,165</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829</w:t>
            </w:r>
            <w:r>
              <w:rPr>
                <w:rFonts w:ascii="Arial" w:cs="Arial" w:eastAsia="Arial" w:hAnsi="Arial"/>
                <w:b w:val="false"/>
                <w:bCs w:val="false"/>
                <w:sz w:val="18"/>
                <w:szCs w:val="18"/>
                <w:rtl/>
              </w:rPr>
              <w:t xml:space="preserve"> = 194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549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+ 86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772 غير مجمّع (229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1,359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448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+ 148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 (189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الـ21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الـ549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55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(164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(39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551 مفهرسًا و85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في 046 (ADR 0017) · لا يكتب نتائج التقييم ولا عوامله ولا ملاحظاته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046)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الستة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العوامل والملاحظات وأعمدة النتيجة (ADR 0017)</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الجداول العشرة للتقييم الائتماني (ADR 0017)، الستة الأولى منها عالمية للمنصة.</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4"/>
        <w:gridCol w:w="3922"/>
        <w:gridCol w:w="2258"/>
      </w:tblGrid>
      <w:tr>
        <w:trPr>
          <w:cantSplit/>
          <w:tblHeader/>
        </w:trPr>
        <w:tc>
          <w:tcPr>
            <w:tcW w:type="dxa" w:w="3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3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3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ومجالاتها على الخط) و</w:t>
            </w:r>
            <w:r>
              <w:rPr>
                <w:rFonts w:ascii="Courier New" w:cs="Courier New" w:eastAsia="Courier New" w:hAnsi="Courier New"/>
                <w:b w:val="false"/>
                <w:bCs w:val="false"/>
                <w:color w:val="1F2937"/>
                <w:sz w:val="16"/>
                <w:szCs w:val="16"/>
                <w:shd w:fill="F1F3F5" w:color="auto" w:val="clear"/>
                <w:rtl/>
              </w:rPr>
              <w:t xml:space="preserve">‎fin.CreditMetric‎</w:t>
            </w:r>
            <w:r>
              <w:rPr>
                <w:rFonts w:ascii="Arial" w:cs="Arial" w:eastAsia="Arial" w:hAnsi="Arial"/>
                <w:b w:val="false"/>
                <w:bCs w:val="false"/>
                <w:sz w:val="18"/>
                <w:szCs w:val="18"/>
                <w:rtl/>
              </w:rPr>
              <w:t xml:space="preserve"> (36 مقياسًا بتعريفاتها ونصوصها) و</w:t>
            </w:r>
            <w:r>
              <w:rPr>
                <w:rFonts w:ascii="Courier New" w:cs="Courier New" w:eastAsia="Courier New" w:hAnsi="Courier New"/>
                <w:b w:val="false"/>
                <w:bCs w:val="false"/>
                <w:color w:val="1F2937"/>
                <w:sz w:val="16"/>
                <w:szCs w:val="16"/>
                <w:shd w:fill="F1F3F5" w:color="auto" w:val="clear"/>
                <w:rtl/>
              </w:rPr>
              <w:t xml:space="preserve">‎fin.Scorecard‎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(الأوزان وحدود الشبكات التسعة)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(حدود مخاطر البنود)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(التنزيل والسقوف بمراحلها):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الدرجات والمقاييس التي تستعملها (50066)</w:t>
            </w:r>
          </w:p>
        </w:tc>
      </w:tr>
      <w:tr>
        <w:trPr>
          <w:cantSplit/>
        </w:trPr>
        <w:tc>
          <w:tcPr>
            <w:tcW w:type="dxa" w:w="3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3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قائمة المقارنة والتاريخ والسعر، والنتائج (التغطية، والدرجة المالية والمؤشرة والمنفردة والنهائية، والتنزيل والسقف والدعم والتجاوز، والخلاصة، واللقطة، وبصمة المدخلات)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3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3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العاملان النوعيان ودعم المجموعة والتجاوز، كلٌّ بمبرّر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النوعي من البطاقة؛ الدعم من تقييم معتمد للأم أو للقابضة الموحِّدة (50065)؛ والتجاوز −2 إلى +1</w:t>
            </w:r>
          </w:p>
        </w:tc>
      </w:tr>
      <w:tr>
        <w:trPr>
          <w:cantSplit/>
        </w:trPr>
        <w:tc>
          <w:tcPr>
            <w:tcW w:type="dxa" w:w="3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p>
        </w:tc>
        <w:tc>
          <w:tcPr>
            <w:tcW w:type="dxa" w:w="3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ووزنه ومساهمته، والملاحظات بأنواعها ونصوصها</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w:t>
            </w:r>
          </w:p>
        </w:tc>
      </w:tr>
      <w:tr>
        <w:trPr>
          <w:cantSplit/>
        </w:trPr>
        <w:tc>
          <w:tcPr>
            <w:tcW w:type="dxa" w:w="3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‎fin.usp_ComputeCreditAssessment‎</w:t>
            </w:r>
          </w:p>
        </w:tc>
        <w:tc>
          <w:tcPr>
            <w:tcW w:type="dxa" w:w="3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 بحالاتها الحدية، والدرجات على الخط، والتغطية الكمية، والتعديلات بترتيبها، والملاحظات من البطاقة والبنود والتعهدات والتحويلات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p>
        </w:tc>
      </w:tr>
      <w:tr>
        <w:trPr>
          <w:cantSplit/>
        </w:trPr>
        <w:tc>
          <w:tcPr>
            <w:tcW w:type="dxa" w:w="3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3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(التقييم الائتماني، ADR 0017)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و36 مقياسًا، وثلاث بطاقات قطاعية معتمدة بأوزانها وشبكاتها وقواعد بنودها وتعديلاتها، ADR 0017).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213 جدولًا / 3,612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213 جدولًا، 274 منحة مولّدة، 108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551 مفهرسًا، 85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12 (CA1–CA12، ADR 0017؛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الست عشرة للمراجعة المستقلة في الخطوة 3)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معايرة بخبرة المحلل وروجعت مراجعة مستقلة، بلا بيانات تعثر؛ والقوائم المرحلية تُحوَّل إلى سنة بالضرب؛ ولا حدود غير مسحوبة ولا تأخر في السداد في المقاييس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أسئلة للمالك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وتتحقق إدارة مخاطر الائتمان في البنك من المعايرة قبل استعمال الدرجة في قرار</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2026-10-19T00:07:03.626Z</dcterms:created>
  <dcterms:modified xsi:type="dcterms:W3CDTF">2026-10-19T00:07:03.626Z</dcterms:modified>
</cp:coreProperties>
</file>

<file path=docProps/custom.xml><?xml version="1.0" encoding="utf-8"?>
<Properties xmlns="http://schemas.openxmlformats.org/officeDocument/2006/custom-properties" xmlns:vt="http://schemas.openxmlformats.org/officeDocument/2006/docPropsVTypes"/>
</file>