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195 tables · 20 schemas · 764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195 tables in 20 schemas; 764 foreign keys; 515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195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12</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79 diagrams cover 195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39</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6</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21</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platform operators</w:t>
      </w:r>
    </w:p>
    <w:p>
      <w:pPr>
        <w:spacing w:after="80"/>
      </w:pPr>
      <w:r>
        <w:rPr>
          <w:rFonts w:ascii="Arial" w:hAnsi="Arial"/>
          <w:b w:val="0"/>
          <w:i/>
          <w:color w:val="6B7280"/>
          <w:sz w:val="18"/>
        </w:rPr>
        <w:t>plat schema: tenants, subscriptions, modules, support access, platform operators</w:t>
      </w:r>
    </w:p>
    <w:p>
      <w:pPr>
        <w:keepNext/>
        <w:jc w:val="center"/>
      </w:pPr>
      <w:r>
        <w:drawing>
          <wp:inline xmlns:a="http://schemas.openxmlformats.org/drawingml/2006/main" xmlns:pic="http://schemas.openxmlformats.org/drawingml/2006/picture">
            <wp:extent cx="6292850" cy="5199706"/>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199706"/>
                    </a:xfrm>
                    <a:prstGeom prst="rect"/>
                  </pic:spPr>
                </pic:pic>
              </a:graphicData>
            </a:graphic>
          </wp:inline>
        </w:drawing>
      </w:r>
    </w:p>
    <w:p>
      <w:pPr>
        <w:spacing w:after="120"/>
        <w:jc w:val="center"/>
      </w:pPr>
      <w:r>
        <w:rPr>
          <w:rFonts w:ascii="Arial" w:hAnsi="Arial"/>
          <w:b w:val="0"/>
          <w:i/>
          <w:color w:val="6B7280"/>
          <w:sz w:val="16"/>
        </w:rPr>
        <w:t>Figure 2  Tenancy, plans and platform operators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plat.Plan</w:t>
            </w:r>
          </w:p>
        </w:tc>
        <w:tc>
          <w:tcPr>
            <w:tcW w:type="dxa" w:w="6690"/>
          </w:tcPr>
          <w:p>
            <w:pPr>
              <w:spacing w:after="0" w:before="0"/>
            </w:pPr>
            <w:r/>
            <w:r>
              <w:rPr>
                <w:rFonts w:ascii="Arial" w:hAnsi="Arial"/>
                <w:b w:val="0"/>
                <w:sz w:val="15"/>
              </w:rPr>
              <w:t>Subscription plan: a bundle of modules and soft limits (FR-PLT-003/004, Q-PLT-11)</w:t>
            </w:r>
          </w:p>
        </w:tc>
        <w:tc>
          <w:tcPr>
            <w:tcW w:type="dxa" w:w="2948"/>
          </w:tcPr>
          <w:p>
            <w:pPr>
              <w:spacing w:after="0" w:before="0"/>
            </w:pPr>
            <w:r/>
            <w:r>
              <w:rPr>
                <w:rFonts w:ascii="Arial" w:hAnsi="Arial"/>
                <w:b w:val="0"/>
                <w:sz w:val="15"/>
              </w:rPr>
              <w:t>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plat.PlanModule</w:t>
            </w:r>
          </w:p>
        </w:tc>
        <w:tc>
          <w:tcPr>
            <w:tcW w:type="dxa" w:w="6690"/>
            <w:shd w:val="clear" w:color="auto" w:fill="E8EEF6"/>
          </w:tcPr>
          <w:p>
            <w:pPr>
              <w:spacing w:after="0" w:before="0"/>
            </w:pPr>
            <w:r/>
            <w:r>
              <w:rPr>
                <w:rFonts w:ascii="Arial" w:hAnsi="Arial"/>
                <w:b w:val="0"/>
                <w:sz w:val="15"/>
              </w:rPr>
              <w:t>Modules included in a plan (replaces the Plan.IncludedModules JSON column)</w:t>
            </w:r>
          </w:p>
        </w:tc>
        <w:tc>
          <w:tcPr>
            <w:tcW w:type="dxa" w:w="2948"/>
            <w:shd w:val="clear" w:color="auto" w:fill="E8EEF6"/>
          </w:tcPr>
          <w:p>
            <w:pPr>
              <w:spacing w:after="0" w:before="0"/>
            </w:pPr>
            <w:r/>
            <w:r>
              <w:rPr>
                <w:rFonts w:ascii="Arial" w:hAnsi="Arial"/>
                <w:b w:val="0"/>
                <w:sz w:val="15"/>
              </w:rPr>
              <w:t>PlanId, ModuleCode</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plat.ReservedSubdomain</w:t>
            </w:r>
          </w:p>
        </w:tc>
        <w:tc>
          <w:tcPr>
            <w:tcW w:type="dxa" w:w="6690"/>
            <w:shd w:val="clear" w:color="auto" w:fill="E8EEF6"/>
          </w:tcPr>
          <w:p>
            <w:pPr>
              <w:spacing w:after="0" w:before="0"/>
            </w:pPr>
            <w:r/>
            <w:r>
              <w:rPr>
                <w:rFonts w:ascii="Arial" w:hAnsi="Arial"/>
                <w:b w:val="0"/>
                <w:sz w:val="15"/>
              </w:rPr>
              <w:t>Subdomains reserved for the system: www, admin, api, app and others (FR-PLT-046)</w:t>
            </w:r>
          </w:p>
        </w:tc>
        <w:tc>
          <w:tcPr>
            <w:tcW w:type="dxa" w:w="2948"/>
            <w:shd w:val="clear" w:color="auto" w:fill="E8EEF6"/>
          </w:tcPr>
          <w:p>
            <w:pPr>
              <w:spacing w:after="0" w:before="0"/>
            </w:pPr>
            <w:r/>
            <w:r>
              <w:rPr>
                <w:rFonts w:ascii="Arial" w:hAnsi="Arial"/>
                <w:b w:val="0"/>
                <w:sz w:val="15"/>
              </w:rPr>
              <w:t>ReservedSubdomainId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plat.SupportAccessGrant</w:t>
            </w:r>
          </w:p>
        </w:tc>
        <w:tc>
          <w:tcPr>
            <w:tcW w:type="dxa" w:w="6690"/>
          </w:tcPr>
          <w:p>
            <w:pPr>
              <w:spacing w:after="0" w:before="0"/>
            </w:pPr>
            <w:r/>
            <w:r>
              <w:rPr>
                <w:rFonts w:ascii="Arial" w:hAnsi="Arial"/>
                <w:b w:val="0"/>
                <w:sz w:val="15"/>
              </w:rPr>
              <w:t>Temporary support access, activated by the tenant's account administrator (FR-PLT-007, BR-PLT-017)</w:t>
            </w:r>
          </w:p>
        </w:tc>
        <w:tc>
          <w:tcPr>
            <w:tcW w:type="dxa" w:w="2948"/>
          </w:tcPr>
          <w:p>
            <w:pPr>
              <w:spacing w:after="0" w:before="0"/>
            </w:pPr>
            <w:r/>
            <w:r>
              <w:rPr>
                <w:rFonts w:ascii="Arial" w:hAnsi="Arial"/>
                <w:b w:val="0"/>
                <w:sz w:val="15"/>
              </w:rPr>
              <w:t>SupportAccessGrantId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w:t>
            </w:r>
          </w:p>
        </w:tc>
        <w:tc>
          <w:tcPr>
            <w:tcW w:type="dxa" w:w="6690"/>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shd w:val="clear" w:color="auto" w:fill="E8EEF6"/>
          </w:tcPr>
          <w:p>
            <w:pPr>
              <w:spacing w:after="0" w:before="0"/>
            </w:pPr>
            <w:r/>
            <w:r>
              <w:rPr>
                <w:rFonts w:ascii="Arial" w:hAnsi="Arial"/>
                <w:b w:val="0"/>
                <w:sz w:val="15"/>
              </w:rPr>
              <w:t>TenantId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plat.TenantModule</w:t>
            </w:r>
          </w:p>
        </w:tc>
        <w:tc>
          <w:tcPr>
            <w:tcW w:type="dxa" w:w="6690"/>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tcPr>
          <w:p>
            <w:pPr>
              <w:spacing w:after="0" w:before="0"/>
            </w:pPr>
            <w:r/>
            <w:r>
              <w:rPr>
                <w:rFonts w:ascii="Arial" w:hAnsi="Arial"/>
                <w:b w:val="0"/>
                <w:sz w:val="15"/>
              </w:rPr>
              <w:t>TenantModuleId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GrantedBy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RevokedBy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plat.TenantModule</w:t>
            </w:r>
          </w:p>
        </w:tc>
        <w:tc>
          <w:tcPr>
            <w:tcW w:type="dxa" w:w="2948"/>
          </w:tcPr>
          <w:p>
            <w:pPr>
              <w:spacing w:after="0" w:before="0"/>
            </w:pPr>
            <w:r/>
            <w:r>
              <w:rPr>
                <w:rFonts w:ascii="Arial" w:hAnsi="Arial"/>
                <w:b w:val="0"/>
                <w:sz w:val="15"/>
              </w:rPr>
              <w:t>EnabledBy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3" name="Picture 3"/>
            <wp:cNvGraphicFramePr>
              <a:graphicFrameLocks noChangeAspect="1"/>
            </wp:cNvGraphicFramePr>
            <a:graphic>
              <a:graphicData uri="http://schemas.openxmlformats.org/drawingml/2006/picture">
                <pic:pic>
                  <pic:nvPicPr>
                    <pic:cNvPr id="0" name="m0_identity.png"/>
                    <pic:cNvPicPr/>
                  </pic:nvPicPr>
                  <pic:blipFill>
                    <a:blip r:embed="rId13"/>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3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4" name="Picture 4"/>
            <wp:cNvGraphicFramePr>
              <a:graphicFrameLocks noChangeAspect="1"/>
            </wp:cNvGraphicFramePr>
            <a:graphic>
              <a:graphicData uri="http://schemas.openxmlformats.org/drawingml/2006/picture">
                <pic:pic>
                  <pic:nvPicPr>
                    <pic:cNvPr id="0" name="m0_sessions_1.png"/>
                    <pic:cNvPicPr/>
                  </pic:nvPicPr>
                  <pic:blipFill>
                    <a:blip r:embed="rId14"/>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4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the permanent trace is in aud.AuditLog (BR-PLT-005)</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5" name="Picture 5"/>
            <wp:cNvGraphicFramePr>
              <a:graphicFrameLocks noChangeAspect="1"/>
            </wp:cNvGraphicFramePr>
            <a:graphic>
              <a:graphicData uri="http://schemas.openxmlformats.org/drawingml/2006/picture">
                <pic:pic>
                  <pic:nvPicPr>
                    <pic:cNvPr id="0" name="m0_sessions_2.png"/>
                    <pic:cNvPicPr/>
                  </pic:nvPicPr>
                  <pic:blipFill>
                    <a:blip r:embed="rId15"/>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5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or password-reset token (30 minutes) (FR-PLT-013)</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863590" cy="3632017"/>
            <wp:docPr id="6" name="Picture 6"/>
            <wp:cNvGraphicFramePr>
              <a:graphicFrameLocks noChangeAspect="1"/>
            </wp:cNvGraphicFramePr>
            <a:graphic>
              <a:graphicData uri="http://schemas.openxmlformats.org/drawingml/2006/picture">
                <pic:pic>
                  <pic:nvPicPr>
                    <pic:cNvPr id="0" name="m0_sessions_3.png"/>
                    <pic:cNvPicPr/>
                  </pic:nvPicPr>
                  <pic:blipFill>
                    <a:blip r:embed="rId16"/>
                    <a:stretch>
                      <a:fillRect/>
                    </a:stretch>
                  </pic:blipFill>
                  <pic:spPr>
                    <a:xfrm>
                      <a:off x="0" y="0"/>
                      <a:ext cx="5863590" cy="3632017"/>
                    </a:xfrm>
                    <a:prstGeom prst="rect"/>
                  </pic:spPr>
                </pic:pic>
              </a:graphicData>
            </a:graphic>
          </wp:inline>
        </w:drawing>
      </w:r>
    </w:p>
    <w:p>
      <w:pPr>
        <w:spacing w:after="120"/>
        <w:jc w:val="center"/>
      </w:pPr>
      <w:r>
        <w:rPr>
          <w:rFonts w:ascii="Arial" w:hAnsi="Arial"/>
          <w:b w:val="0"/>
          <w:i/>
          <w:color w:val="6B7280"/>
          <w:sz w:val="16"/>
        </w:rPr>
        <w:t>Figure 6  Sessions, keys and authentication attempts (part 3 of 3)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094730" cy="1941499"/>
            <wp:docPr id="7" name="Picture 7"/>
            <wp:cNvGraphicFramePr>
              <a:graphicFrameLocks noChangeAspect="1"/>
            </wp:cNvGraphicFramePr>
            <a:graphic>
              <a:graphicData uri="http://schemas.openxmlformats.org/drawingml/2006/picture">
                <pic:pic>
                  <pic:nvPicPr>
                    <pic:cNvPr id="0" name="m0_audit_docs_1.png"/>
                    <pic:cNvPicPr/>
                  </pic:nvPicPr>
                  <pic:blipFill>
                    <a:blip r:embed="rId17"/>
                    <a:stretch>
                      <a:fillRect/>
                    </a:stretch>
                  </pic:blipFill>
                  <pic:spPr>
                    <a:xfrm>
                      <a:off x="0" y="0"/>
                      <a:ext cx="6094730" cy="1941499"/>
                    </a:xfrm>
                    <a:prstGeom prst="rect"/>
                  </pic:spPr>
                </pic:pic>
              </a:graphicData>
            </a:graphic>
          </wp:inline>
        </w:drawing>
      </w:r>
    </w:p>
    <w:p>
      <w:pPr>
        <w:spacing w:after="120"/>
        <w:jc w:val="center"/>
      </w:pPr>
      <w:r>
        <w:rPr>
          <w:rFonts w:ascii="Arial" w:hAnsi="Arial"/>
          <w:b w:val="0"/>
          <w:i/>
          <w:color w:val="6B7280"/>
          <w:sz w:val="16"/>
        </w:rPr>
        <w:t>Figure 7  Audit trail and documents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642100" cy="3853083"/>
            <wp:docPr id="8" name="Picture 8"/>
            <wp:cNvGraphicFramePr>
              <a:graphicFrameLocks noChangeAspect="1"/>
            </wp:cNvGraphicFramePr>
            <a:graphic>
              <a:graphicData uri="http://schemas.openxmlformats.org/drawingml/2006/picture">
                <pic:pic>
                  <pic:nvPicPr>
                    <pic:cNvPr id="0" name="m0_audit_docs_2.png"/>
                    <pic:cNvPicPr/>
                  </pic:nvPicPr>
                  <pic:blipFill>
                    <a:blip r:embed="rId18"/>
                    <a:stretch>
                      <a:fillRect/>
                    </a:stretch>
                  </pic:blipFill>
                  <pic:spPr>
                    <a:xfrm>
                      <a:off x="0" y="0"/>
                      <a:ext cx="6642100" cy="3853083"/>
                    </a:xfrm>
                    <a:prstGeom prst="rect"/>
                  </pic:spPr>
                </pic:pic>
              </a:graphicData>
            </a:graphic>
          </wp:inline>
        </w:drawing>
      </w:r>
    </w:p>
    <w:p>
      <w:pPr>
        <w:spacing w:after="120"/>
        <w:jc w:val="center"/>
      </w:pPr>
      <w:r>
        <w:rPr>
          <w:rFonts w:ascii="Arial" w:hAnsi="Arial"/>
          <w:b w:val="0"/>
          <w:i/>
          <w:color w:val="6B7280"/>
          <w:sz w:val="16"/>
        </w:rPr>
        <w:t>Figure 8  Audit trail and documents (part 2 of 3)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3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196330" cy="3345436"/>
            <wp:docPr id="9" name="Picture 9"/>
            <wp:cNvGraphicFramePr>
              <a:graphicFrameLocks noChangeAspect="1"/>
            </wp:cNvGraphicFramePr>
            <a:graphic>
              <a:graphicData uri="http://schemas.openxmlformats.org/drawingml/2006/picture">
                <pic:pic>
                  <pic:nvPicPr>
                    <pic:cNvPr id="0" name="m0_audit_docs_3.png"/>
                    <pic:cNvPicPr/>
                  </pic:nvPicPr>
                  <pic:blipFill>
                    <a:blip r:embed="rId19"/>
                    <a:stretch>
                      <a:fillRect/>
                    </a:stretch>
                  </pic:blipFill>
                  <pic:spPr>
                    <a:xfrm>
                      <a:off x="0" y="0"/>
                      <a:ext cx="6196330" cy="3345436"/>
                    </a:xfrm>
                    <a:prstGeom prst="rect"/>
                  </pic:spPr>
                </pic:pic>
              </a:graphicData>
            </a:graphic>
          </wp:inline>
        </w:drawing>
      </w:r>
    </w:p>
    <w:p>
      <w:pPr>
        <w:spacing w:after="120"/>
        <w:jc w:val="center"/>
      </w:pPr>
      <w:r>
        <w:rPr>
          <w:rFonts w:ascii="Arial" w:hAnsi="Arial"/>
          <w:b w:val="0"/>
          <w:i/>
          <w:color w:val="6B7280"/>
          <w:sz w:val="16"/>
        </w:rPr>
        <w:t>Figure 9  Audit trail and documents (part 3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doc.DocumentLink</w:t>
            </w:r>
          </w:p>
        </w:tc>
        <w:tc>
          <w:tcPr>
            <w:tcW w:type="dxa" w:w="6690"/>
          </w:tcPr>
          <w:p>
            <w:pPr>
              <w:spacing w:after="0" w:before="0"/>
            </w:pPr>
            <w:r/>
            <w:r>
              <w:rPr>
                <w:rFonts w:ascii="Arial" w:hAnsi="Arial"/>
                <w:b w:val="0"/>
                <w:sz w:val="15"/>
              </w:rPr>
              <w:t>Links a document to any entity with a role and a reference page; unlinking is logical (FR-PLT-028)</w:t>
            </w:r>
          </w:p>
        </w:tc>
        <w:tc>
          <w:tcPr>
            <w:tcW w:type="dxa" w:w="2948"/>
          </w:tcPr>
          <w:p>
            <w:pPr>
              <w:spacing w:after="0" w:before="0"/>
            </w:pPr>
            <w:r/>
            <w:r>
              <w:rPr>
                <w:rFonts w:ascii="Arial" w:hAnsi="Arial"/>
                <w:b w:val="0"/>
                <w:sz w:val="15"/>
              </w:rPr>
              <w:t>DocumentLinkId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doc.DocumentVersion</w:t>
            </w:r>
          </w:p>
        </w:tc>
        <w:tc>
          <w:tcPr>
            <w:tcW w:type="dxa" w:w="6690"/>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2948"/>
            <w:shd w:val="clear" w:color="auto" w:fill="E8EEF6"/>
          </w:tcPr>
          <w:p>
            <w:pPr>
              <w:spacing w:after="0" w:before="0"/>
            </w:pPr>
            <w:r/>
            <w:r>
              <w:rPr>
                <w:rFonts w:ascii="Arial" w:hAnsi="Arial"/>
                <w:b w:val="0"/>
                <w:sz w:val="15"/>
              </w:rPr>
              <w:t>DocumentVersionId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3229932"/>
            <wp:docPr id="10" name="Picture 10"/>
            <wp:cNvGraphicFramePr>
              <a:graphicFrameLocks noChangeAspect="1"/>
            </wp:cNvGraphicFramePr>
            <a:graphic>
              <a:graphicData uri="http://schemas.openxmlformats.org/drawingml/2006/picture">
                <pic:pic>
                  <pic:nvPicPr>
                    <pic:cNvPr id="0" name="m0_config_1.png"/>
                    <pic:cNvPicPr/>
                  </pic:nvPicPr>
                  <pic:blipFill>
                    <a:blip r:embed="rId20"/>
                    <a:stretch>
                      <a:fillRect/>
                    </a:stretch>
                  </pic:blipFill>
                  <pic:spPr>
                    <a:xfrm>
                      <a:off x="0" y="0"/>
                      <a:ext cx="5965190" cy="3229932"/>
                    </a:xfrm>
                    <a:prstGeom prst="rect"/>
                  </pic:spPr>
                </pic:pic>
              </a:graphicData>
            </a:graphic>
          </wp:inline>
        </w:drawing>
      </w:r>
    </w:p>
    <w:p>
      <w:pPr>
        <w:spacing w:after="120"/>
        <w:jc w:val="center"/>
      </w:pPr>
      <w:r>
        <w:rPr>
          <w:rFonts w:ascii="Arial" w:hAnsi="Arial"/>
          <w:b w:val="0"/>
          <w:i/>
          <w:color w:val="6B7280"/>
          <w:sz w:val="16"/>
        </w:rPr>
        <w:t>Figure 10  Configuration and background jobs (part 1 of 3)  ·  3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2650" cy="7869867"/>
            <wp:docPr id="11" name="Picture 11"/>
            <wp:cNvGraphicFramePr>
              <a:graphicFrameLocks noChangeAspect="1"/>
            </wp:cNvGraphicFramePr>
            <a:graphic>
              <a:graphicData uri="http://schemas.openxmlformats.org/drawingml/2006/picture">
                <pic:pic>
                  <pic:nvPicPr>
                    <pic:cNvPr id="0" name="m0_config_2.png"/>
                    <pic:cNvPicPr/>
                  </pic:nvPicPr>
                  <pic:blipFill>
                    <a:blip r:embed="rId21"/>
                    <a:stretch>
                      <a:fillRect/>
                    </a:stretch>
                  </pic:blipFill>
                  <pic:spPr>
                    <a:xfrm>
                      <a:off x="0" y="0"/>
                      <a:ext cx="5962650" cy="7869867"/>
                    </a:xfrm>
                    <a:prstGeom prst="rect"/>
                  </pic:spPr>
                </pic:pic>
              </a:graphicData>
            </a:graphic>
          </wp:inline>
        </w:drawing>
      </w:r>
    </w:p>
    <w:p>
      <w:pPr>
        <w:spacing w:after="120"/>
        <w:jc w:val="center"/>
      </w:pPr>
      <w:r>
        <w:rPr>
          <w:rFonts w:ascii="Arial" w:hAnsi="Arial"/>
          <w:b w:val="0"/>
          <w:i/>
          <w:color w:val="6B7280"/>
          <w:sz w:val="16"/>
        </w:rPr>
        <w:t>Figure 11  Configuration and background jobs (part 2 of 3)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3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2" name="Picture 12"/>
            <wp:cNvGraphicFramePr>
              <a:graphicFrameLocks noChangeAspect="1"/>
            </wp:cNvGraphicFramePr>
            <a:graphic>
              <a:graphicData uri="http://schemas.openxmlformats.org/drawingml/2006/picture">
                <pic:pic>
                  <pic:nvPicPr>
                    <pic:cNvPr id="0" name="m0_config_3.png"/>
                    <pic:cNvPicPr/>
                  </pic:nvPicPr>
                  <pic:blipFill>
                    <a:blip r:embed="rId22"/>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12  Configuration and background jobs (part 3 of 3)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3" name="Picture 13"/>
            <wp:cNvGraphicFramePr>
              <a:graphicFrameLocks noChangeAspect="1"/>
            </wp:cNvGraphicFramePr>
            <a:graphic>
              <a:graphicData uri="http://schemas.openxmlformats.org/drawingml/2006/picture">
                <pic:pic>
                  <pic:nvPicPr>
                    <pic:cNvPr id="0" name="m1_company_1.png"/>
                    <pic:cNvPicPr/>
                  </pic:nvPicPr>
                  <pic:blipFill>
                    <a:blip r:embed="rId23"/>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13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4" name="Picture 14"/>
            <wp:cNvGraphicFramePr>
              <a:graphicFrameLocks noChangeAspect="1"/>
            </wp:cNvGraphicFramePr>
            <a:graphic>
              <a:graphicData uri="http://schemas.openxmlformats.org/drawingml/2006/picture">
                <pic:pic>
                  <pic:nvPicPr>
                    <pic:cNvPr id="0" name="m1_company_2.png"/>
                    <pic:cNvPicPr/>
                  </pic:nvPicPr>
                  <pic:blipFill>
                    <a:blip r:embed="rId24"/>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14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5" name="Picture 15"/>
            <wp:cNvGraphicFramePr>
              <a:graphicFrameLocks noChangeAspect="1"/>
            </wp:cNvGraphicFramePr>
            <a:graphic>
              <a:graphicData uri="http://schemas.openxmlformats.org/drawingml/2006/picture">
                <pic:pic>
                  <pic:nvPicPr>
                    <pic:cNvPr id="0" name="m1_company_3.png"/>
                    <pic:cNvPicPr/>
                  </pic:nvPicPr>
                  <pic:blipFill>
                    <a:blip r:embed="rId25"/>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15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6" name="Picture 16"/>
            <wp:cNvGraphicFramePr>
              <a:graphicFrameLocks noChangeAspect="1"/>
            </wp:cNvGraphicFramePr>
            <a:graphic>
              <a:graphicData uri="http://schemas.openxmlformats.org/drawingml/2006/picture">
                <pic:pic>
                  <pic:nvPicPr>
                    <pic:cNvPr id="0" name="m1_company_kyc_1.png"/>
                    <pic:cNvPicPr/>
                  </pic:nvPicPr>
                  <pic:blipFill>
                    <a:blip r:embed="rId26"/>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16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7" name="Picture 17"/>
            <wp:cNvGraphicFramePr>
              <a:graphicFrameLocks noChangeAspect="1"/>
            </wp:cNvGraphicFramePr>
            <a:graphic>
              <a:graphicData uri="http://schemas.openxmlformats.org/drawingml/2006/picture">
                <pic:pic>
                  <pic:nvPicPr>
                    <pic:cNvPr id="0" name="m1_company_kyc_2.png"/>
                    <pic:cNvPicPr/>
                  </pic:nvPicPr>
                  <pic:blipFill>
                    <a:blip r:embed="rId27"/>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17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8" name="Picture 18"/>
            <wp:cNvGraphicFramePr>
              <a:graphicFrameLocks noChangeAspect="1"/>
            </wp:cNvGraphicFramePr>
            <a:graphic>
              <a:graphicData uri="http://schemas.openxmlformats.org/drawingml/2006/picture">
                <pic:pic>
                  <pic:nvPicPr>
                    <pic:cNvPr id="0" name="m1_party_1.png"/>
                    <pic:cNvPicPr/>
                  </pic:nvPicPr>
                  <pic:blipFill>
                    <a:blip r:embed="rId28"/>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18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9" name="Picture 19"/>
            <wp:cNvGraphicFramePr>
              <a:graphicFrameLocks noChangeAspect="1"/>
            </wp:cNvGraphicFramePr>
            <a:graphic>
              <a:graphicData uri="http://schemas.openxmlformats.org/drawingml/2006/picture">
                <pic:pic>
                  <pic:nvPicPr>
                    <pic:cNvPr id="0" name="m1_party_2.png"/>
                    <pic:cNvPicPr/>
                  </pic:nvPicPr>
                  <pic:blipFill>
                    <a:blip r:embed="rId29"/>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19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6924841"/>
            <wp:docPr id="20" name="Picture 20"/>
            <wp:cNvGraphicFramePr>
              <a:graphicFrameLocks noChangeAspect="1"/>
            </wp:cNvGraphicFramePr>
            <a:graphic>
              <a:graphicData uri="http://schemas.openxmlformats.org/drawingml/2006/picture">
                <pic:pic>
                  <pic:nvPicPr>
                    <pic:cNvPr id="0" name="m1_party_3.png"/>
                    <pic:cNvPicPr/>
                  </pic:nvPicPr>
                  <pic:blipFill>
                    <a:blip r:embed="rId30"/>
                    <a:stretch>
                      <a:fillRect/>
                    </a:stretch>
                  </pic:blipFill>
                  <pic:spPr>
                    <a:xfrm>
                      <a:off x="0" y="0"/>
                      <a:ext cx="9398000" cy="6924841"/>
                    </a:xfrm>
                    <a:prstGeom prst="rect"/>
                  </pic:spPr>
                </pic:pic>
              </a:graphicData>
            </a:graphic>
          </wp:inline>
        </w:drawing>
      </w:r>
    </w:p>
    <w:p>
      <w:pPr>
        <w:spacing w:after="120"/>
        <w:jc w:val="center"/>
      </w:pPr>
      <w:r>
        <w:rPr>
          <w:rFonts w:ascii="Arial" w:hAnsi="Arial"/>
          <w:b w:val="0"/>
          <w:i/>
          <w:color w:val="6B7280"/>
          <w:sz w:val="16"/>
        </w:rPr>
        <w:t>Figure 20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21" name="Picture 21"/>
            <wp:cNvGraphicFramePr>
              <a:graphicFrameLocks noChangeAspect="1"/>
            </wp:cNvGraphicFramePr>
            <a:graphic>
              <a:graphicData uri="http://schemas.openxmlformats.org/drawingml/2006/picture">
                <pic:pic>
                  <pic:nvPicPr>
                    <pic:cNvPr id="0" name="m1_party_4.png"/>
                    <pic:cNvPicPr/>
                  </pic:nvPicPr>
                  <pic:blipFill>
                    <a:blip r:embed="rId31"/>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21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2" name="Picture 22"/>
            <wp:cNvGraphicFramePr>
              <a:graphicFrameLocks noChangeAspect="1"/>
            </wp:cNvGraphicFramePr>
            <a:graphic>
              <a:graphicData uri="http://schemas.openxmlformats.org/drawingml/2006/picture">
                <pic:pic>
                  <pic:nvPicPr>
                    <pic:cNvPr id="0" name="m2_3_institutions_1.png"/>
                    <pic:cNvPicPr/>
                  </pic:nvPicPr>
                  <pic:blipFill>
                    <a:blip r:embed="rId32"/>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3" name="Picture 23"/>
            <wp:cNvGraphicFramePr>
              <a:graphicFrameLocks noChangeAspect="1"/>
            </wp:cNvGraphicFramePr>
            <a:graphic>
              <a:graphicData uri="http://schemas.openxmlformats.org/drawingml/2006/picture">
                <pic:pic>
                  <pic:nvPicPr>
                    <pic:cNvPr id="0" name="m2_3_institutions_2.png"/>
                    <pic:cNvPicPr/>
                  </pic:nvPicPr>
                  <pic:blipFill>
                    <a:blip r:embed="rId33"/>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4" name="Picture 24"/>
            <wp:cNvGraphicFramePr>
              <a:graphicFrameLocks noChangeAspect="1"/>
            </wp:cNvGraphicFramePr>
            <a:graphic>
              <a:graphicData uri="http://schemas.openxmlformats.org/drawingml/2006/picture">
                <pic:pic>
                  <pic:nvPicPr>
                    <pic:cNvPr id="0" name="m2_3_institutions_3.png"/>
                    <pic:cNvPicPr/>
                  </pic:nvPicPr>
                  <pic:blipFill>
                    <a:blip r:embed="rId34"/>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5" name="Picture 25"/>
            <wp:cNvGraphicFramePr>
              <a:graphicFrameLocks noChangeAspect="1"/>
            </wp:cNvGraphicFramePr>
            <a:graphic>
              <a:graphicData uri="http://schemas.openxmlformats.org/drawingml/2006/picture">
                <pic:pic>
                  <pic:nvPicPr>
                    <pic:cNvPr id="0" name="m2_3_institutions_4.png"/>
                    <pic:cNvPicPr/>
                  </pic:nvPicPr>
                  <pic:blipFill>
                    <a:blip r:embed="rId35"/>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6" name="Picture 26"/>
            <wp:cNvGraphicFramePr>
              <a:graphicFrameLocks noChangeAspect="1"/>
            </wp:cNvGraphicFramePr>
            <a:graphic>
              <a:graphicData uri="http://schemas.openxmlformats.org/drawingml/2006/picture">
                <pic:pic>
                  <pic:nvPicPr>
                    <pic:cNvPr id="0" name="m2_3_institutions_5.png"/>
                    <pic:cNvPicPr/>
                  </pic:nvPicPr>
                  <pic:blipFill>
                    <a:blip r:embed="rId36"/>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7" name="Picture 27"/>
            <wp:cNvGraphicFramePr>
              <a:graphicFrameLocks noChangeAspect="1"/>
            </wp:cNvGraphicFramePr>
            <a:graphic>
              <a:graphicData uri="http://schemas.openxmlformats.org/drawingml/2006/picture">
                <pic:pic>
                  <pic:nvPicPr>
                    <pic:cNvPr id="0" name="m2_3_institutions_6.png"/>
                    <pic:cNvPicPr/>
                  </pic:nvPicPr>
                  <pic:blipFill>
                    <a:blip r:embed="rId37"/>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27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8" name="Picture 28"/>
            <wp:cNvGraphicFramePr>
              <a:graphicFrameLocks noChangeAspect="1"/>
            </wp:cNvGraphicFramePr>
            <a:graphic>
              <a:graphicData uri="http://schemas.openxmlformats.org/drawingml/2006/picture">
                <pic:pic>
                  <pic:nvPicPr>
                    <pic:cNvPr id="0" name="m2_3_institutions_7.png"/>
                    <pic:cNvPicPr/>
                  </pic:nvPicPr>
                  <pic:blipFill>
                    <a:blip r:embed="rId38"/>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28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9" name="Picture 29"/>
            <wp:cNvGraphicFramePr>
              <a:graphicFrameLocks noChangeAspect="1"/>
            </wp:cNvGraphicFramePr>
            <a:graphic>
              <a:graphicData uri="http://schemas.openxmlformats.org/drawingml/2006/picture">
                <pic:pic>
                  <pic:nvPicPr>
                    <pic:cNvPr id="0" name="m4_products_1.png"/>
                    <pic:cNvPicPr/>
                  </pic:nvPicPr>
                  <pic:blipFill>
                    <a:blip r:embed="rId39"/>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1 of 3)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5687060" cy="3155321"/>
            <wp:docPr id="30" name="Picture 30"/>
            <wp:cNvGraphicFramePr>
              <a:graphicFrameLocks noChangeAspect="1"/>
            </wp:cNvGraphicFramePr>
            <a:graphic>
              <a:graphicData uri="http://schemas.openxmlformats.org/drawingml/2006/picture">
                <pic:pic>
                  <pic:nvPicPr>
                    <pic:cNvPr id="0" name="m4_products_2.png"/>
                    <pic:cNvPicPr/>
                  </pic:nvPicPr>
                  <pic:blipFill>
                    <a:blip r:embed="rId40"/>
                    <a:stretch>
                      <a:fillRect/>
                    </a:stretch>
                  </pic:blipFill>
                  <pic:spPr>
                    <a:xfrm>
                      <a:off x="0" y="0"/>
                      <a:ext cx="5687060" cy="3155321"/>
                    </a:xfrm>
                    <a:prstGeom prst="rect"/>
                  </pic:spPr>
                </pic:pic>
              </a:graphicData>
            </a:graphic>
          </wp:inline>
        </w:drawing>
      </w:r>
    </w:p>
    <w:p>
      <w:pPr>
        <w:spacing w:after="120"/>
        <w:jc w:val="center"/>
      </w:pPr>
      <w:r>
        <w:rPr>
          <w:rFonts w:ascii="Arial" w:hAnsi="Arial"/>
          <w:b w:val="0"/>
          <w:i/>
          <w:color w:val="6B7280"/>
          <w:sz w:val="16"/>
        </w:rPr>
        <w:t>Figure 30  Products, fees, financing and collateral types (part 2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3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12510" cy="2264662"/>
            <wp:docPr id="31" name="Picture 31"/>
            <wp:cNvGraphicFramePr>
              <a:graphicFrameLocks noChangeAspect="1"/>
            </wp:cNvGraphicFramePr>
            <a:graphic>
              <a:graphicData uri="http://schemas.openxmlformats.org/drawingml/2006/picture">
                <pic:pic>
                  <pic:nvPicPr>
                    <pic:cNvPr id="0" name="m4_products_3.png"/>
                    <pic:cNvPicPr/>
                  </pic:nvPicPr>
                  <pic:blipFill>
                    <a:blip r:embed="rId41"/>
                    <a:stretch>
                      <a:fillRect/>
                    </a:stretch>
                  </pic:blipFill>
                  <pic:spPr>
                    <a:xfrm>
                      <a:off x="0" y="0"/>
                      <a:ext cx="6112510" cy="2264662"/>
                    </a:xfrm>
                    <a:prstGeom prst="rect"/>
                  </pic:spPr>
                </pic:pic>
              </a:graphicData>
            </a:graphic>
          </wp:inline>
        </w:drawing>
      </w:r>
    </w:p>
    <w:p>
      <w:pPr>
        <w:spacing w:after="120"/>
        <w:jc w:val="center"/>
      </w:pPr>
      <w:r>
        <w:rPr>
          <w:rFonts w:ascii="Arial" w:hAnsi="Arial"/>
          <w:b w:val="0"/>
          <w:i/>
          <w:color w:val="6B7280"/>
          <w:sz w:val="16"/>
        </w:rPr>
        <w:t>Figure 31  Products, fees, financing and collateral types (part 3 of 3)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cat.CollateralType</w:t>
            </w:r>
          </w:p>
        </w:tc>
        <w:tc>
          <w:tcPr>
            <w:tcW w:type="dxa" w:w="6690"/>
          </w:tcPr>
          <w:p>
            <w:pPr>
              <w:spacing w:after="0" w:before="0"/>
            </w:pPr>
            <w:r/>
            <w:r>
              <w:rPr>
                <w:rFonts w:ascii="Arial" w:hAnsi="Arial"/>
                <w:b w:val="0"/>
                <w:sz w:val="15"/>
              </w:rPr>
              <w:t>Collateral type with its structure type and attribute template (FR-CAT-013)</w:t>
            </w:r>
          </w:p>
        </w:tc>
        <w:tc>
          <w:tcPr>
            <w:tcW w:type="dxa" w:w="2948"/>
          </w:tcPr>
          <w:p>
            <w:pPr>
              <w:spacing w:after="0" w:before="0"/>
            </w:pPr>
            <w:r/>
            <w:r>
              <w:rPr>
                <w:rFonts w:ascii="Arial" w:hAnsi="Arial"/>
                <w:b w:val="0"/>
                <w:sz w:val="15"/>
              </w:rPr>
              <w:t>CollateralTypeId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cat.CollateralTypeAttribute</w:t>
            </w:r>
          </w:p>
        </w:tc>
        <w:tc>
          <w:tcPr>
            <w:tcW w:type="dxa" w:w="6690"/>
            <w:shd w:val="clear" w:color="auto" w:fill="E8EEF6"/>
          </w:tcPr>
          <w:p>
            <w:pPr>
              <w:spacing w:after="0" w:before="0"/>
            </w:pPr>
            <w:r/>
            <w:r>
              <w:rPr>
                <w:rFonts w:ascii="Arial" w:hAnsi="Arial"/>
                <w:b w:val="0"/>
                <w:sz w:val="15"/>
              </w:rPr>
              <w:t>Attribute in a collateral-type template; never deleted, only marked Retired (BR-CAT-009)</w:t>
            </w:r>
          </w:p>
        </w:tc>
        <w:tc>
          <w:tcPr>
            <w:tcW w:type="dxa" w:w="2948"/>
            <w:shd w:val="clear" w:color="auto" w:fill="E8EEF6"/>
          </w:tcPr>
          <w:p>
            <w:pPr>
              <w:spacing w:after="0" w:before="0"/>
            </w:pPr>
            <w:r/>
            <w:r>
              <w:rPr>
                <w:rFonts w:ascii="Arial" w:hAnsi="Arial"/>
                <w:b w:val="0"/>
                <w:sz w:val="15"/>
              </w:rPr>
              <w:t>CollateralTypeAttributeId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cat.ObligationType</w:t>
            </w:r>
          </w:p>
        </w:tc>
        <w:tc>
          <w:tcPr>
            <w:tcW w:type="dxa" w:w="6690"/>
          </w:tcPr>
          <w:p>
            <w:pPr>
              <w:spacing w:after="0" w:before="0"/>
            </w:pPr>
            <w:r/>
            <w:r>
              <w:rPr>
                <w:rFonts w:ascii="Arial" w:hAnsi="Arial"/>
                <w:b w:val="0"/>
                <w:sz w:val="15"/>
              </w:rPr>
              <w:t>Obligation type with four families (FR-CAT-014, BR-CAT-010)</w:t>
            </w:r>
          </w:p>
        </w:tc>
        <w:tc>
          <w:tcPr>
            <w:tcW w:type="dxa" w:w="2948"/>
          </w:tcPr>
          <w:p>
            <w:pPr>
              <w:spacing w:after="0" w:before="0"/>
            </w:pPr>
            <w:r/>
            <w:r>
              <w:rPr>
                <w:rFonts w:ascii="Arial" w:hAnsi="Arial"/>
                <w:b w:val="0"/>
                <w:sz w:val="15"/>
              </w:rPr>
              <w:t>ObligationTypeId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cat.CollateralTypeAttribute</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2" name="Picture 32"/>
            <wp:cNvGraphicFramePr>
              <a:graphicFrameLocks noChangeAspect="1"/>
            </wp:cNvGraphicFramePr>
            <a:graphic>
              <a:graphicData uri="http://schemas.openxmlformats.org/drawingml/2006/picture">
                <pic:pic>
                  <pic:nvPicPr>
                    <pic:cNvPr id="0" name="m4_reference.png"/>
                    <pic:cNvPicPr/>
                  </pic:nvPicPr>
                  <pic:blipFill>
                    <a:blip r:embed="rId42"/>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32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3" name="Picture 33"/>
            <wp:cNvGraphicFramePr>
              <a:graphicFrameLocks noChangeAspect="1"/>
            </wp:cNvGraphicFramePr>
            <a:graphic>
              <a:graphicData uri="http://schemas.openxmlformats.org/drawingml/2006/picture">
                <pic:pic>
                  <pic:nvPicPr>
                    <pic:cNvPr id="0" name="m4_rates_lookups.png"/>
                    <pic:cNvPicPr/>
                  </pic:nvPicPr>
                  <pic:blipFill>
                    <a:blip r:embed="rId43"/>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33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4" name="Picture 34"/>
            <wp:cNvGraphicFramePr>
              <a:graphicFrameLocks noChangeAspect="1"/>
            </wp:cNvGraphicFramePr>
            <a:graphic>
              <a:graphicData uri="http://schemas.openxmlformats.org/drawingml/2006/picture">
                <pic:pic>
                  <pic:nvPicPr>
                    <pic:cNvPr id="0" name="m4_global_ref.png"/>
                    <pic:cNvPicPr/>
                  </pic:nvPicPr>
                  <pic:blipFill>
                    <a:blip r:embed="rId44"/>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34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5" name="Picture 35"/>
            <wp:cNvGraphicFramePr>
              <a:graphicFrameLocks noChangeAspect="1"/>
            </wp:cNvGraphicFramePr>
            <a:graphic>
              <a:graphicData uri="http://schemas.openxmlformats.org/drawingml/2006/picture">
                <pic:pic>
                  <pic:nvPicPr>
                    <pic:cNvPr id="0" name="m5_facility_core_1.png"/>
                    <pic:cNvPicPr/>
                  </pic:nvPicPr>
                  <pic:blipFill>
                    <a:blip r:embed="rId45"/>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35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6" name="Picture 36"/>
            <wp:cNvGraphicFramePr>
              <a:graphicFrameLocks noChangeAspect="1"/>
            </wp:cNvGraphicFramePr>
            <a:graphic>
              <a:graphicData uri="http://schemas.openxmlformats.org/drawingml/2006/picture">
                <pic:pic>
                  <pic:nvPicPr>
                    <pic:cNvPr id="0" name="m5_facility_core_2.png"/>
                    <pic:cNvPicPr/>
                  </pic:nvPicPr>
                  <pic:blipFill>
                    <a:blip r:embed="rId46"/>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36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7" name="Picture 37"/>
            <wp:cNvGraphicFramePr>
              <a:graphicFrameLocks noChangeAspect="1"/>
            </wp:cNvGraphicFramePr>
            <a:graphic>
              <a:graphicData uri="http://schemas.openxmlformats.org/drawingml/2006/picture">
                <pic:pic>
                  <pic:nvPicPr>
                    <pic:cNvPr id="0" name="m5_limits_1.png"/>
                    <pic:cNvPicPr/>
                  </pic:nvPicPr>
                  <pic:blipFill>
                    <a:blip r:embed="rId47"/>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37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8" name="Picture 38"/>
            <wp:cNvGraphicFramePr>
              <a:graphicFrameLocks noChangeAspect="1"/>
            </wp:cNvGraphicFramePr>
            <a:graphic>
              <a:graphicData uri="http://schemas.openxmlformats.org/drawingml/2006/picture">
                <pic:pic>
                  <pic:nvPicPr>
                    <pic:cNvPr id="0" name="m5_limits_2.png"/>
                    <pic:cNvPicPr/>
                  </pic:nvPicPr>
                  <pic:blipFill>
                    <a:blip r:embed="rId48"/>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38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9" name="Picture 39"/>
            <wp:cNvGraphicFramePr>
              <a:graphicFrameLocks noChangeAspect="1"/>
            </wp:cNvGraphicFramePr>
            <a:graphic>
              <a:graphicData uri="http://schemas.openxmlformats.org/drawingml/2006/picture">
                <pic:pic>
                  <pic:nvPicPr>
                    <pic:cNvPr id="0" name="m5_pricing_1.png"/>
                    <pic:cNvPicPr/>
                  </pic:nvPicPr>
                  <pic:blipFill>
                    <a:blip r:embed="rId49"/>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39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40" name="Picture 40"/>
            <wp:cNvGraphicFramePr>
              <a:graphicFrameLocks noChangeAspect="1"/>
            </wp:cNvGraphicFramePr>
            <a:graphic>
              <a:graphicData uri="http://schemas.openxmlformats.org/drawingml/2006/picture">
                <pic:pic>
                  <pic:nvPicPr>
                    <pic:cNvPr id="0" name="m5_pricing_2.png"/>
                    <pic:cNvPicPr/>
                  </pic:nvPicPr>
                  <pic:blipFill>
                    <a:blip r:embed="rId50"/>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40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41" name="Picture 41"/>
            <wp:cNvGraphicFramePr>
              <a:graphicFrameLocks noChangeAspect="1"/>
            </wp:cNvGraphicFramePr>
            <a:graphic>
              <a:graphicData uri="http://schemas.openxmlformats.org/drawingml/2006/picture">
                <pic:pic>
                  <pic:nvPicPr>
                    <pic:cNvPr id="0" name="m5_pricing_3.png"/>
                    <pic:cNvPicPr/>
                  </pic:nvPicPr>
                  <pic:blipFill>
                    <a:blip r:embed="rId51"/>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41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2" name="Picture 42"/>
            <wp:cNvGraphicFramePr>
              <a:graphicFrameLocks noChangeAspect="1"/>
            </wp:cNvGraphicFramePr>
            <a:graphic>
              <a:graphicData uri="http://schemas.openxmlformats.org/drawingml/2006/picture">
                <pic:pic>
                  <pic:nvPicPr>
                    <pic:cNvPr id="0" name="m5_pricing_4.png"/>
                    <pic:cNvPicPr/>
                  </pic:nvPicPr>
                  <pic:blipFill>
                    <a:blip r:embed="rId52"/>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42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3" name="Picture 43"/>
            <wp:cNvGraphicFramePr>
              <a:graphicFrameLocks noChangeAspect="1"/>
            </wp:cNvGraphicFramePr>
            <a:graphic>
              <a:graphicData uri="http://schemas.openxmlformats.org/drawingml/2006/picture">
                <pic:pic>
                  <pic:nvPicPr>
                    <pic:cNvPr id="0" name="m5_pricing_5.png"/>
                    <pic:cNvPicPr/>
                  </pic:nvPicPr>
                  <pic:blipFill>
                    <a:blip r:embed="rId53"/>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43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4" name="Picture 44"/>
            <wp:cNvGraphicFramePr>
              <a:graphicFrameLocks noChangeAspect="1"/>
            </wp:cNvGraphicFramePr>
            <a:graphic>
              <a:graphicData uri="http://schemas.openxmlformats.org/drawingml/2006/picture">
                <pic:pic>
                  <pic:nvPicPr>
                    <pic:cNvPr id="0" name="m5_collateral_1.png"/>
                    <pic:cNvPicPr/>
                  </pic:nvPicPr>
                  <pic:blipFill>
                    <a:blip r:embed="rId54"/>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44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5" name="Picture 45"/>
            <wp:cNvGraphicFramePr>
              <a:graphicFrameLocks noChangeAspect="1"/>
            </wp:cNvGraphicFramePr>
            <a:graphic>
              <a:graphicData uri="http://schemas.openxmlformats.org/drawingml/2006/picture">
                <pic:pic>
                  <pic:nvPicPr>
                    <pic:cNvPr id="0" name="m5_collateral_2.png"/>
                    <pic:cNvPicPr/>
                  </pic:nvPicPr>
                  <pic:blipFill>
                    <a:blip r:embed="rId55"/>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45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6" name="Picture 46"/>
            <wp:cNvGraphicFramePr>
              <a:graphicFrameLocks noChangeAspect="1"/>
            </wp:cNvGraphicFramePr>
            <a:graphic>
              <a:graphicData uri="http://schemas.openxmlformats.org/drawingml/2006/picture">
                <pic:pic>
                  <pic:nvPicPr>
                    <pic:cNvPr id="0" name="m5_collateral_3.png"/>
                    <pic:cNvPicPr/>
                  </pic:nvPicPr>
                  <pic:blipFill>
                    <a:blip r:embed="rId56"/>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46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7" name="Picture 47"/>
            <wp:cNvGraphicFramePr>
              <a:graphicFrameLocks noChangeAspect="1"/>
            </wp:cNvGraphicFramePr>
            <a:graphic>
              <a:graphicData uri="http://schemas.openxmlformats.org/drawingml/2006/picture">
                <pic:pic>
                  <pic:nvPicPr>
                    <pic:cNvPr id="0" name="m5_obligations_1.png"/>
                    <pic:cNvPicPr/>
                  </pic:nvPicPr>
                  <pic:blipFill>
                    <a:blip r:embed="rId57"/>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47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8" name="Picture 48"/>
            <wp:cNvGraphicFramePr>
              <a:graphicFrameLocks noChangeAspect="1"/>
            </wp:cNvGraphicFramePr>
            <a:graphic>
              <a:graphicData uri="http://schemas.openxmlformats.org/drawingml/2006/picture">
                <pic:pic>
                  <pic:nvPicPr>
                    <pic:cNvPr id="0" name="m5_obligations_2.png"/>
                    <pic:cNvPicPr/>
                  </pic:nvPicPr>
                  <pic:blipFill>
                    <a:blip r:embed="rId58"/>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48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993130" cy="5066315"/>
            <wp:docPr id="49" name="Picture 49"/>
            <wp:cNvGraphicFramePr>
              <a:graphicFrameLocks noChangeAspect="1"/>
            </wp:cNvGraphicFramePr>
            <a:graphic>
              <a:graphicData uri="http://schemas.openxmlformats.org/drawingml/2006/picture">
                <pic:pic>
                  <pic:nvPicPr>
                    <pic:cNvPr id="0" name="m5_obligations_3.png"/>
                    <pic:cNvPicPr/>
                  </pic:nvPicPr>
                  <pic:blipFill>
                    <a:blip r:embed="rId59"/>
                    <a:stretch>
                      <a:fillRect/>
                    </a:stretch>
                  </pic:blipFill>
                  <pic:spPr>
                    <a:xfrm>
                      <a:off x="0" y="0"/>
                      <a:ext cx="5993130" cy="5066315"/>
                    </a:xfrm>
                    <a:prstGeom prst="rect"/>
                  </pic:spPr>
                </pic:pic>
              </a:graphicData>
            </a:graphic>
          </wp:inline>
        </w:drawing>
      </w:r>
    </w:p>
    <w:p>
      <w:pPr>
        <w:spacing w:after="120"/>
        <w:jc w:val="center"/>
      </w:pPr>
      <w:r>
        <w:rPr>
          <w:rFonts w:ascii="Arial" w:hAnsi="Arial"/>
          <w:b w:val="0"/>
          <w:i/>
          <w:color w:val="6B7280"/>
          <w:sz w:val="16"/>
        </w:rPr>
        <w:t>Figure 49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50" name="Picture 50"/>
            <wp:cNvGraphicFramePr>
              <a:graphicFrameLocks noChangeAspect="1"/>
            </wp:cNvGraphicFramePr>
            <a:graphic>
              <a:graphicData uri="http://schemas.openxmlformats.org/drawingml/2006/picture">
                <pic:pic>
                  <pic:nvPicPr>
                    <pic:cNvPr id="0" name="m5_obligations_4.png"/>
                    <pic:cNvPicPr/>
                  </pic:nvPicPr>
                  <pic:blipFill>
                    <a:blip r:embed="rId60"/>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50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7528388"/>
            <wp:docPr id="51" name="Picture 51"/>
            <wp:cNvGraphicFramePr>
              <a:graphicFrameLocks noChangeAspect="1"/>
            </wp:cNvGraphicFramePr>
            <a:graphic>
              <a:graphicData uri="http://schemas.openxmlformats.org/drawingml/2006/picture">
                <pic:pic>
                  <pic:nvPicPr>
                    <pic:cNvPr id="0" name="m5_financials_1.png"/>
                    <pic:cNvPicPr/>
                  </pic:nvPicPr>
                  <pic:blipFill>
                    <a:blip r:embed="rId61"/>
                    <a:stretch>
                      <a:fillRect/>
                    </a:stretch>
                  </pic:blipFill>
                  <pic:spPr>
                    <a:xfrm>
                      <a:off x="0" y="0"/>
                      <a:ext cx="5908040" cy="7528388"/>
                    </a:xfrm>
                    <a:prstGeom prst="rect"/>
                  </pic:spPr>
                </pic:pic>
              </a:graphicData>
            </a:graphic>
          </wp:inline>
        </w:drawing>
      </w:r>
    </w:p>
    <w:p>
      <w:pPr>
        <w:spacing w:after="120"/>
        <w:jc w:val="center"/>
      </w:pPr>
      <w:r>
        <w:rPr>
          <w:rFonts w:ascii="Arial" w:hAnsi="Arial"/>
          <w:b w:val="0"/>
          <w:i/>
          <w:color w:val="6B7280"/>
          <w:sz w:val="16"/>
        </w:rPr>
        <w:t>Figure 51  Financial statements and balances (part 1 of 5)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11190" cy="3001076"/>
            <wp:docPr id="52" name="Picture 52"/>
            <wp:cNvGraphicFramePr>
              <a:graphicFrameLocks noChangeAspect="1"/>
            </wp:cNvGraphicFramePr>
            <a:graphic>
              <a:graphicData uri="http://schemas.openxmlformats.org/drawingml/2006/picture">
                <pic:pic>
                  <pic:nvPicPr>
                    <pic:cNvPr id="0" name="m5_financials_2.png"/>
                    <pic:cNvPicPr/>
                  </pic:nvPicPr>
                  <pic:blipFill>
                    <a:blip r:embed="rId62"/>
                    <a:stretch>
                      <a:fillRect/>
                    </a:stretch>
                  </pic:blipFill>
                  <pic:spPr>
                    <a:xfrm>
                      <a:off x="0" y="0"/>
                      <a:ext cx="5711190" cy="3001076"/>
                    </a:xfrm>
                    <a:prstGeom prst="rect"/>
                  </pic:spPr>
                </pic:pic>
              </a:graphicData>
            </a:graphic>
          </wp:inline>
        </w:drawing>
      </w:r>
    </w:p>
    <w:p>
      <w:pPr>
        <w:spacing w:after="120"/>
        <w:jc w:val="center"/>
      </w:pPr>
      <w:r>
        <w:rPr>
          <w:rFonts w:ascii="Arial" w:hAnsi="Arial"/>
          <w:b w:val="0"/>
          <w:i/>
          <w:color w:val="6B7280"/>
          <w:sz w:val="16"/>
        </w:rPr>
        <w:t>Figure 52  Financial statements and balances (part 2 of 5)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2485390" cy="1072291"/>
            <wp:docPr id="53" name="Picture 53"/>
            <wp:cNvGraphicFramePr>
              <a:graphicFrameLocks noChangeAspect="1"/>
            </wp:cNvGraphicFramePr>
            <a:graphic>
              <a:graphicData uri="http://schemas.openxmlformats.org/drawingml/2006/picture">
                <pic:pic>
                  <pic:nvPicPr>
                    <pic:cNvPr id="0" name="m5_financials_3.png"/>
                    <pic:cNvPicPr/>
                  </pic:nvPicPr>
                  <pic:blipFill>
                    <a:blip r:embed="rId63"/>
                    <a:stretch>
                      <a:fillRect/>
                    </a:stretch>
                  </pic:blipFill>
                  <pic:spPr>
                    <a:xfrm>
                      <a:off x="0" y="0"/>
                      <a:ext cx="2485390" cy="1072291"/>
                    </a:xfrm>
                    <a:prstGeom prst="rect"/>
                  </pic:spPr>
                </pic:pic>
              </a:graphicData>
            </a:graphic>
          </wp:inline>
        </w:drawing>
      </w:r>
    </w:p>
    <w:p>
      <w:pPr>
        <w:spacing w:after="120"/>
        <w:jc w:val="center"/>
      </w:pPr>
      <w:r>
        <w:rPr>
          <w:rFonts w:ascii="Arial" w:hAnsi="Arial"/>
          <w:b w:val="0"/>
          <w:i/>
          <w:color w:val="6B7280"/>
          <w:sz w:val="16"/>
        </w:rPr>
        <w:t>Figure 53  Financial statements and balances (part 3 of 5)  ·  1 table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39 items seeded; system items used in formulas cannot be deleted (FR-FIN-001,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p>
      <w:pPr>
        <w:pStyle w:val="Heading3"/>
      </w:pPr>
      <w:r>
        <w:rPr>
          <w:rFonts w:ascii="Arial" w:hAnsi="Arial"/>
          <w:color w:val="1F3A5F"/>
        </w:rPr>
        <w:t>Financial statements and balances (part 4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19190" cy="6472780"/>
            <wp:docPr id="54" name="Picture 54"/>
            <wp:cNvGraphicFramePr>
              <a:graphicFrameLocks noChangeAspect="1"/>
            </wp:cNvGraphicFramePr>
            <a:graphic>
              <a:graphicData uri="http://schemas.openxmlformats.org/drawingml/2006/picture">
                <pic:pic>
                  <pic:nvPicPr>
                    <pic:cNvPr id="0" name="m5_financials_4.png"/>
                    <pic:cNvPicPr/>
                  </pic:nvPicPr>
                  <pic:blipFill>
                    <a:blip r:embed="rId64"/>
                    <a:stretch>
                      <a:fillRect/>
                    </a:stretch>
                  </pic:blipFill>
                  <pic:spPr>
                    <a:xfrm>
                      <a:off x="0" y="0"/>
                      <a:ext cx="6219190" cy="6472780"/>
                    </a:xfrm>
                    <a:prstGeom prst="rect"/>
                  </pic:spPr>
                </pic:pic>
              </a:graphicData>
            </a:graphic>
          </wp:inline>
        </w:drawing>
      </w:r>
    </w:p>
    <w:p>
      <w:pPr>
        <w:spacing w:after="120"/>
        <w:jc w:val="center"/>
      </w:pPr>
      <w:r>
        <w:rPr>
          <w:rFonts w:ascii="Arial" w:hAnsi="Arial"/>
          <w:b w:val="0"/>
          <w:i/>
          <w:color w:val="6B7280"/>
          <w:sz w:val="16"/>
        </w:rPr>
        <w:t>Figure 54  Financial statements and balances (part 4 of 5)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5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16198"/>
            <wp:docPr id="55" name="Picture 55"/>
            <wp:cNvGraphicFramePr>
              <a:graphicFrameLocks noChangeAspect="1"/>
            </wp:cNvGraphicFramePr>
            <a:graphic>
              <a:graphicData uri="http://schemas.openxmlformats.org/drawingml/2006/picture">
                <pic:pic>
                  <pic:nvPicPr>
                    <pic:cNvPr id="0" name="m5_financials_5.png"/>
                    <pic:cNvPicPr/>
                  </pic:nvPicPr>
                  <pic:blipFill>
                    <a:blip r:embed="rId65"/>
                    <a:stretch>
                      <a:fillRect/>
                    </a:stretch>
                  </pic:blipFill>
                  <pic:spPr>
                    <a:xfrm>
                      <a:off x="0" y="0"/>
                      <a:ext cx="6015990" cy="2116198"/>
                    </a:xfrm>
                    <a:prstGeom prst="rect"/>
                  </pic:spPr>
                </pic:pic>
              </a:graphicData>
            </a:graphic>
          </wp:inline>
        </w:drawing>
      </w:r>
    </w:p>
    <w:p>
      <w:pPr>
        <w:spacing w:after="120"/>
        <w:jc w:val="center"/>
      </w:pPr>
      <w:r>
        <w:rPr>
          <w:rFonts w:ascii="Arial" w:hAnsi="Arial"/>
          <w:b w:val="0"/>
          <w:i/>
          <w:color w:val="6B7280"/>
          <w:sz w:val="16"/>
        </w:rPr>
        <w:t>Figure 55  Financial statements and balances (part 5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6" name="Picture 56"/>
            <wp:cNvGraphicFramePr>
              <a:graphicFrameLocks noChangeAspect="1"/>
            </wp:cNvGraphicFramePr>
            <a:graphic>
              <a:graphicData uri="http://schemas.openxmlformats.org/drawingml/2006/picture">
                <pic:pic>
                  <pic:nvPicPr>
                    <pic:cNvPr id="0" name="m6_wf_templates_1.png"/>
                    <pic:cNvPicPr/>
                  </pic:nvPicPr>
                  <pic:blipFill>
                    <a:blip r:embed="rId6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7" name="Picture 57"/>
            <wp:cNvGraphicFramePr>
              <a:graphicFrameLocks noChangeAspect="1"/>
            </wp:cNvGraphicFramePr>
            <a:graphic>
              <a:graphicData uri="http://schemas.openxmlformats.org/drawingml/2006/picture">
                <pic:pic>
                  <pic:nvPicPr>
                    <pic:cNvPr id="0" name="m6_wf_templates_2.png"/>
                    <pic:cNvPicPr/>
                  </pic:nvPicPr>
                  <pic:blipFill>
                    <a:blip r:embed="rId6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8" name="Picture 58"/>
            <wp:cNvGraphicFramePr>
              <a:graphicFrameLocks noChangeAspect="1"/>
            </wp:cNvGraphicFramePr>
            <a:graphic>
              <a:graphicData uri="http://schemas.openxmlformats.org/drawingml/2006/picture">
                <pic:pic>
                  <pic:nvPicPr>
                    <pic:cNvPr id="0" name="m6_wf_templates_3.png"/>
                    <pic:cNvPicPr/>
                  </pic:nvPicPr>
                  <pic:blipFill>
                    <a:blip r:embed="rId6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9" name="Picture 59"/>
            <wp:cNvGraphicFramePr>
              <a:graphicFrameLocks noChangeAspect="1"/>
            </wp:cNvGraphicFramePr>
            <a:graphic>
              <a:graphicData uri="http://schemas.openxmlformats.org/drawingml/2006/picture">
                <pic:pic>
                  <pic:nvPicPr>
                    <pic:cNvPr id="0" name="m6_wf_templates_4.png"/>
                    <pic:cNvPicPr/>
                  </pic:nvPicPr>
                  <pic:blipFill>
                    <a:blip r:embed="rId6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60" name="Picture 60"/>
            <wp:cNvGraphicFramePr>
              <a:graphicFrameLocks noChangeAspect="1"/>
            </wp:cNvGraphicFramePr>
            <a:graphic>
              <a:graphicData uri="http://schemas.openxmlformats.org/drawingml/2006/picture">
                <pic:pic>
                  <pic:nvPicPr>
                    <pic:cNvPr id="0" name="m6_requests_1.png"/>
                    <pic:cNvPicPr/>
                  </pic:nvPicPr>
                  <pic:blipFill>
                    <a:blip r:embed="rId70"/>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60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61" name="Picture 61"/>
            <wp:cNvGraphicFramePr>
              <a:graphicFrameLocks noChangeAspect="1"/>
            </wp:cNvGraphicFramePr>
            <a:graphic>
              <a:graphicData uri="http://schemas.openxmlformats.org/drawingml/2006/picture">
                <pic:pic>
                  <pic:nvPicPr>
                    <pic:cNvPr id="0" name="m6_requests_2.png"/>
                    <pic:cNvPicPr/>
                  </pic:nvPicPr>
                  <pic:blipFill>
                    <a:blip r:embed="rId71"/>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61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62" name="Picture 62"/>
            <wp:cNvGraphicFramePr>
              <a:graphicFrameLocks noChangeAspect="1"/>
            </wp:cNvGraphicFramePr>
            <a:graphic>
              <a:graphicData uri="http://schemas.openxmlformats.org/drawingml/2006/picture">
                <pic:pic>
                  <pic:nvPicPr>
                    <pic:cNvPr id="0" name="m6_requests_3.png"/>
                    <pic:cNvPicPr/>
                  </pic:nvPicPr>
                  <pic:blipFill>
                    <a:blip r:embed="rId72"/>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62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63" name="Picture 63"/>
            <wp:cNvGraphicFramePr>
              <a:graphicFrameLocks noChangeAspect="1"/>
            </wp:cNvGraphicFramePr>
            <a:graphic>
              <a:graphicData uri="http://schemas.openxmlformats.org/drawingml/2006/picture">
                <pic:pic>
                  <pic:nvPicPr>
                    <pic:cNvPr id="0" name="m6_requests_4.png"/>
                    <pic:cNvPicPr/>
                  </pic:nvPicPr>
                  <pic:blipFill>
                    <a:blip r:embed="rId73"/>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63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64" name="Picture 64"/>
            <wp:cNvGraphicFramePr>
              <a:graphicFrameLocks noChangeAspect="1"/>
            </wp:cNvGraphicFramePr>
            <a:graphic>
              <a:graphicData uri="http://schemas.openxmlformats.org/drawingml/2006/picture">
                <pic:pic>
                  <pic:nvPicPr>
                    <pic:cNvPr id="0" name="m6_requests_5.png"/>
                    <pic:cNvPicPr/>
                  </pic:nvPicPr>
                  <pic:blipFill>
                    <a:blip r:embed="rId74"/>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64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5" name="Picture 65"/>
            <wp:cNvGraphicFramePr>
              <a:graphicFrameLocks noChangeAspect="1"/>
            </wp:cNvGraphicFramePr>
            <a:graphic>
              <a:graphicData uri="http://schemas.openxmlformats.org/drawingml/2006/picture">
                <pic:pic>
                  <pic:nvPicPr>
                    <pic:cNvPr id="0" name="m6_requests_6.png"/>
                    <pic:cNvPicPr/>
                  </pic:nvPicPr>
                  <pic:blipFill>
                    <a:blip r:embed="rId75"/>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65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6" name="Picture 66"/>
            <wp:cNvGraphicFramePr>
              <a:graphicFrameLocks noChangeAspect="1"/>
            </wp:cNvGraphicFramePr>
            <a:graphic>
              <a:graphicData uri="http://schemas.openxmlformats.org/drawingml/2006/picture">
                <pic:pic>
                  <pic:nvPicPr>
                    <pic:cNvPr id="0" name="m6_notifications.png"/>
                    <pic:cNvPicPr/>
                  </pic:nvPicPr>
                  <pic:blipFill>
                    <a:blip r:embed="rId76"/>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66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7" name="Picture 67"/>
            <wp:cNvGraphicFramePr>
              <a:graphicFrameLocks noChangeAspect="1"/>
            </wp:cNvGraphicFramePr>
            <a:graphic>
              <a:graphicData uri="http://schemas.openxmlformats.org/drawingml/2006/picture">
                <pic:pic>
                  <pic:nvPicPr>
                    <pic:cNvPr id="0" name="m7_8_lc_terms_1.png"/>
                    <pic:cNvPicPr/>
                  </pic:nvPicPr>
                  <pic:blipFill>
                    <a:blip r:embed="rId77"/>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8" name="Picture 68"/>
            <wp:cNvGraphicFramePr>
              <a:graphicFrameLocks noChangeAspect="1"/>
            </wp:cNvGraphicFramePr>
            <a:graphic>
              <a:graphicData uri="http://schemas.openxmlformats.org/drawingml/2006/picture">
                <pic:pic>
                  <pic:nvPicPr>
                    <pic:cNvPr id="0" name="m7_8_lc_terms_2.png"/>
                    <pic:cNvPicPr/>
                  </pic:nvPicPr>
                  <pic:blipFill>
                    <a:blip r:embed="rId78"/>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68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9" name="Picture 69"/>
            <wp:cNvGraphicFramePr>
              <a:graphicFrameLocks noChangeAspect="1"/>
            </wp:cNvGraphicFramePr>
            <a:graphic>
              <a:graphicData uri="http://schemas.openxmlformats.org/drawingml/2006/picture">
                <pic:pic>
                  <pic:nvPicPr>
                    <pic:cNvPr id="0" name="m7_8_lc_terms_3.png"/>
                    <pic:cNvPicPr/>
                  </pic:nvPicPr>
                  <pic:blipFill>
                    <a:blip r:embed="rId79"/>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69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70" name="Picture 70"/>
            <wp:cNvGraphicFramePr>
              <a:graphicFrameLocks noChangeAspect="1"/>
            </wp:cNvGraphicFramePr>
            <a:graphic>
              <a:graphicData uri="http://schemas.openxmlformats.org/drawingml/2006/picture">
                <pic:pic>
                  <pic:nvPicPr>
                    <pic:cNvPr id="0" name="m7_8_lc_terms_4.png"/>
                    <pic:cNvPicPr/>
                  </pic:nvPicPr>
                  <pic:blipFill>
                    <a:blip r:embed="rId80"/>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70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71" name="Picture 71"/>
            <wp:cNvGraphicFramePr>
              <a:graphicFrameLocks noChangeAspect="1"/>
            </wp:cNvGraphicFramePr>
            <a:graphic>
              <a:graphicData uri="http://schemas.openxmlformats.org/drawingml/2006/picture">
                <pic:pic>
                  <pic:nvPicPr>
                    <pic:cNvPr id="0" name="m7_8_lc_terms_5.png"/>
                    <pic:cNvPicPr/>
                  </pic:nvPicPr>
                  <pic:blipFill>
                    <a:blip r:embed="rId81"/>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71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72" name="Picture 72"/>
            <wp:cNvGraphicFramePr>
              <a:graphicFrameLocks noChangeAspect="1"/>
            </wp:cNvGraphicFramePr>
            <a:graphic>
              <a:graphicData uri="http://schemas.openxmlformats.org/drawingml/2006/picture">
                <pic:pic>
                  <pic:nvPicPr>
                    <pic:cNvPr id="0" name="m7_8_lc_ops_1.png"/>
                    <pic:cNvPicPr/>
                  </pic:nvPicPr>
                  <pic:blipFill>
                    <a:blip r:embed="rId82"/>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72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73" name="Picture 73"/>
            <wp:cNvGraphicFramePr>
              <a:graphicFrameLocks noChangeAspect="1"/>
            </wp:cNvGraphicFramePr>
            <a:graphic>
              <a:graphicData uri="http://schemas.openxmlformats.org/drawingml/2006/picture">
                <pic:pic>
                  <pic:nvPicPr>
                    <pic:cNvPr id="0" name="m7_8_lc_ops_2.png"/>
                    <pic:cNvPicPr/>
                  </pic:nvPicPr>
                  <pic:blipFill>
                    <a:blip r:embed="rId83"/>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73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4" name="Picture 74"/>
            <wp:cNvGraphicFramePr>
              <a:graphicFrameLocks noChangeAspect="1"/>
            </wp:cNvGraphicFramePr>
            <a:graphic>
              <a:graphicData uri="http://schemas.openxmlformats.org/drawingml/2006/picture">
                <pic:pic>
                  <pic:nvPicPr>
                    <pic:cNvPr id="0" name="m7_8_lc_ops_3.png"/>
                    <pic:cNvPicPr/>
                  </pic:nvPicPr>
                  <pic:blipFill>
                    <a:blip r:embed="rId84"/>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74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75" name="Picture 75"/>
            <wp:cNvGraphicFramePr>
              <a:graphicFrameLocks noChangeAspect="1"/>
            </wp:cNvGraphicFramePr>
            <a:graphic>
              <a:graphicData uri="http://schemas.openxmlformats.org/drawingml/2006/picture">
                <pic:pic>
                  <pic:nvPicPr>
                    <pic:cNvPr id="0" name="m7_8_lc_ops_4.png"/>
                    <pic:cNvPicPr/>
                  </pic:nvPicPr>
                  <pic:blipFill>
                    <a:blip r:embed="rId85"/>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75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6" name="Picture 76"/>
            <wp:cNvGraphicFramePr>
              <a:graphicFrameLocks noChangeAspect="1"/>
            </wp:cNvGraphicFramePr>
            <a:graphic>
              <a:graphicData uri="http://schemas.openxmlformats.org/drawingml/2006/picture">
                <pic:pic>
                  <pic:nvPicPr>
                    <pic:cNvPr id="0" name="m7_8_lc_ops_5.png"/>
                    <pic:cNvPicPr/>
                  </pic:nvPicPr>
                  <pic:blipFill>
                    <a:blip r:embed="rId86"/>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76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7" name="Picture 77"/>
            <wp:cNvGraphicFramePr>
              <a:graphicFrameLocks noChangeAspect="1"/>
            </wp:cNvGraphicFramePr>
            <a:graphic>
              <a:graphicData uri="http://schemas.openxmlformats.org/drawingml/2006/picture">
                <pic:pic>
                  <pic:nvPicPr>
                    <pic:cNvPr id="0" name="m7_8_lc_ops_6.png"/>
                    <pic:cNvPicPr/>
                  </pic:nvPicPr>
                  <pic:blipFill>
                    <a:blip r:embed="rId87"/>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77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8" name="Picture 78"/>
            <wp:cNvGraphicFramePr>
              <a:graphicFrameLocks noChangeAspect="1"/>
            </wp:cNvGraphicFramePr>
            <a:graphic>
              <a:graphicData uri="http://schemas.openxmlformats.org/drawingml/2006/picture">
                <pic:pic>
                  <pic:nvPicPr>
                    <pic:cNvPr id="0" name="m7_8_lc_ops_7.png"/>
                    <pic:cNvPicPr/>
                  </pic:nvPicPr>
                  <pic:blipFill>
                    <a:blip r:embed="rId88"/>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78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9" name="Picture 79"/>
            <wp:cNvGraphicFramePr>
              <a:graphicFrameLocks noChangeAspect="1"/>
            </wp:cNvGraphicFramePr>
            <a:graphic>
              <a:graphicData uri="http://schemas.openxmlformats.org/drawingml/2006/picture">
                <pic:pic>
                  <pic:nvPicPr>
                    <pic:cNvPr id="0" name="m7_8_lc_ops_8.png"/>
                    <pic:cNvPicPr/>
                  </pic:nvPicPr>
                  <pic:blipFill>
                    <a:blip r:embed="rId89"/>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79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80" name="Picture 80"/>
            <wp:cNvGraphicFramePr>
              <a:graphicFrameLocks noChangeAspect="1"/>
            </wp:cNvGraphicFramePr>
            <a:graphic>
              <a:graphicData uri="http://schemas.openxmlformats.org/drawingml/2006/picture">
                <pic:pic>
                  <pic:nvPicPr>
                    <pic:cNvPr id="0" name="m7_8_lc_ops_9.png"/>
                    <pic:cNvPicPr/>
                  </pic:nvPicPr>
                  <pic:blipFill>
                    <a:blip r:embed="rId90"/>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80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Open decision. The analysis document does not name the algorithm.</w:t>
            </w:r>
          </w:p>
        </w:tc>
        <w:tc>
          <w:tcPr>
            <w:tcW w:type="dxa" w:w="2721"/>
          </w:tcPr>
          <w:p>
            <w:pPr>
              <w:spacing w:after="0" w:before="0"/>
            </w:pPr>
            <w:r/>
            <w:r>
              <w:rPr>
                <w:rFonts w:ascii="Arial" w:hAnsi="Arial"/>
                <w:b w:val="0"/>
                <w:sz w:val="15"/>
              </w:rPr>
              <w:t>Record the algorithm and parameters in the security section of the analysis document.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(194 tables, 20 schemas, 763 foreign keys, 515 unique constraints, 1,158 CHECK constraints, 700 indexes). A CI gate runs the same steps on every change to db/, tools/dbgen/ or tools/ci/ (tools/ci/db_ci.sh, .github/workflows/db-ci.yml). The gate has passed locally; its first run on GitHub is pending. Not yet run on the production server.</w:t>
            </w:r>
          </w:p>
        </w:tc>
        <w:tc>
          <w:tcPr>
            <w:tcW w:type="dxa" w:w="2721"/>
            <w:shd w:val="clear" w:color="auto" w:fill="E8EEF6"/>
          </w:tcPr>
          <w:p>
            <w:pPr>
              <w:spacing w:after="0" w:before="0"/>
            </w:pPr>
            <w:r/>
            <w:r>
              <w:rPr>
                <w:rFonts w:ascii="Arial" w:hAnsi="Arial"/>
                <w:b w:val="0"/>
                <w:sz w:val="15"/>
              </w:rPr>
              <w:t>Check the first GitHub run in the Actions tab, then run db/deploy.sql on the target Windows server.</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Add the test script to CI. Decide the behaviour for a lender change after approval, which the trigger currently rejects.</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Assign an owner and a review date to each question; resolve the critical ones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24 cases as the application role and the reporting role (cross-tenant reads, inserts, updates and deletes, global rows, the audit log, the context procedure,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Open. Range allocation is proposed; no decision recorded.</w:t>
            </w:r>
          </w:p>
        </w:tc>
        <w:tc>
          <w:tcPr>
            <w:tcW w:type="dxa" w:w="2721"/>
            <w:shd w:val="clear" w:color="auto" w:fill="E8EEF6"/>
          </w:tcPr>
          <w:p>
            <w:pPr>
              <w:spacing w:after="0" w:before="0"/>
            </w:pPr>
            <w:r/>
            <w:r>
              <w:rPr>
                <w:rFonts w:ascii="Arial" w:hAnsi="Arial"/>
                <w:b w:val="0"/>
                <w:sz w:val="15"/>
              </w:rPr>
              <w:t>Legal and operational decision on whether gaps are acceptable, then a numbering design.</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Open. The two cascade rules are in db/model/11-organization-party.model and have not been reviewed against this rule.</w:t>
            </w:r>
          </w:p>
        </w:tc>
        <w:tc>
          <w:tcPr>
            <w:tcW w:type="dxa" w:w="2721"/>
          </w:tcPr>
          <w:p>
            <w:pPr>
              <w:spacing w:after="0" w:before="0"/>
            </w:pPr>
            <w:r/>
            <w:r>
              <w:rPr>
                <w:rFonts w:ascii="Arial" w:hAnsi="Arial"/>
                <w:b w:val="0"/>
                <w:sz w:val="15"/>
              </w:rPr>
              <w:t>Review the two rules; replace cascade with archive or close where the data is credit or audit data.</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Residual risks: O-17 (the caller names the user) and O-18 to O-22.</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Open decision. The binding (O-16) stops a forged context, but not a call to the procedure with another user's id.</w:t>
            </w:r>
          </w:p>
        </w:tc>
        <w:tc>
          <w:tcPr>
            <w:tcW w:type="dxa" w:w="2721"/>
          </w:tcPr>
          <w:p>
            <w:pPr>
              <w:spacing w:after="0" w:before="0"/>
            </w:pPr>
            <w:r/>
            <w:r>
              <w:rPr>
                <w:rFonts w:ascii="Arial" w:hAnsi="Arial"/>
                <w:b w:val="0"/>
                <w:sz w:val="15"/>
              </w:rPr>
              <w:t>Decide whether the procedure verifies a server-side session token instead of the caller's user id (sec.UserSession.TokenHash is already in the model). Recommended. Then add a test that a wrong token is refused.</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Open decision. Writes are refused for both statuses (rls.fn_BoundWrite). Reads are allowed for a new bind and lost for an existing one.</w:t>
            </w:r>
          </w:p>
        </w:tc>
        <w:tc>
          <w:tcPr>
            <w:tcW w:type="dxa" w:w="2721"/>
            <w:shd w:val="clear" w:color="auto" w:fill="E8EEF6"/>
          </w:tcPr>
          <w:p>
            <w:pPr>
              <w:spacing w:after="0" w:before="0"/>
            </w:pPr>
            <w:r/>
            <w:r>
              <w:rPr>
                <w:rFonts w:ascii="Arial" w:hAnsi="Arial"/>
                <w:b w:val="0"/>
                <w:sz w:val="15"/>
              </w:rPr>
              <w:t>Decide: (a) bind a SUSPENDED tenant only for its account administrator, which needs the role check in the procedure, or (b) refuse binds for SUSPENDED too and keep the revocation. Then align db/static/030 and the test T27.</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Open decision. The NULL allowance is written into the design (BR-PLT-001: NULL is a platform event). A tenant connection should not create platform events.</w:t>
            </w:r>
          </w:p>
        </w:tc>
        <w:tc>
          <w:tcPr>
            <w:tcW w:type="dxa" w:w="2721"/>
          </w:tcPr>
          <w:p>
            <w:pPr>
              <w:spacing w:after="0" w:before="0"/>
            </w:pPr>
            <w:r/>
            <w:r>
              <w:rPr>
                <w:rFonts w:ascii="Arial" w:hAnsi="Arial"/>
                <w:b w:val="0"/>
                <w:sz w:val="15"/>
              </w:rPr>
              <w:t>Decide: refuse NULL TenantId for non-platform connections in rls.fn_AuditWrite and let only tp_platform write platform events. Then add a test.</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Open. No check covers references to mixed-scope tables.</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Open. This follows from SQL Server constraint checking, not from a missing predicate, so the filters cannot prevent it.</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Open, low. Cursors and error codes are not covered by the row filters.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195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m4_products_3</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(FR-PLT-042)</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m0_audit_docs_3</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1701"/>
            <w:shd w:val="clear" w:color="auto" w:fill="E8EEF6"/>
          </w:tcPr>
          <w:p>
            <w:pPr>
              <w:spacing w:after="0" w:before="0"/>
            </w:pPr>
            <w:r/>
            <w:r>
              <w:rPr>
                <w:rFonts w:ascii="Arial" w:hAnsi="Arial"/>
                <w:b w:val="0"/>
                <w:sz w:val="15"/>
              </w:rPr>
              <w:t>m0_audit_docs_3</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the application prevents edits after issue;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the permanent trace is in aud.AuditLog (BR-PLT-005)</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PERMISSION_LOCKED is enforced by the service (BR-PLT-019)</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or password-reset token (30 minutes) (FR-PLT-013)</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m6_requests_2</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m6_requests_4</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195</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764</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580</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505</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700</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80</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