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2.1 (يحل محل 2.0)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ملفات قاعدة البيانات حتى 1132 (145 ملفاً)، و904 فحصاً للقاعدة و758 اختباراً للخادم ناجحة؛ والخادم مكتوب بـ Python 3.12 مع FastAPI، والموقع بـ React والتطبيقات بـ React Native (الدراسة 2.9)؛ ولم يُعدَّل الموقع ولا التطبيقات بطلب من المالك</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دراسة التحليل والتصميم 3.9؛ تصميم القاعدة 3.16؛ مسودات تقييم الأثر والمسؤوليات والتحميل والتدريب 0.2؛ مراجعة تصميم شاشات محطات الصعود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2.1: بعد مراجعة خبير الأنظمة للدراسة 3.8 (تشرين الأول 2026). دراسة التحليل والتصميم 3.9 (أ1) بقسمين جديدين: طبقة التطبيق كما بُنيت (2.9) والرد على المراجعة بنداً بنداً (16.44)، وفيه أن ثغرة تخطّي فحوص الإنتاج في وضع sandbox مغلقة في الشيفرة منذ الإصدار 1.50.0. وتصميم القاعدة 3.16 (ج2): كان جدول المخططات يعدّ 23 مخططاً فغابت عنه sch وrpt وgis ‏(16 جدولاً)، فبلغ مجموعه 544؛ وصار يعدّ المخططات الـ26 مع صف مجموع (560 جدولاً). وصارت أرقام هذا السجل في ج2 وج3 وج4 وحالة النظام تُقرأ من البناء وآخر تشغيل للتحقق وخط أساس الواجهات، فلا تختلف عن تصميم القاعدة. ولم يتغيّر شيء في القاعدة ولا في الشيفرة.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2.0: دراسة التحليل والتصميم 3.8 بالعربية والإنجليزية (أ1) حتى ملف القاعدة 1132، بأربعة أقسام جديدة (7.25 و7.26 و22.9 و30.15) وثمانية وعشرين رمز خطأ جديداً؛ والجدول الزمني للتنفيذ 3.2 (و1) بما أُنجز حتى 18 تشرين الأول 2026؛ وما بُني بعد الإصدار 1.9: نواة نقل البضائع والحاويات بالشاحنات داخل سوريا ومن الميناء وإليه وبالترانزيت وعبر الحدود، مع بوالص الشحن وبوالص الوكلاء والحاويات والإرساليات وأسعار أصحاب الشاحنات وحركة الشاحنات وفواتير النقل لكل بوليصة أو حاوية، ومذكرة الشحن وبيان TCN اللذين تصدرهما المنصة؛ وحجز أموال الرحلة الفائتة في الرحلات غير المباشرة حتى تنتهي مهلة التعديل، وبه أُغلق قرار المالك في القسم 22.8. ولم يُعدَّل الموقع بطلب من المالك. وأُضيفت للمالك تسع مسائل في نقل البضائع (22.9).</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docs/Masslak_Analysis_and_Design_EN_v3.9.docx والنسخة العربية 3.9؛ تغطي حتى ملف القاعدة 1132: ما في 3.9 (طبقة التطبيق كما بُنيت باللغات والأطر وحجم الشيفرة وضوابط الجودة، والرد بنداً بنداً على مراجعة خبير الأنظمة للإصدار 3.8)، وما في 3.8 (نقل البضائع والحاويات بالشاحنات مع بوالص الشحن والإرساليات وفواتير النقل ومذكرة الشحن وبيان TCN، وحجز أموال الرحلة الفائتة حتى تنتهي مهلة التعديل)، وما في 3.7 (الرحلات غير المباشرة عبر عدة ناقلين مع الموافقة على المخاطر وتعديل الحجز)، وما في 3.6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 وما في 3.5</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docs/database/Masslak_Database_Design_and_ERD_v3.16.docx: حتى ملف القاعدة 1132، 26 مخطط قاعدة (schema) و560 جدولاً و1,667 مفتاحاً أجنبياً و49 مخطط ERD للوحدات، مع أدلة تحقق من بناء جديد؛ ويعدّ جدول المخططات فيه كل المخططات مع صف مجموع</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560 جدولاً و5,920 عموداً في 26 مخططاً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587 عملية للموقع والتطبيقات و34 في الواجهة العامة v1 للشركاء</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docs/plan/Masslak_Implementation_Timeline_v3.2 (HTML وPDF) والنسخة العربية: ما أُنجز حتى ملف القاعدة 1132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3.9 (أ1) للخدمات والأدوار والقواعد، وطبقة التطبيق في القسم 2.9.</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3.16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2.1</dc:title>
  <dc:creator>Masslak</dc:creator>
  <cp:lastModifiedBy>Un-named</cp:lastModifiedBy>
  <cp:revision>1</cp:revision>
  <dcterms:created xsi:type="dcterms:W3CDTF">2026-10-18T07:37:19.137Z</dcterms:created>
  <dcterms:modified xsi:type="dcterms:W3CDTF">2026-10-18T07:37:19.137Z</dcterms:modified>
</cp:coreProperties>
</file>

<file path=docProps/custom.xml><?xml version="1.0" encoding="utf-8"?>
<Properties xmlns="http://schemas.openxmlformats.org/officeDocument/2006/custom-properties" xmlns:vt="http://schemas.openxmlformats.org/officeDocument/2006/docPropsVTypes"/>
</file>