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0.2)</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نُشر على SQL Server 2025 في بيئة التطوير ويمر CI كاملًا (انظر §14)؛ لم يُنشر على خادم الإنتاج بعد</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(198 جدولًا) — </w:t>
            </w:r>
            <w:r>
              <w:rPr>
                <w:rFonts w:ascii="Arial" w:cs="Arial" w:eastAsia="Arial" w:hAnsi="Arial"/>
                <w:b/>
                <w:bCs/>
                <w:sz w:val="18"/>
                <w:szCs w:val="18"/>
                <w:rtl/>
              </w:rPr>
              <w:t xml:space="preserve">الملفات المولَّدة لا تُعدَّل يدويًا</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5">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4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4">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5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58">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4980"/>
        <w:gridCol w:w="391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3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7319"/>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198</w:t>
            </w:r>
            <w:r>
              <w:rPr>
                <w:rFonts w:ascii="Arial" w:cs="Arial" w:eastAsia="Arial" w:hAnsi="Arial"/>
                <w:b w:val="false"/>
                <w:bCs w:val="false"/>
                <w:sz w:val="18"/>
                <w:szCs w:val="18"/>
                <w:rtl/>
              </w:rPr>
              <w:t xml:space="preserve"> في 20 مخططًا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198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بسبب إلزامي.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(204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خريطة المخططات والجداول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Plan, PlanModule, Tenant, ReservedSubdomain, PlatformOperator, TenantModule, SupportAccessGrant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AppUser, Role, Permission, RolePermission, UserRole, UserCompanyScope, LoginAttempt,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SettingDefinition, TenantSetting, NumberSequenceDefinition, NumberSequence, NumberIssue, ExpiryAlertRule, ExpiryAlertLog, DataExportJob, NonWorkingDay, OutboxEvent,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 Country, Currency, Incoterm, UcpArticle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 Obligation, ObligationCompany, ReportingObligation, ReportingInstance, Covenant, CovenantAccount, CovenantTest,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LineCatalogItem, LineCatalogItemAlias, FinancialStatement, StatementLine, AccountMonthlyStat, BankFlowEntry, MeasureFormula</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1" w:id="31"/>
      <w:r>
        <w:rPr>
          <w:rFonts w:ascii="Arial" w:cs="Arial" w:eastAsia="Arial" w:hAnsi="Arial"/>
          <w:b/>
          <w:bCs/>
          <w:color w:val="2B5C8A"/>
          <w:sz w:val="26"/>
          <w:szCs w:val="26"/>
          <w:rtl/>
        </w:rPr>
        <w:t xml:space="preserve">10.1 تغطية المتطلبات</w:t>
      </w:r>
      <w:bookmarkEnd w:id="31"/>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2" w:id="32"/>
      <w:r>
        <w:rPr>
          <w:rFonts w:ascii="Arial" w:cs="Arial" w:eastAsia="Arial" w:hAnsi="Arial"/>
          <w:b/>
          <w:bCs/>
          <w:color w:val="2B5C8A"/>
          <w:sz w:val="26"/>
          <w:szCs w:val="26"/>
          <w:rtl/>
        </w:rPr>
        <w:t xml:space="preserve">10.2 مخططات العلاقات حسب الوحدة</w:t>
      </w:r>
      <w:bookmarkEnd w:id="32"/>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3" w:id="33"/>
      <w:r>
        <w:rPr>
          <w:rFonts w:ascii="Arial" w:cs="Arial" w:eastAsia="Arial" w:hAnsi="Arial"/>
          <w:b/>
          <w:bCs/>
          <w:color w:val="2B5C8A"/>
          <w:sz w:val="23"/>
          <w:szCs w:val="23"/>
          <w:rtl/>
        </w:rPr>
        <w:t xml:space="preserve">الهوية والمشترك والصلاحيات (م0)</w:t>
      </w:r>
      <w:bookmarkEnd w:id="33"/>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4" w:id="34"/>
      <w:r>
        <w:rPr>
          <w:rFonts w:ascii="Arial" w:cs="Arial" w:eastAsia="Arial" w:hAnsi="Arial"/>
          <w:b/>
          <w:bCs/>
          <w:color w:val="2B5C8A"/>
          <w:sz w:val="23"/>
          <w:szCs w:val="23"/>
          <w:rtl/>
        </w:rPr>
        <w:t xml:space="preserve">التدقيق والمستندات والإعدادات (م0)</w:t>
      </w:r>
      <w:bookmarkEnd w:id="34"/>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5" w:id="35"/>
      <w:r>
        <w:rPr>
          <w:rFonts w:ascii="Arial" w:cs="Arial" w:eastAsia="Arial" w:hAnsi="Arial"/>
          <w:b/>
          <w:bCs/>
          <w:color w:val="2B5C8A"/>
          <w:sz w:val="23"/>
          <w:szCs w:val="23"/>
          <w:rtl/>
        </w:rPr>
        <w:t xml:space="preserve">الهيكل المؤسسي والأشخاص (م1)</w:t>
      </w:r>
      <w:bookmarkEnd w:id="35"/>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6" w:id="36"/>
      <w:r>
        <w:rPr>
          <w:rFonts w:ascii="Arial" w:cs="Arial" w:eastAsia="Arial" w:hAnsi="Arial"/>
          <w:b/>
          <w:bCs/>
          <w:color w:val="2B5C8A"/>
          <w:sz w:val="23"/>
          <w:szCs w:val="23"/>
          <w:rtl/>
        </w:rPr>
        <w:t xml:space="preserve">المنشآت والحسابات والمفوّضون (م2–م3)</w:t>
      </w:r>
      <w:bookmarkEnd w:id="36"/>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7" w:id="37"/>
      <w:r>
        <w:rPr>
          <w:rFonts w:ascii="Arial" w:cs="Arial" w:eastAsia="Arial" w:hAnsi="Arial"/>
          <w:b/>
          <w:bCs/>
          <w:color w:val="2B5C8A"/>
          <w:sz w:val="23"/>
          <w:szCs w:val="23"/>
          <w:rtl/>
        </w:rPr>
        <w:t xml:space="preserve">الكتالوجات (م4)</w:t>
      </w:r>
      <w:bookmarkEnd w:id="37"/>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8" w:id="38"/>
      <w:r>
        <w:rPr>
          <w:rFonts w:ascii="Arial" w:cs="Arial" w:eastAsia="Arial" w:hAnsi="Arial"/>
          <w:b/>
          <w:bCs/>
          <w:color w:val="2B5C8A"/>
          <w:sz w:val="23"/>
          <w:szCs w:val="23"/>
          <w:rtl/>
        </w:rPr>
        <w:t xml:space="preserve">التسهيلات والحدود (م5)</w:t>
      </w:r>
      <w:bookmarkEnd w:id="38"/>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39" w:id="39"/>
      <w:r>
        <w:rPr>
          <w:rFonts w:ascii="Arial" w:cs="Arial" w:eastAsia="Arial" w:hAnsi="Arial"/>
          <w:b/>
          <w:bCs/>
          <w:color w:val="2B5C8A"/>
          <w:sz w:val="23"/>
          <w:szCs w:val="23"/>
          <w:rtl/>
        </w:rPr>
        <w:t xml:space="preserve">التسعير والتعرفة وشروط المقارنة (م5)</w:t>
      </w:r>
      <w:bookmarkEnd w:id="39"/>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0" w:id="40"/>
      <w:r>
        <w:rPr>
          <w:rFonts w:ascii="Arial" w:cs="Arial" w:eastAsia="Arial" w:hAnsi="Arial"/>
          <w:b/>
          <w:bCs/>
          <w:color w:val="2B5C8A"/>
          <w:sz w:val="23"/>
          <w:szCs w:val="23"/>
          <w:rtl/>
        </w:rPr>
        <w:t xml:space="preserve">الضمانات (م5)</w:t>
      </w:r>
      <w:bookmarkEnd w:id="40"/>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1" w:id="41"/>
      <w:r>
        <w:rPr>
          <w:rFonts w:ascii="Arial" w:cs="Arial" w:eastAsia="Arial" w:hAnsi="Arial"/>
          <w:b/>
          <w:bCs/>
          <w:color w:val="2B5C8A"/>
          <w:sz w:val="23"/>
          <w:szCs w:val="23"/>
          <w:rtl/>
        </w:rPr>
        <w:t xml:space="preserve">الالتزامات والبيانات المالية (م5)</w:t>
      </w:r>
      <w:bookmarkEnd w:id="41"/>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2" w:id="42"/>
      <w:r>
        <w:rPr>
          <w:rFonts w:ascii="Arial" w:cs="Arial" w:eastAsia="Arial" w:hAnsi="Arial"/>
          <w:b/>
          <w:bCs/>
          <w:color w:val="2B5C8A"/>
          <w:sz w:val="23"/>
          <w:szCs w:val="23"/>
          <w:rtl/>
        </w:rPr>
        <w:t xml:space="preserve">محرك الطلبات ودورات العمل (م6)</w:t>
      </w:r>
      <w:bookmarkEnd w:id="42"/>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3" w:id="43"/>
      <w:r>
        <w:rPr>
          <w:rFonts w:ascii="Arial" w:cs="Arial" w:eastAsia="Arial" w:hAnsi="Arial"/>
          <w:b/>
          <w:bCs/>
          <w:color w:val="2B5C8A"/>
          <w:sz w:val="23"/>
          <w:szCs w:val="23"/>
          <w:rtl/>
        </w:rPr>
        <w:t xml:space="preserve">الإشعارات (م6)</w:t>
      </w:r>
      <w:bookmarkEnd w:id="43"/>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4" w:id="44"/>
      <w:r>
        <w:rPr>
          <w:rFonts w:ascii="Arial" w:cs="Arial" w:eastAsia="Arial" w:hAnsi="Arial"/>
          <w:b/>
          <w:bCs/>
          <w:color w:val="2B5C8A"/>
          <w:sz w:val="23"/>
          <w:szCs w:val="23"/>
          <w:rtl/>
        </w:rPr>
        <w:t xml:space="preserve">الاعتمادات المستندية والبروفورما (م7/م8)</w:t>
      </w:r>
      <w:bookmarkEnd w:id="44"/>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5" w:id="45"/>
      <w:r>
        <w:rPr>
          <w:rFonts w:ascii="Arial" w:cs="Arial" w:eastAsia="Arial" w:hAnsi="Arial"/>
          <w:b/>
          <w:bCs/>
          <w:color w:val="1F3A5F"/>
          <w:sz w:val="32"/>
          <w:szCs w:val="32"/>
          <w:rtl/>
        </w:rPr>
        <w:t xml:space="preserve">11. أنماط التصميم للمجالات الرئيسية</w:t>
      </w:r>
      <w:bookmarkEnd w:id="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6" w:id="46"/>
      <w:r>
        <w:rPr>
          <w:rFonts w:ascii="Arial" w:cs="Arial" w:eastAsia="Arial" w:hAnsi="Arial"/>
          <w:b/>
          <w:bCs/>
          <w:color w:val="2B5C8A"/>
          <w:sz w:val="26"/>
          <w:szCs w:val="26"/>
          <w:rtl/>
        </w:rPr>
        <w:t xml:space="preserve">11.1 إقفال دورة العمل بيد إدارة الخزينة (C-7)</w:t>
      </w:r>
      <w:bookmarkEnd w:id="46"/>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5343"/>
        <w:gridCol w:w="1644"/>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(افتراض يُؤكَّد، O-10)</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كـ«قيد التنفيذ»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المواصفة 13 لم تُعدَّل بعد</w:t>
      </w:r>
      <w:r>
        <w:rPr>
          <w:rFonts w:ascii="Arial" w:cs="Arial" w:eastAsia="Arial" w:hAnsi="Arial"/>
          <w:b w:val="false"/>
          <w:bCs w:val="false"/>
          <w:sz w:val="21"/>
          <w:szCs w:val="21"/>
          <w:rtl/>
        </w:rPr>
        <w:t xml:space="preserve"> (O-10)، لذا هذا التغيير معلَّق لحين اعتماده رسميًا.</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7" w:id="47"/>
      <w:r>
        <w:rPr>
          <w:rFonts w:ascii="Arial" w:cs="Arial" w:eastAsia="Arial" w:hAnsi="Arial"/>
          <w:b/>
          <w:bCs/>
          <w:color w:val="2B5C8A"/>
          <w:sz w:val="26"/>
          <w:szCs w:val="26"/>
          <w:rtl/>
        </w:rPr>
        <w:t xml:space="preserve">11.2 الملكية المتعددة والمراجع المركّبة (DR-04 · DR-06 · DR-09 · DR-10)</w:t>
      </w:r>
      <w:bookmarkEnd w:id="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11.3 الكتالوجات المملوكة للمشترك (DR-03 · DR-05 · DR-07)</w:t>
      </w:r>
      <w:bookmarkEnd w:id="48"/>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49" w:id="49"/>
      <w:r>
        <w:rPr>
          <w:rFonts w:ascii="Arial" w:cs="Arial" w:eastAsia="Arial" w:hAnsi="Arial"/>
          <w:b/>
          <w:bCs/>
          <w:color w:val="1F3A5F"/>
          <w:sz w:val="32"/>
          <w:szCs w:val="32"/>
          <w:rtl/>
        </w:rPr>
        <w:t xml:space="preserve">12. النشر وإدارة التغيير</w:t>
      </w:r>
      <w:bookmarkEnd w:id="49"/>
    </w:p>
    <w:p>
      <w:pPr>
        <w:pStyle w:val="Heading2"/>
        <w:bidi/>
      </w:pPr>
      <w:bookmarkStart w:name="_sec50" w:id="5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an administrator prepares the database once and opens the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window; the deployment login (db_owner only) runs the wrapper, which changes to db/ and runs deploy.sql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The same thing by hand: cd db &amp;&amp; sqlcmd -S &lt;server&gt; -U &lt;login&gt; -I -b -i deploy.sql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1" w:id="51"/>
      <w:r>
        <w:rPr>
          <w:rFonts w:ascii="Arial" w:cs="Arial" w:eastAsia="Arial" w:hAnsi="Arial"/>
          <w:b/>
          <w:bCs/>
          <w:color w:val="2B5C8A"/>
          <w:sz w:val="26"/>
          <w:szCs w:val="26"/>
          <w:rtl/>
        </w:rPr>
        <w:t xml:space="preserve">12.2 تغيير النموذج</w:t>
      </w:r>
      <w:bookmarkEnd w:id="5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2" w:id="52"/>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3" w:id="53"/>
      <w:r>
        <w:rPr>
          <w:rFonts w:ascii="Arial" w:cs="Arial" w:eastAsia="Arial" w:hAnsi="Arial"/>
          <w:b/>
          <w:bCs/>
          <w:color w:val="2B5C8A"/>
          <w:sz w:val="26"/>
          <w:szCs w:val="26"/>
          <w:rtl/>
        </w:rPr>
        <w:t xml:space="preserve">12.4 الأداء والحمل</w:t>
      </w:r>
      <w:bookmarkEnd w:id="5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4" w:id="54"/>
      <w:r>
        <w:rPr>
          <w:rFonts w:ascii="Arial" w:cs="Arial" w:eastAsia="Arial" w:hAnsi="Arial"/>
          <w:b/>
          <w:bCs/>
          <w:color w:val="1F3A5F"/>
          <w:sz w:val="32"/>
          <w:szCs w:val="32"/>
          <w:rtl/>
        </w:rPr>
        <w:t xml:space="preserve">13. البذور وتهيئة المشترك</w:t>
      </w:r>
      <w:bookmarkEnd w:id="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(ستة مفاتيح أمنية، 30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(138 صلاحية،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5" w:id="55"/>
      <w:r>
        <w:rPr>
          <w:rFonts w:ascii="Arial" w:cs="Arial" w:eastAsia="Arial" w:hAnsi="Arial"/>
          <w:b/>
          <w:bCs/>
          <w:color w:val="1F3A5F"/>
          <w:sz w:val="32"/>
          <w:szCs w:val="32"/>
          <w:rtl/>
        </w:rPr>
        <w:t xml:space="preserve">14. أدلة التحقق وحدودها (بصراحة)</w:t>
      </w:r>
      <w:bookmarkEnd w:id="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2"/>
        <w:gridCol w:w="5007"/>
        <w:gridCol w:w="1745"/>
      </w:tblGrid>
      <w:tr>
        <w:trPr>
          <w:cantSplit/>
          <w:tblHeader/>
        </w:trPr>
        <w:tc>
          <w:tcPr>
            <w:tcW w:type="dxa" w:w="3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 3,324 عمودًا؛ لا مراجع معلّقة؛ لا مخالفة لقواعد النطاق</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 (تشغيل سابق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249 منحة مولّدة، 83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مطابقة الكائنات المنشورة مع DDL المولَّد</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‎db/tests/tenant_isolation_tests.sql‎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‎db/tests/auth_flow_tests.sql‎</w:t>
            </w:r>
            <w:r>
              <w:rPr>
                <w:rFonts w:ascii="Arial" w:cs="Arial" w:eastAsia="Arial" w:hAnsi="Arial"/>
                <w:b w:val="false"/>
                <w:bCs w:val="false"/>
                <w:sz w:val="18"/>
                <w:szCs w:val="18"/>
                <w:rtl/>
              </w:rPr>
              <w:t xml:space="preserve"> 20 حالة (حسابات المستخدمين وإعدادات المشترك، ADR 0003 و0004) و</w:t>
            </w:r>
            <w:r>
              <w:rPr>
                <w:rFonts w:ascii="Courier New" w:cs="Courier New" w:eastAsia="Courier New" w:hAnsi="Courier New"/>
                <w:b w:val="false"/>
                <w:bCs w:val="false"/>
                <w:color w:val="1F2937"/>
                <w:sz w:val="16"/>
                <w:szCs w:val="16"/>
                <w:shd w:fill="F1F3F5" w:color="auto" w:val="clear"/>
                <w:rtl/>
              </w:rPr>
              <w:t xml:space="preserve">‎db/tests/operator_support_tests.sql‎</w:t>
            </w:r>
            <w:r>
              <w:rPr>
                <w:rFonts w:ascii="Arial" w:cs="Arial" w:eastAsia="Arial" w:hAnsi="Arial"/>
                <w:b w:val="false"/>
                <w:bCs w:val="false"/>
                <w:sz w:val="18"/>
                <w:szCs w:val="18"/>
                <w:rtl/>
              </w:rPr>
              <w:t xml:space="preserve"> 11 حالة و</w:t>
            </w:r>
            <w:r>
              <w:rPr>
                <w:rFonts w:ascii="Courier New" w:cs="Courier New" w:eastAsia="Courier New" w:hAnsi="Courier New"/>
                <w:b w:val="false"/>
                <w:bCs w:val="false"/>
                <w:color w:val="1F2937"/>
                <w:sz w:val="16"/>
                <w:szCs w:val="16"/>
                <w:shd w:fill="F1F3F5" w:color="auto" w:val="clear"/>
                <w:rtl/>
              </w:rPr>
              <w:t xml:space="preserve">‎db/tests/job_context_tests.sql‎</w:t>
            </w:r>
            <w:r>
              <w:rPr>
                <w:rFonts w:ascii="Arial" w:cs="Arial" w:eastAsia="Arial" w:hAnsi="Arial"/>
                <w:b w:val="false"/>
                <w:bCs w:val="false"/>
                <w:sz w:val="18"/>
                <w:szCs w:val="18"/>
                <w:rtl/>
              </w:rPr>
              <w:t xml:space="preserve"> 7 حالات و</w:t>
            </w:r>
            <w:r>
              <w:rPr>
                <w:rFonts w:ascii="Courier New" w:cs="Courier New" w:eastAsia="Courier New" w:hAnsi="Courier New"/>
                <w:b w:val="false"/>
                <w:bCs w:val="false"/>
                <w:color w:val="1F2937"/>
                <w:sz w:val="16"/>
                <w:szCs w:val="16"/>
                <w:shd w:fill="F1F3F5" w:color="auto" w:val="clear"/>
                <w:rtl/>
              </w:rPr>
              <w:t xml:space="preserve">‎db/tests/tenant_onboarding_tests.sql‎</w:t>
            </w:r>
            <w:r>
              <w:rPr>
                <w:rFonts w:ascii="Arial" w:cs="Arial" w:eastAsia="Arial" w:hAnsi="Arial"/>
                <w:b w:val="false"/>
                <w:bCs w:val="false"/>
                <w:sz w:val="18"/>
                <w:szCs w:val="18"/>
                <w:rtl/>
              </w:rPr>
              <w:t xml:space="preserve"> 5 حالات (ADR 0004) و</w:t>
            </w:r>
            <w:r>
              <w:rPr>
                <w:rFonts w:ascii="Courier New" w:cs="Courier New" w:eastAsia="Courier New" w:hAnsi="Courier New"/>
                <w:b w:val="false"/>
                <w:bCs w:val="false"/>
                <w:color w:val="1F2937"/>
                <w:sz w:val="16"/>
                <w:szCs w:val="16"/>
                <w:shd w:fill="F1F3F5" w:color="auto" w:val="clear"/>
                <w:rtl/>
              </w:rPr>
              <w:t xml:space="preserve">‎db/tests/numbering_tests.sql‎</w:t>
            </w:r>
            <w:r>
              <w:rPr>
                <w:rFonts w:ascii="Arial" w:cs="Arial" w:eastAsia="Arial" w:hAnsi="Arial"/>
                <w:b w:val="false"/>
                <w:bCs w:val="false"/>
                <w:sz w:val="18"/>
                <w:szCs w:val="18"/>
                <w:rtl/>
              </w:rPr>
              <w:t xml:space="preserve"> 8 حالات مع فحص تزامن بستة اتصالات (</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114 رقمًا من 1 إلى 114 بلا تكرار ولا فجوة بعد 36 تراجعًا، ADR 0005) و</w:t>
            </w:r>
            <w:r>
              <w:rPr>
                <w:rFonts w:ascii="Courier New" w:cs="Courier New" w:eastAsia="Courier New" w:hAnsi="Courier New"/>
                <w:b w:val="false"/>
                <w:bCs w:val="false"/>
                <w:color w:val="1F2937"/>
                <w:sz w:val="16"/>
                <w:szCs w:val="16"/>
                <w:shd w:fill="F1F3F5" w:color="auto" w:val="clear"/>
                <w:rtl/>
              </w:rPr>
              <w:t xml:space="preserve">‎db/tests/kyc_history_tests.sql‎</w:t>
            </w:r>
            <w:r>
              <w:rPr>
                <w:rFonts w:ascii="Arial" w:cs="Arial" w:eastAsia="Arial" w:hAnsi="Arial"/>
                <w:b w:val="false"/>
                <w:bCs w:val="false"/>
                <w:sz w:val="18"/>
                <w:szCs w:val="18"/>
                <w:rtl/>
              </w:rPr>
              <w:t xml:space="preserve"> 4 حالات (الحذف المتتالي ونسخ ملفات الاكتمال، ADR 0006) و</w:t>
            </w:r>
            <w:r>
              <w:rPr>
                <w:rFonts w:ascii="Courier New" w:cs="Courier New" w:eastAsia="Courier New" w:hAnsi="Courier New"/>
                <w:b w:val="false"/>
                <w:bCs w:val="false"/>
                <w:color w:val="1F2937"/>
                <w:sz w:val="16"/>
                <w:szCs w:val="16"/>
                <w:shd w:fill="F1F3F5" w:color="auto" w:val="clear"/>
                <w:rtl/>
              </w:rPr>
              <w:t xml:space="preserve">‎db/tests/reference_data_tests.sql‎</w:t>
            </w:r>
            <w:r>
              <w:rPr>
                <w:rFonts w:ascii="Arial" w:cs="Arial" w:eastAsia="Arial" w:hAnsi="Arial"/>
                <w:b w:val="false"/>
                <w:bCs w:val="false"/>
                <w:sz w:val="18"/>
                <w:szCs w:val="18"/>
                <w:rtl/>
              </w:rPr>
              <w:t xml:space="preserve"> 4 حالات (قراءة المشترك للقوائم العالمية ومواد UCP، ومنعه من كتابتها) و</w:t>
            </w:r>
            <w:r>
              <w:rPr>
                <w:rFonts w:ascii="Courier New" w:cs="Courier New" w:eastAsia="Courier New" w:hAnsi="Courier New"/>
                <w:b w:val="false"/>
                <w:bCs w:val="false"/>
                <w:color w:val="1F2937"/>
                <w:sz w:val="16"/>
                <w:szCs w:val="16"/>
                <w:shd w:fill="F1F3F5" w:color="auto" w:val="clear"/>
                <w:rtl/>
              </w:rPr>
              <w:t xml:space="preserve">‎db/tests/audit_trail_tests.sql‎</w:t>
            </w:r>
            <w:r>
              <w:rPr>
                <w:rFonts w:ascii="Arial" w:cs="Arial" w:eastAsia="Arial" w:hAnsi="Arial"/>
                <w:b w:val="false"/>
                <w:bCs w:val="false"/>
                <w:sz w:val="18"/>
                <w:szCs w:val="18"/>
                <w:rtl/>
              </w:rPr>
              <w:t xml:space="preserve"> 7 حالات (صفوف التدقيق التي تكتبها القاعدة، ADR 0007) و</w:t>
            </w:r>
            <w:r>
              <w:rPr>
                <w:rFonts w:ascii="Courier New" w:cs="Courier New" w:eastAsia="Courier New" w:hAnsi="Courier New"/>
                <w:b w:val="false"/>
                <w:bCs w:val="false"/>
                <w:color w:val="1F2937"/>
                <w:sz w:val="16"/>
                <w:szCs w:val="16"/>
                <w:shd w:fill="F1F3F5" w:color="auto" w:val="clear"/>
                <w:rtl/>
              </w:rPr>
              <w:t xml:space="preserve">‎db/tests/data_export_tests.sql‎</w:t>
            </w:r>
            <w:r>
              <w:rPr>
                <w:rFonts w:ascii="Arial" w:cs="Arial" w:eastAsia="Arial" w:hAnsi="Arial"/>
                <w:b w:val="false"/>
                <w:bCs w:val="false"/>
                <w:sz w:val="18"/>
                <w:szCs w:val="18"/>
                <w:rtl/>
              </w:rPr>
              <w:t xml:space="preserve"> 6 حالات (التصدير في المعلّق والمغلق، ADR 0008) و</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فحوص (حسابات الخدمة بأسرارها وصلاحياتها، ADR 0009) و</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6 حالات، وكلها تمر في CI</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15. القرارات المتخذة (تُعتمد ما لم تعترض)</w:t>
      </w:r>
      <w:bookmarkEnd w:id="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57" w:id="57"/>
      <w:r>
        <w:rPr>
          <w:rFonts w:ascii="Arial" w:cs="Arial" w:eastAsia="Arial" w:hAnsi="Arial"/>
          <w:b/>
          <w:bCs/>
          <w:color w:val="1F3A5F"/>
          <w:sz w:val="32"/>
          <w:szCs w:val="32"/>
          <w:rtl/>
        </w:rPr>
        <w:t xml:space="preserve">16. حدود معروفة ونقاط مفتوحة</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2"/>
        <w:gridCol w:w="3998"/>
        <w:gridCol w:w="1486"/>
        <w:gridCol w:w="3438"/>
      </w:tblGrid>
      <w:tr>
        <w:trPr>
          <w:cantSplit/>
          <w:tblHeader/>
        </w:trPr>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مع 41 حالة عزل و6 لقاعدة الحصص</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تتبع قرار الإقفال، والمواصفة ما زالت تقول إن الإكمال تلقائي عند المرحلة الأخيرة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(حقل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جدول الحالات،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‎FR-WFL‎</w:t>
            </w:r>
            <w:r>
              <w:rPr>
                <w:rFonts w:ascii="Arial" w:cs="Arial" w:eastAsia="Arial" w:hAnsi="Arial"/>
                <w:b w:val="false"/>
                <w:bCs w:val="false"/>
                <w:sz w:val="18"/>
                <w:szCs w:val="18"/>
                <w:rtl/>
              </w:rPr>
              <w:t xml:space="preserve">) بعد موافقتك؛ </w:t>
            </w:r>
            <w:r>
              <w:rPr>
                <w:rFonts w:ascii="Arial" w:cs="Arial" w:eastAsia="Arial" w:hAnsi="Arial"/>
                <w:b/>
                <w:bCs/>
                <w:sz w:val="18"/>
                <w:szCs w:val="18"/>
                <w:rtl/>
              </w:rPr>
              <w:t xml:space="preserve">أكّد أيضًا أن الرفض والإلغاء يبقيان فوريين</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 لم تُعتمد بعد</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 فيتغير الـDDL قبل كود جدولها</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التوصيات جاهز (2026-10-13):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بانتظار اعتمادك. أُعيد فحص كل نتيجة: واحدة محلولة (DR-20)، وأربع محلولة جزئيًا. التوصية: 33 نتيجة كلها أو جزء منها تُطبَّق الآن، و6 قبل شرائحها، مع عشرة أسئلة عمل</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17. الخطوة التالية</w:t>
      </w:r>
      <w:bookmarkEnd w:id="58"/>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والأسئلة التي تحتاج قرارك: </w:t>
      </w:r>
      <w:r>
        <w:rPr>
          <w:rFonts w:ascii="Arial" w:cs="Arial" w:eastAsia="Arial" w:hAnsi="Arial"/>
          <w:b/>
          <w:bCs/>
          <w:sz w:val="21"/>
          <w:szCs w:val="21"/>
          <w:rtl/>
        </w:rPr>
        <w:t xml:space="preserve">هل تعتمد تعديل المواصفة 13 (O-10)؟ وهل تعتمد سجل التوصيات لنتائج المراجعة الـ40 (O-15، </w:t>
      </w:r>
      <w:r>
        <w:rPr>
          <w:rFonts w:ascii="Courier New" w:cs="Courier New" w:eastAsia="Courier New" w:hAnsi="Courier New"/>
          <w:b/>
          <w:bCs/>
          <w:color w:val="1F2937"/>
          <w:sz w:val="18"/>
          <w:szCs w:val="18"/>
          <w:shd w:fill="F1F3F5" w:color="auto" w:val="clear"/>
          <w:rtl/>
        </w:rPr>
        <w:t xml:space="preserve">‎docs/32-review-findings-decisions.md‎</w:t>
      </w:r>
      <w:r>
        <w:rPr>
          <w:rFonts w:ascii="Arial" w:cs="Arial" w:eastAsia="Arial" w:hAnsi="Arial"/>
          <w:b/>
          <w:bCs/>
          <w:sz w:val="21"/>
          <w:szCs w:val="21"/>
          <w:rtl/>
        </w:rPr>
        <w:t xml:space="preserve">)؟</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2026-10-13T16:54:25.372Z</dcterms:created>
  <dcterms:modified xsi:type="dcterms:W3CDTF">2026-10-13T16:54:25.372Z</dcterms:modified>
</cp:coreProperties>
</file>

<file path=docProps/custom.xml><?xml version="1.0" encoding="utf-8"?>
<Properties xmlns="http://schemas.openxmlformats.org/officeDocument/2006/custom-properties" xmlns:vt="http://schemas.openxmlformats.org/officeDocument/2006/docPropsVTypes"/>
</file>