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198 tables · 20 schemas · 768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198 tables in 20 schemas; 768 foreign keys; 518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198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73 diagrams cover 198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18</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031730" cy="617529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031730" cy="617529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enforced by the application (FR-PLT-027, BR-PLT-011)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UnlinkedBy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KeyPurpose, 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083300" cy="7354809"/>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6083300" cy="7354809"/>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cfg.JobDefinition</w:t>
            </w:r>
          </w:p>
        </w:tc>
        <w:tc>
          <w:tcPr>
            <w:tcW w:type="dxa" w:w="6690"/>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2948"/>
            <w:shd w:val="clear" w:color="auto" w:fill="E8EEF6"/>
          </w:tcPr>
          <w:p>
            <w:pPr>
              <w:spacing w:after="0" w:before="0"/>
            </w:pPr>
            <w:r/>
            <w:r>
              <w:rPr>
                <w:rFonts w:ascii="Arial" w:hAnsi="Arial"/>
                <w:b w:val="0"/>
                <w:sz w:val="15"/>
              </w:rPr>
              <w:t>JobDefinitionId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5004507"/>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5004507"/>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44  Obligations, covenants and reporting (part 1 of 3)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043930" cy="8018392"/>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043930" cy="8018392"/>
                    </a:xfrm>
                    <a:prstGeom prst="rect"/>
                  </pic:spPr>
                </pic:pic>
              </a:graphicData>
            </a:graphic>
          </wp:inline>
        </w:drawing>
      </w:r>
    </w:p>
    <w:p>
      <w:pPr>
        <w:spacing w:after="120"/>
        <w:jc w:val="center"/>
      </w:pPr>
      <w:r>
        <w:rPr>
          <w:rFonts w:ascii="Arial" w:hAnsi="Arial"/>
          <w:b w:val="0"/>
          <w:i/>
          <w:color w:val="6B7280"/>
          <w:sz w:val="16"/>
        </w:rPr>
        <w:t>Figure 45  Obligations, covenants and reporting (part 2 of 3)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46  Obligations, covenants and reporting (part 3 of 3)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6660047"/>
            <wp:docPr id="47" name="Picture 47"/>
            <wp:cNvGraphicFramePr>
              <a:graphicFrameLocks noChangeAspect="1"/>
            </wp:cNvGraphicFramePr>
            <a:graphic>
              <a:graphicData uri="http://schemas.openxmlformats.org/drawingml/2006/picture">
                <pic:pic>
                  <pic:nvPicPr>
                    <pic:cNvPr id="0" name="m5_financials_1.png"/>
                    <pic:cNvPicPr/>
                  </pic:nvPicPr>
                  <pic:blipFill>
                    <a:blip r:embed="rId57"/>
                    <a:stretch>
                      <a:fillRect/>
                    </a:stretch>
                  </pic:blipFill>
                  <pic:spPr>
                    <a:xfrm>
                      <a:off x="0" y="0"/>
                      <a:ext cx="5908040" cy="6660047"/>
                    </a:xfrm>
                    <a:prstGeom prst="rect"/>
                  </pic:spPr>
                </pic:pic>
              </a:graphicData>
            </a:graphic>
          </wp:inline>
        </w:drawing>
      </w:r>
    </w:p>
    <w:p>
      <w:pPr>
        <w:spacing w:after="120"/>
        <w:jc w:val="center"/>
      </w:pPr>
      <w:r>
        <w:rPr>
          <w:rFonts w:ascii="Arial" w:hAnsi="Arial"/>
          <w:b w:val="0"/>
          <w:i/>
          <w:color w:val="6B7280"/>
          <w:sz w:val="16"/>
        </w:rPr>
        <w:t>Figure 47  Financial statements and balances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48" name="Picture 48"/>
            <wp:cNvGraphicFramePr>
              <a:graphicFrameLocks noChangeAspect="1"/>
            </wp:cNvGraphicFramePr>
            <a:graphic>
              <a:graphicData uri="http://schemas.openxmlformats.org/drawingml/2006/picture">
                <pic:pic>
                  <pic:nvPicPr>
                    <pic:cNvPr id="0" name="m5_financials_2.png"/>
                    <pic:cNvPicPr/>
                  </pic:nvPicPr>
                  <pic:blipFill>
                    <a:blip r:embed="rId58"/>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48  Financial statements and balances (part 2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4868606"/>
            <wp:docPr id="49" name="Picture 49"/>
            <wp:cNvGraphicFramePr>
              <a:graphicFrameLocks noChangeAspect="1"/>
            </wp:cNvGraphicFramePr>
            <a:graphic>
              <a:graphicData uri="http://schemas.openxmlformats.org/drawingml/2006/picture">
                <pic:pic>
                  <pic:nvPicPr>
                    <pic:cNvPr id="0" name="m5_financials_3.png"/>
                    <pic:cNvPicPr/>
                  </pic:nvPicPr>
                  <pic:blipFill>
                    <a:blip r:embed="rId59"/>
                    <a:stretch>
                      <a:fillRect/>
                    </a:stretch>
                  </pic:blipFill>
                  <pic:spPr>
                    <a:xfrm>
                      <a:off x="0" y="0"/>
                      <a:ext cx="6348730" cy="4868606"/>
                    </a:xfrm>
                    <a:prstGeom prst="rect"/>
                  </pic:spPr>
                </pic:pic>
              </a:graphicData>
            </a:graphic>
          </wp:inline>
        </w:drawing>
      </w:r>
    </w:p>
    <w:p>
      <w:pPr>
        <w:spacing w:after="120"/>
        <w:jc w:val="center"/>
      </w:pPr>
      <w:r>
        <w:rPr>
          <w:rFonts w:ascii="Arial" w:hAnsi="Arial"/>
          <w:b w:val="0"/>
          <w:i/>
          <w:color w:val="6B7280"/>
          <w:sz w:val="16"/>
        </w:rPr>
        <w:t>Figure 49  Financial statements and balances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0" name="Picture 50"/>
            <wp:cNvGraphicFramePr>
              <a:graphicFrameLocks noChangeAspect="1"/>
            </wp:cNvGraphicFramePr>
            <a:graphic>
              <a:graphicData uri="http://schemas.openxmlformats.org/drawingml/2006/picture">
                <pic:pic>
                  <pic:nvPicPr>
                    <pic:cNvPr id="0" name="m6_wf_templates_1.png"/>
                    <pic:cNvPicPr/>
                  </pic:nvPicPr>
                  <pic:blipFill>
                    <a:blip r:embed="rId60"/>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50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1" name="Picture 51"/>
            <wp:cNvGraphicFramePr>
              <a:graphicFrameLocks noChangeAspect="1"/>
            </wp:cNvGraphicFramePr>
            <a:graphic>
              <a:graphicData uri="http://schemas.openxmlformats.org/drawingml/2006/picture">
                <pic:pic>
                  <pic:nvPicPr>
                    <pic:cNvPr id="0" name="m6_wf_templates_2.png"/>
                    <pic:cNvPicPr/>
                  </pic:nvPicPr>
                  <pic:blipFill>
                    <a:blip r:embed="rId61"/>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51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2" name="Picture 52"/>
            <wp:cNvGraphicFramePr>
              <a:graphicFrameLocks noChangeAspect="1"/>
            </wp:cNvGraphicFramePr>
            <a:graphic>
              <a:graphicData uri="http://schemas.openxmlformats.org/drawingml/2006/picture">
                <pic:pic>
                  <pic:nvPicPr>
                    <pic:cNvPr id="0" name="m6_wf_templates_3.png"/>
                    <pic:cNvPicPr/>
                  </pic:nvPicPr>
                  <pic:blipFill>
                    <a:blip r:embed="rId62"/>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52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3" name="Picture 53"/>
            <wp:cNvGraphicFramePr>
              <a:graphicFrameLocks noChangeAspect="1"/>
            </wp:cNvGraphicFramePr>
            <a:graphic>
              <a:graphicData uri="http://schemas.openxmlformats.org/drawingml/2006/picture">
                <pic:pic>
                  <pic:nvPicPr>
                    <pic:cNvPr id="0" name="m6_wf_templates_4.png"/>
                    <pic:cNvPicPr/>
                  </pic:nvPicPr>
                  <pic:blipFill>
                    <a:blip r:embed="rId63"/>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53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54" name="Picture 54"/>
            <wp:cNvGraphicFramePr>
              <a:graphicFrameLocks noChangeAspect="1"/>
            </wp:cNvGraphicFramePr>
            <a:graphic>
              <a:graphicData uri="http://schemas.openxmlformats.org/drawingml/2006/picture">
                <pic:pic>
                  <pic:nvPicPr>
                    <pic:cNvPr id="0" name="m6_requests_1.png"/>
                    <pic:cNvPicPr/>
                  </pic:nvPicPr>
                  <pic:blipFill>
                    <a:blip r:embed="rId64"/>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54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55" name="Picture 55"/>
            <wp:cNvGraphicFramePr>
              <a:graphicFrameLocks noChangeAspect="1"/>
            </wp:cNvGraphicFramePr>
            <a:graphic>
              <a:graphicData uri="http://schemas.openxmlformats.org/drawingml/2006/picture">
                <pic:pic>
                  <pic:nvPicPr>
                    <pic:cNvPr id="0" name="m6_requests_2.png"/>
                    <pic:cNvPicPr/>
                  </pic:nvPicPr>
                  <pic:blipFill>
                    <a:blip r:embed="rId65"/>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55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56" name="Picture 56"/>
            <wp:cNvGraphicFramePr>
              <a:graphicFrameLocks noChangeAspect="1"/>
            </wp:cNvGraphicFramePr>
            <a:graphic>
              <a:graphicData uri="http://schemas.openxmlformats.org/drawingml/2006/picture">
                <pic:pic>
                  <pic:nvPicPr>
                    <pic:cNvPr id="0" name="m6_requests_3.png"/>
                    <pic:cNvPicPr/>
                  </pic:nvPicPr>
                  <pic:blipFill>
                    <a:blip r:embed="rId66"/>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56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7" name="Picture 57"/>
            <wp:cNvGraphicFramePr>
              <a:graphicFrameLocks noChangeAspect="1"/>
            </wp:cNvGraphicFramePr>
            <a:graphic>
              <a:graphicData uri="http://schemas.openxmlformats.org/drawingml/2006/picture">
                <pic:pic>
                  <pic:nvPicPr>
                    <pic:cNvPr id="0" name="m6_requests_4.png"/>
                    <pic:cNvPicPr/>
                  </pic:nvPicPr>
                  <pic:blipFill>
                    <a:blip r:embed="rId67"/>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57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58" name="Picture 58"/>
            <wp:cNvGraphicFramePr>
              <a:graphicFrameLocks noChangeAspect="1"/>
            </wp:cNvGraphicFramePr>
            <a:graphic>
              <a:graphicData uri="http://schemas.openxmlformats.org/drawingml/2006/picture">
                <pic:pic>
                  <pic:nvPicPr>
                    <pic:cNvPr id="0" name="m6_requests_5.png"/>
                    <pic:cNvPicPr/>
                  </pic:nvPicPr>
                  <pic:blipFill>
                    <a:blip r:embed="rId68"/>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58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59" name="Picture 59"/>
            <wp:cNvGraphicFramePr>
              <a:graphicFrameLocks noChangeAspect="1"/>
            </wp:cNvGraphicFramePr>
            <a:graphic>
              <a:graphicData uri="http://schemas.openxmlformats.org/drawingml/2006/picture">
                <pic:pic>
                  <pic:nvPicPr>
                    <pic:cNvPr id="0" name="m6_requests_6.png"/>
                    <pic:cNvPicPr/>
                  </pic:nvPicPr>
                  <pic:blipFill>
                    <a:blip r:embed="rId69"/>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59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0" name="Picture 60"/>
            <wp:cNvGraphicFramePr>
              <a:graphicFrameLocks noChangeAspect="1"/>
            </wp:cNvGraphicFramePr>
            <a:graphic>
              <a:graphicData uri="http://schemas.openxmlformats.org/drawingml/2006/picture">
                <pic:pic>
                  <pic:nvPicPr>
                    <pic:cNvPr id="0" name="m6_notifications.png"/>
                    <pic:cNvPicPr/>
                  </pic:nvPicPr>
                  <pic:blipFill>
                    <a:blip r:embed="rId70"/>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60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1" name="Picture 61"/>
            <wp:cNvGraphicFramePr>
              <a:graphicFrameLocks noChangeAspect="1"/>
            </wp:cNvGraphicFramePr>
            <a:graphic>
              <a:graphicData uri="http://schemas.openxmlformats.org/drawingml/2006/picture">
                <pic:pic>
                  <pic:nvPicPr>
                    <pic:cNvPr id="0" name="m7_8_lc_terms_1.png"/>
                    <pic:cNvPicPr/>
                  </pic:nvPicPr>
                  <pic:blipFill>
                    <a:blip r:embed="rId71"/>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61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2" name="Picture 62"/>
            <wp:cNvGraphicFramePr>
              <a:graphicFrameLocks noChangeAspect="1"/>
            </wp:cNvGraphicFramePr>
            <a:graphic>
              <a:graphicData uri="http://schemas.openxmlformats.org/drawingml/2006/picture">
                <pic:pic>
                  <pic:nvPicPr>
                    <pic:cNvPr id="0" name="m7_8_lc_terms_2.png"/>
                    <pic:cNvPicPr/>
                  </pic:nvPicPr>
                  <pic:blipFill>
                    <a:blip r:embed="rId72"/>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62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3" name="Picture 63"/>
            <wp:cNvGraphicFramePr>
              <a:graphicFrameLocks noChangeAspect="1"/>
            </wp:cNvGraphicFramePr>
            <a:graphic>
              <a:graphicData uri="http://schemas.openxmlformats.org/drawingml/2006/picture">
                <pic:pic>
                  <pic:nvPicPr>
                    <pic:cNvPr id="0" name="m7_8_lc_terms_3.png"/>
                    <pic:cNvPicPr/>
                  </pic:nvPicPr>
                  <pic:blipFill>
                    <a:blip r:embed="rId73"/>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4" name="Picture 64"/>
            <wp:cNvGraphicFramePr>
              <a:graphicFrameLocks noChangeAspect="1"/>
            </wp:cNvGraphicFramePr>
            <a:graphic>
              <a:graphicData uri="http://schemas.openxmlformats.org/drawingml/2006/picture">
                <pic:pic>
                  <pic:nvPicPr>
                    <pic:cNvPr id="0" name="m7_8_lc_terms_4.png"/>
                    <pic:cNvPicPr/>
                  </pic:nvPicPr>
                  <pic:blipFill>
                    <a:blip r:embed="rId74"/>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5" name="Picture 65"/>
            <wp:cNvGraphicFramePr>
              <a:graphicFrameLocks noChangeAspect="1"/>
            </wp:cNvGraphicFramePr>
            <a:graphic>
              <a:graphicData uri="http://schemas.openxmlformats.org/drawingml/2006/picture">
                <pic:pic>
                  <pic:nvPicPr>
                    <pic:cNvPr id="0" name="m7_8_lc_terms_5.png"/>
                    <pic:cNvPicPr/>
                  </pic:nvPicPr>
                  <pic:blipFill>
                    <a:blip r:embed="rId75"/>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66" name="Picture 66"/>
            <wp:cNvGraphicFramePr>
              <a:graphicFrameLocks noChangeAspect="1"/>
            </wp:cNvGraphicFramePr>
            <a:graphic>
              <a:graphicData uri="http://schemas.openxmlformats.org/drawingml/2006/picture">
                <pic:pic>
                  <pic:nvPicPr>
                    <pic:cNvPr id="0" name="m7_8_lc_ops_1.png"/>
                    <pic:cNvPicPr/>
                  </pic:nvPicPr>
                  <pic:blipFill>
                    <a:blip r:embed="rId76"/>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66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67" name="Picture 67"/>
            <wp:cNvGraphicFramePr>
              <a:graphicFrameLocks noChangeAspect="1"/>
            </wp:cNvGraphicFramePr>
            <a:graphic>
              <a:graphicData uri="http://schemas.openxmlformats.org/drawingml/2006/picture">
                <pic:pic>
                  <pic:nvPicPr>
                    <pic:cNvPr id="0" name="m7_8_lc_ops_2.png"/>
                    <pic:cNvPicPr/>
                  </pic:nvPicPr>
                  <pic:blipFill>
                    <a:blip r:embed="rId77"/>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67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68" name="Picture 68"/>
            <wp:cNvGraphicFramePr>
              <a:graphicFrameLocks noChangeAspect="1"/>
            </wp:cNvGraphicFramePr>
            <a:graphic>
              <a:graphicData uri="http://schemas.openxmlformats.org/drawingml/2006/picture">
                <pic:pic>
                  <pic:nvPicPr>
                    <pic:cNvPr id="0" name="m7_8_lc_ops_3.png"/>
                    <pic:cNvPicPr/>
                  </pic:nvPicPr>
                  <pic:blipFill>
                    <a:blip r:embed="rId78"/>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68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69" name="Picture 69"/>
            <wp:cNvGraphicFramePr>
              <a:graphicFrameLocks noChangeAspect="1"/>
            </wp:cNvGraphicFramePr>
            <a:graphic>
              <a:graphicData uri="http://schemas.openxmlformats.org/drawingml/2006/picture">
                <pic:pic>
                  <pic:nvPicPr>
                    <pic:cNvPr id="0" name="m7_8_lc_ops_4.png"/>
                    <pic:cNvPicPr/>
                  </pic:nvPicPr>
                  <pic:blipFill>
                    <a:blip r:embed="rId79"/>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69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0" name="Picture 70"/>
            <wp:cNvGraphicFramePr>
              <a:graphicFrameLocks noChangeAspect="1"/>
            </wp:cNvGraphicFramePr>
            <a:graphic>
              <a:graphicData uri="http://schemas.openxmlformats.org/drawingml/2006/picture">
                <pic:pic>
                  <pic:nvPicPr>
                    <pic:cNvPr id="0" name="m7_8_lc_ops_5.png"/>
                    <pic:cNvPicPr/>
                  </pic:nvPicPr>
                  <pic:blipFill>
                    <a:blip r:embed="rId80"/>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70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1" name="Picture 71"/>
            <wp:cNvGraphicFramePr>
              <a:graphicFrameLocks noChangeAspect="1"/>
            </wp:cNvGraphicFramePr>
            <a:graphic>
              <a:graphicData uri="http://schemas.openxmlformats.org/drawingml/2006/picture">
                <pic:pic>
                  <pic:nvPicPr>
                    <pic:cNvPr id="0" name="m7_8_lc_ops_6.png"/>
                    <pic:cNvPicPr/>
                  </pic:nvPicPr>
                  <pic:blipFill>
                    <a:blip r:embed="rId81"/>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71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2" name="Picture 72"/>
            <wp:cNvGraphicFramePr>
              <a:graphicFrameLocks noChangeAspect="1"/>
            </wp:cNvGraphicFramePr>
            <a:graphic>
              <a:graphicData uri="http://schemas.openxmlformats.org/drawingml/2006/picture">
                <pic:pic>
                  <pic:nvPicPr>
                    <pic:cNvPr id="0" name="m7_8_lc_ops_7.png"/>
                    <pic:cNvPicPr/>
                  </pic:nvPicPr>
                  <pic:blipFill>
                    <a:blip r:embed="rId82"/>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72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3" name="Picture 73"/>
            <wp:cNvGraphicFramePr>
              <a:graphicFrameLocks noChangeAspect="1"/>
            </wp:cNvGraphicFramePr>
            <a:graphic>
              <a:graphicData uri="http://schemas.openxmlformats.org/drawingml/2006/picture">
                <pic:pic>
                  <pic:nvPicPr>
                    <pic:cNvPr id="0" name="m7_8_lc_ops_8.png"/>
                    <pic:cNvPicPr/>
                  </pic:nvPicPr>
                  <pic:blipFill>
                    <a:blip r:embed="rId83"/>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73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4" name="Picture 74"/>
            <wp:cNvGraphicFramePr>
              <a:graphicFrameLocks noChangeAspect="1"/>
            </wp:cNvGraphicFramePr>
            <a:graphic>
              <a:graphicData uri="http://schemas.openxmlformats.org/drawingml/2006/picture">
                <pic:pic>
                  <pic:nvPicPr>
                    <pic:cNvPr id="0" name="m7_8_lc_ops_9.png"/>
                    <pic:cNvPicPr/>
                  </pic:nvPicPr>
                  <pic:blipFill>
                    <a:blip r:embed="rId84"/>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74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A job bound in SUSPENDED or CLOSED cannot write (DQ-F04-8).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w:t>
            </w:r>
          </w:p>
        </w:tc>
        <w:tc>
          <w:tcPr>
            <w:tcW w:type="dxa" w:w="2721"/>
          </w:tcPr>
          <w:p>
            <w:pPr>
              <w:spacing w:after="0" w:before="0"/>
            </w:pPr>
            <w:r/>
            <w:r>
              <w:rPr>
                <w:rFonts w:ascii="Arial" w:hAnsi="Arial"/>
                <w:b w:val="0"/>
                <w:sz w:val="15"/>
              </w:rPr>
              <w:t>Give the worker and support connections their own logins and secrets (DOC-S08); chain the audit rows when FR-PLT-025 is built (S2); add the other dial codes from an ITU source; add the write procedures jobs need in read-only states; lift the closing guard when FR-PLT-039 ships.</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198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cfg.JobDefinition</w:t>
            </w:r>
          </w:p>
        </w:tc>
        <w:tc>
          <w:tcPr>
            <w:tcW w:type="dxa" w:w="10205"/>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cfg.JobRun</w:t>
            </w:r>
          </w:p>
        </w:tc>
        <w:tc>
          <w:tcPr>
            <w:tcW w:type="dxa" w:w="10205"/>
          </w:tcPr>
          <w:p>
            <w:pPr>
              <w:spacing w:after="0" w:before="0"/>
            </w:pPr>
            <w:r/>
            <w:r>
              <w:rPr>
                <w:rFonts w:ascii="Arial" w:hAnsi="Arial"/>
                <w:b w:val="0"/>
                <w:sz w:val="15"/>
              </w:rPr>
              <w:t>Background job run log: last run, duration and result, visible to the account administrator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cfg.NonWorkingDay</w:t>
            </w:r>
          </w:p>
        </w:tc>
        <w:tc>
          <w:tcPr>
            <w:tcW w:type="dxa" w:w="10205"/>
            <w:shd w:val="clear" w:color="auto" w:fill="E8EEF6"/>
          </w:tcPr>
          <w:p>
            <w:pPr>
              <w:spacing w:after="0" w:before="0"/>
            </w:pPr>
            <w:r/>
            <w:r>
              <w:rPr>
                <w:rFonts w:ascii="Arial" w:hAnsi="Arial"/>
                <w:b w:val="0"/>
                <w:sz w:val="15"/>
              </w:rPr>
              <w:t>Non-working day; NULL TenantId = platform holiday, read-only (FR-PLT-035, BR-PLT-014)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cfg.NumberIssue</w:t>
            </w:r>
          </w:p>
        </w:tc>
        <w:tc>
          <w:tcPr>
            <w:tcW w:type="dxa" w:w="10205"/>
          </w:tcPr>
          <w:p>
            <w:pPr>
              <w:spacing w:after="0" w:before="0"/>
            </w:pPr>
            <w:r/>
            <w:r>
              <w:rPr>
                <w:rFonts w:ascii="Arial" w:hAnsi="Arial"/>
                <w:b w:val="0"/>
                <w:sz w:val="15"/>
              </w:rPr>
              <w:t>Issued document numbers; a cancelled number is never reused (FR-PLT-026, BR-PLT-010)</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cfg.NumberSequence</w:t>
            </w:r>
          </w:p>
        </w:tc>
        <w:tc>
          <w:tcPr>
            <w:tcW w:type="dxa" w:w="10205"/>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cfg.NumberSequenceDefinition</w:t>
            </w:r>
          </w:p>
        </w:tc>
        <w:tc>
          <w:tcPr>
            <w:tcW w:type="dxa" w:w="10205"/>
          </w:tcPr>
          <w:p>
            <w:pPr>
              <w:spacing w:after="0" w:before="0"/>
            </w:pPr>
            <w:r/>
            <w:r>
              <w:rPr>
                <w:rFonts w:ascii="Arial" w:hAnsi="Arial"/>
                <w:b w:val="0"/>
                <w:sz w:val="15"/>
              </w:rPr>
              <w:t>Numbering-type definition with a tag-based format, for example {seq:000}-{erp}-{yy} (FR-PLT-026)</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cfg.OutboxEvent</w:t>
            </w:r>
          </w:p>
        </w:tc>
        <w:tc>
          <w:tcPr>
            <w:tcW w:type="dxa" w:w="10205"/>
            <w:shd w:val="clear" w:color="auto" w:fill="E8EEF6"/>
          </w:tcPr>
          <w:p>
            <w:pPr>
              <w:spacing w:after="0" w:before="0"/>
            </w:pPr>
            <w:r/>
            <w:r>
              <w:rPr>
                <w:rFonts w:ascii="Arial" w:hAnsi="Arial"/>
                <w:b w:val="0"/>
                <w:sz w:val="15"/>
              </w:rPr>
              <w:t>Outbound queue with at-least-once delivery; the payload carries identifiers without restricted data (FR-PLT-042)</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cfg.SeedRun</w:t>
            </w:r>
          </w:p>
        </w:tc>
        <w:tc>
          <w:tcPr>
            <w:tcW w:type="dxa" w:w="10205"/>
          </w:tcPr>
          <w:p>
            <w:pPr>
              <w:spacing w:after="0" w:before="0"/>
            </w:pPr>
            <w:r/>
            <w:r>
              <w:rPr>
                <w:rFonts w:ascii="Arial" w:hAnsi="Arial"/>
                <w:b w:val="0"/>
                <w:sz w:val="15"/>
              </w:rPr>
              <w:t>Numbered seed-run log per package; re-running a seed adds nothing (FR-PLT-008)</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cfg.SettingDefinition</w:t>
            </w:r>
          </w:p>
        </w:tc>
        <w:tc>
          <w:tcPr>
            <w:tcW w:type="dxa" w:w="10205"/>
            <w:shd w:val="clear" w:color="auto" w:fill="E8EEF6"/>
          </w:tcPr>
          <w:p>
            <w:pPr>
              <w:spacing w:after="0" w:before="0"/>
            </w:pPr>
            <w:r/>
            <w:r>
              <w:rPr>
                <w:rFonts w:ascii="Arial" w:hAnsi="Arial"/>
                <w:b w:val="0"/>
                <w:sz w:val="15"/>
              </w:rPr>
              <w:t>Setting-key definition with platform minimum and maximum bounds (BR-PLT-018,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cfg.TenantSetting</w:t>
            </w:r>
          </w:p>
        </w:tc>
        <w:tc>
          <w:tcPr>
            <w:tcW w:type="dxa" w:w="10205"/>
          </w:tcPr>
          <w:p>
            <w:pPr>
              <w:spacing w:after="0" w:before="0"/>
            </w:pPr>
            <w:r/>
            <w:r>
              <w:rPr>
                <w:rFonts w:ascii="Arial" w:hAnsi="Arial"/>
                <w:b w:val="0"/>
                <w:sz w:val="15"/>
              </w:rPr>
              <w:t>Tenant settings: security policies, timeouts, thresholds, and work start and end times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cmp.TermType</w:t>
            </w:r>
          </w:p>
        </w:tc>
        <w:tc>
          <w:tcPr>
            <w:tcW w:type="dxa" w:w="10205"/>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cmp.TermValue</w:t>
            </w:r>
          </w:p>
        </w:tc>
        <w:tc>
          <w:tcPr>
            <w:tcW w:type="dxa" w:w="10205"/>
          </w:tcPr>
          <w:p>
            <w:pPr>
              <w:spacing w:after="0" w:before="0"/>
            </w:pPr>
            <w:r/>
            <w:r>
              <w:rPr>
                <w:rFonts w:ascii="Arial" w:hAnsi="Arial"/>
                <w:b w:val="0"/>
                <w:sz w:val="15"/>
              </w:rPr>
              <w:t>Term value in a facility, with its scope and source (FR-CMP-002..006, BR-CMP-001..006, V-CMP-01)</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col.Collateral</w:t>
            </w:r>
          </w:p>
        </w:tc>
        <w:tc>
          <w:tcPr>
            <w:tcW w:type="dxa" w:w="10205"/>
            <w:shd w:val="clear" w:color="auto" w:fill="E8EEF6"/>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col.CollateralLink</w:t>
            </w:r>
          </w:p>
        </w:tc>
        <w:tc>
          <w:tcPr>
            <w:tcW w:type="dxa" w:w="10205"/>
          </w:tcPr>
          <w:p>
            <w:pPr>
              <w:spacing w:after="0" w:before="0"/>
            </w:pPr>
            <w:r/>
            <w:r>
              <w:rPr>
                <w:rFonts w:ascii="Arial" w:hAnsi="Arial"/>
                <w:b w:val="0"/>
                <w:sz w:val="15"/>
              </w:rPr>
              <w:t>Link between collateral and a facility or limit; one collateral can serve several facilities (FR-COL-002, BR-COL-005)</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col.Guarantee</w:t>
            </w:r>
          </w:p>
        </w:tc>
        <w:tc>
          <w:tcPr>
            <w:tcW w:type="dxa" w:w="10205"/>
            <w:shd w:val="clear" w:color="auto" w:fill="E8EEF6"/>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col.InsurancePolicyAssignment</w:t>
            </w:r>
          </w:p>
        </w:tc>
        <w:tc>
          <w:tcPr>
            <w:tcW w:type="dxa" w:w="10205"/>
          </w:tcPr>
          <w:p>
            <w:pPr>
              <w:spacing w:after="0" w:before="0"/>
            </w:pPr>
            <w:r/>
            <w:r>
              <w:rPr>
                <w:rFonts w:ascii="Arial" w:hAnsi="Arial"/>
                <w:b w:val="0"/>
                <w:sz w:val="15"/>
              </w:rPr>
              <w:t>Insurance policy assignment; the uniqueness key (CollateralId, PolicyNo) allows the policy to be renewed (FR-COL-006, BR-COL-003)</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col.PromissoryNote</w:t>
            </w:r>
          </w:p>
        </w:tc>
        <w:tc>
          <w:tcPr>
            <w:tcW w:type="dxa" w:w="10205"/>
            <w:shd w:val="clear" w:color="auto" w:fill="E8EEF6"/>
          </w:tcPr>
          <w:p>
            <w:pPr>
              <w:spacing w:after="0" w:before="0"/>
            </w:pPr>
            <w:r/>
            <w:r>
              <w:rPr>
                <w:rFonts w:ascii="Arial" w:hAnsi="Arial"/>
                <w:b w:val="0"/>
                <w:sz w:val="15"/>
              </w:rPr>
              <w:t>Promissory note, 1:1; its own amount may exceed the limit (FR-COL-005, BR-COL-002); NextRenewalDue and PNRatio are derived</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col.PromissoryNoteSigner</w:t>
            </w:r>
          </w:p>
        </w:tc>
        <w:tc>
          <w:tcPr>
            <w:tcW w:type="dxa" w:w="10205"/>
          </w:tcPr>
          <w:p>
            <w:pPr>
              <w:spacing w:after="0" w:before="0"/>
            </w:pPr>
            <w:r/>
            <w:r>
              <w:rPr>
                <w:rFonts w:ascii="Arial" w:hAnsi="Arial"/>
                <w:b w:val="0"/>
                <w:sz w:val="15"/>
              </w:rPr>
              <w:t>Signers of the promissory note (SignerPartyIds)</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col.ValuationSchedule</w:t>
            </w:r>
          </w:p>
        </w:tc>
        <w:tc>
          <w:tcPr>
            <w:tcW w:type="dxa" w:w="10205"/>
            <w:shd w:val="clear" w:color="auto" w:fill="E8EEF6"/>
          </w:tcPr>
          <w:p>
            <w:pPr>
              <w:spacing w:after="0" w:before="0"/>
            </w:pPr>
            <w:r/>
            <w:r>
              <w:rPr>
                <w:rFonts w:ascii="Arial" w:hAnsi="Arial"/>
                <w:b w:val="0"/>
                <w:sz w:val="15"/>
              </w:rPr>
              <w:t>Property valuation schedule (FR-COL-008, BR-COL-004), for example three valuers in the first year, then one valuer per year</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doc.Document</w:t>
            </w:r>
          </w:p>
        </w:tc>
        <w:tc>
          <w:tcPr>
            <w:tcW w:type="dxa" w:w="10205"/>
          </w:tcPr>
          <w:p>
            <w:pPr>
              <w:spacing w:after="0" w:before="0"/>
            </w:pPr>
            <w:r/>
            <w:r>
              <w:rPr>
                <w:rFonts w:ascii="Arial" w:hAnsi="Arial"/>
                <w:b w:val="0"/>
                <w:sz w:val="15"/>
              </w:rPr>
              <w:t>Logical document: document data and status; the file itself is in doc.DocumentVersion (FR-PLT-027/028,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doc.DocumentLink</w:t>
            </w:r>
          </w:p>
        </w:tc>
        <w:tc>
          <w:tcPr>
            <w:tcW w:type="dxa" w:w="10205"/>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doc.DocumentVersion</w:t>
            </w:r>
          </w:p>
        </w:tc>
        <w:tc>
          <w:tcPr>
            <w:tcW w:type="dxa" w:w="10205"/>
          </w:tcPr>
          <w:p>
            <w:pPr>
              <w:spacing w:after="0" w:before="0"/>
            </w:pPr>
            <w:r/>
            <w:r>
              <w:rPr>
                <w:rFonts w:ascii="Arial" w:hAnsi="Arial"/>
                <w:b w:val="0"/>
                <w:sz w:val="15"/>
              </w:rPr>
              <w:t>Immutable file version; a change creates a new version, enforced by the application (FR-PLT-027,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fac.Facility</w:t>
            </w:r>
          </w:p>
        </w:tc>
        <w:tc>
          <w:tcPr>
            <w:tcW w:type="dxa" w:w="10205"/>
            <w:shd w:val="clear" w:color="auto" w:fill="E8EEF6"/>
          </w:tcPr>
          <w:p>
            <w:pPr>
              <w:spacing w:after="0" w:before="0"/>
            </w:pPr>
            <w:r/>
            <w:r>
              <w:rPr>
                <w:rFonts w:ascii="Arial" w:hAnsi="Arial"/>
                <w:b w:val="0"/>
                <w:sz w:val="15"/>
              </w:rPr>
              <w:t>Facility agreement package: root of the aggregate (FR-FAC-001..008, BR-FAC-001/005/006)</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fac.FacilityDocument</w:t>
            </w:r>
          </w:p>
        </w:tc>
        <w:tc>
          <w:tcPr>
            <w:tcW w:type="dxa" w:w="10205"/>
          </w:tcPr>
          <w:p>
            <w:pPr>
              <w:spacing w:after="0" w:before="0"/>
            </w:pPr>
            <w:r/>
            <w:r>
              <w:rPr>
                <w:rFonts w:ascii="Arial" w:hAnsi="Arial"/>
                <w:b w:val="0"/>
                <w:sz w:val="15"/>
              </w:rPr>
              <w:t>Document within the package, with precedence (FR-FAC-004, BR-FAC-008, V-FAC-03); its type comes from doc.Document.DocumentTypeId</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w:t>
            </w:r>
          </w:p>
        </w:tc>
        <w:tc>
          <w:tcPr>
            <w:tcW w:type="dxa" w:w="10205"/>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the rendered text is frozen at lock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the application prevents edits after issue;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ref.UcpArticle</w:t>
            </w:r>
          </w:p>
        </w:tc>
        <w:tc>
          <w:tcPr>
            <w:tcW w:type="dxa" w:w="10205"/>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sec.AppUser</w:t>
            </w:r>
          </w:p>
        </w:tc>
        <w:tc>
          <w:tcPr>
            <w:tcW w:type="dxa" w:w="10205"/>
          </w:tcPr>
          <w:p>
            <w:pPr>
              <w:spacing w:after="0" w:before="0"/>
            </w:pPr>
            <w:r/>
            <w:r>
              <w:rPr>
                <w:rFonts w:ascii="Arial" w:hAnsi="Arial"/>
                <w:b w:val="0"/>
                <w:sz w:val="15"/>
              </w:rPr>
              <w:t>Tenant portal user (FR-PLT-010..016, BR-PLT-004..006)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sec.ExternalIdentity</w:t>
            </w:r>
          </w:p>
        </w:tc>
        <w:tc>
          <w:tcPr>
            <w:tcW w:type="dxa" w:w="10205"/>
            <w:shd w:val="clear" w:color="auto" w:fill="E8EEF6"/>
          </w:tcPr>
          <w:p>
            <w:pPr>
              <w:spacing w:after="0" w:before="0"/>
            </w:pPr>
            <w:r/>
            <w:r>
              <w:rPr>
                <w:rFonts w:ascii="Arial" w:hAnsi="Arial"/>
                <w:b w:val="0"/>
                <w:sz w:val="15"/>
              </w:rPr>
              <w:t>Link between an external OIDC or Entra identity and a user; readiness only (FR-PLT-015, section 11)</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sec.KeyEvent</w:t>
            </w:r>
          </w:p>
        </w:tc>
        <w:tc>
          <w:tcPr>
            <w:tcW w:type="dxa" w:w="10205"/>
          </w:tcPr>
          <w:p>
            <w:pPr>
              <w:spacing w:after="0" w:before="0"/>
            </w:pPr>
            <w:r/>
            <w:r>
              <w:rPr>
                <w:rFonts w:ascii="Arial" w:hAnsi="Arial"/>
                <w:b w:val="0"/>
                <w:sz w:val="15"/>
              </w:rPr>
              <w:t>Key event log: create, rotate and revoke (FR-PLT-037; high severity BR-PLT-009)</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sec.LoginAttempt</w:t>
            </w:r>
          </w:p>
        </w:tc>
        <w:tc>
          <w:tcPr>
            <w:tcW w:type="dxa" w:w="10205"/>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sec.MfaRecoveryCode</w:t>
            </w:r>
          </w:p>
        </w:tc>
        <w:tc>
          <w:tcPr>
            <w:tcW w:type="dxa" w:w="10205"/>
          </w:tcPr>
          <w:p>
            <w:pPr>
              <w:spacing w:after="0" w:before="0"/>
            </w:pPr>
            <w:r/>
            <w:r>
              <w:rPr>
                <w:rFonts w:ascii="Arial" w:hAnsi="Arial"/>
                <w:b w:val="0"/>
                <w:sz w:val="15"/>
              </w:rPr>
              <w:t>Ten single-use recovery codes, stored hashed (FR-PLT-011, BR-PLT-006); replaces the AppUser.RecoveryCodesHash JSON</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sec.Permission</w:t>
            </w:r>
          </w:p>
        </w:tc>
        <w:tc>
          <w:tcPr>
            <w:tcW w:type="dxa" w:w="10205"/>
            <w:shd w:val="clear" w:color="auto" w:fill="E8EEF6"/>
          </w:tcPr>
          <w:p>
            <w:pPr>
              <w:spacing w:after="0" w:before="0"/>
            </w:pPr>
            <w:r/>
            <w:r>
              <w:rPr>
                <w:rFonts w:ascii="Arial" w:hAnsi="Arial"/>
                <w:b w:val="0"/>
                <w:sz w:val="15"/>
              </w:rPr>
              <w:t>Permission catalogue owned by the platform; a tenant cannot add a permission (FR-PLT-017)</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w:t>
            </w:r>
          </w:p>
        </w:tc>
        <w:tc>
          <w:tcPr>
            <w:tcW w:type="dxa" w:w="10205"/>
          </w:tcPr>
          <w:p>
            <w:pPr>
              <w:spacing w:after="0" w:before="0"/>
            </w:pPr>
            <w:r/>
            <w:r>
              <w:rPr>
                <w:rFonts w:ascii="Arial" w:hAnsi="Arial"/>
                <w:b w:val="0"/>
                <w:sz w:val="15"/>
              </w:rPr>
              <w:t>Role defined by the tenant or seeded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sec.RolePermission</w:t>
            </w:r>
          </w:p>
        </w:tc>
        <w:tc>
          <w:tcPr>
            <w:tcW w:type="dxa" w:w="10205"/>
            <w:shd w:val="clear" w:color="auto" w:fill="E8EEF6"/>
          </w:tcPr>
          <w:p>
            <w:pPr>
              <w:spacing w:after="0" w:before="0"/>
            </w:pPr>
            <w:r/>
            <w:r>
              <w:rPr>
                <w:rFonts w:ascii="Arial" w:hAnsi="Arial"/>
                <w:b w:val="0"/>
                <w:sz w:val="15"/>
              </w:rPr>
              <w:t>Role–permission link; PERMISSION_LOCKED is enforced by the service (BR-PLT-019)</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sec.SessionBinding</w:t>
            </w:r>
          </w:p>
        </w:tc>
        <w:tc>
          <w:tcPr>
            <w:tcW w:type="dxa" w:w="10205"/>
          </w:tcPr>
          <w:p>
            <w:pPr>
              <w:spacing w:after="0" w:before="0"/>
            </w:pPr>
            <w:r/>
            <w:r>
              <w:rPr>
                <w:rFonts w:ascii="Arial" w:hAnsi="Arial"/>
                <w:b w:val="0"/>
                <w:sz w:val="15"/>
              </w:rPr>
              <w:t>Connection binding for the row filters (O-16)</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password-reset token (30 minutes) or MFA re-enrolment link (24 hours) (FR-PLT-013, DQ-F03-8)</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198</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768</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584</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509</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518</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703</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74</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