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نُشر على SQL Server 2025 في بيئة التطوير ويمر CI كاملًا (انظر §14)؛ لم يُنشر على خادم الإنتاج بعد</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(198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8">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فقط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7" w:id="47"/>
      <w:r>
        <w:rPr>
          <w:rFonts w:ascii="Arial" w:cs="Arial" w:eastAsia="Arial" w:hAnsi="Arial"/>
          <w:b/>
          <w:bCs/>
          <w:color w:val="2B5C8A"/>
          <w:sz w:val="26"/>
          <w:szCs w:val="26"/>
          <w:rtl/>
        </w:rPr>
        <w:t xml:space="preserve">11.2 الملكية المتعددة والمراجع المركّبة (DR-04 · DR-06 · DR-09 · DR-10)</w:t>
      </w:r>
      <w:bookmarkEnd w:id="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11.3 الكتالوجات المملوكة للمشترك (DR-03 · DR-05 · DR-07)</w:t>
      </w:r>
      <w:bookmarkEnd w:id="4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49" w:id="49"/>
      <w:r>
        <w:rPr>
          <w:rFonts w:ascii="Arial" w:cs="Arial" w:eastAsia="Arial" w:hAnsi="Arial"/>
          <w:b/>
          <w:bCs/>
          <w:color w:val="1F3A5F"/>
          <w:sz w:val="32"/>
          <w:szCs w:val="32"/>
          <w:rtl/>
        </w:rPr>
        <w:t xml:space="preserve">12. النشر وإدارة التغيير</w:t>
      </w:r>
      <w:bookmarkEnd w:id="49"/>
    </w:p>
    <w:p>
      <w:pPr>
        <w:pStyle w:val="Heading2"/>
        <w:bidi/>
      </w:pPr>
      <w:bookmarkStart w:name="_sec50" w:id="5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the wrapper changes to db/ and runs deploy.sql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SQL_USER=&lt;login&gt; SQLCMDPASSWORD=&lt;secret&gt;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1" w:id="51"/>
      <w:r>
        <w:rPr>
          <w:rFonts w:ascii="Arial" w:cs="Arial" w:eastAsia="Arial" w:hAnsi="Arial"/>
          <w:b/>
          <w:bCs/>
          <w:color w:val="2B5C8A"/>
          <w:sz w:val="26"/>
          <w:szCs w:val="26"/>
          <w:rtl/>
        </w:rPr>
        <w:t xml:space="preserve">12.2 تغيير النموذج</w:t>
      </w:r>
      <w:bookmarkEnd w:id="5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2" w:id="5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3" w:id="53"/>
      <w:r>
        <w:rPr>
          <w:rFonts w:ascii="Arial" w:cs="Arial" w:eastAsia="Arial" w:hAnsi="Arial"/>
          <w:b/>
          <w:bCs/>
          <w:color w:val="2B5C8A"/>
          <w:sz w:val="26"/>
          <w:szCs w:val="26"/>
          <w:rtl/>
        </w:rPr>
        <w:t xml:space="preserve">12.4 الأداء والحمل</w:t>
      </w:r>
      <w:bookmarkEnd w:id="5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4" w:id="54"/>
      <w:r>
        <w:rPr>
          <w:rFonts w:ascii="Arial" w:cs="Arial" w:eastAsia="Arial" w:hAnsi="Arial"/>
          <w:b/>
          <w:bCs/>
          <w:color w:val="1F3A5F"/>
          <w:sz w:val="32"/>
          <w:szCs w:val="32"/>
          <w:rtl/>
        </w:rPr>
        <w:t xml:space="preserve">13. البذور وتهيئة المشترك</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5" w:id="55"/>
      <w:r>
        <w:rPr>
          <w:rFonts w:ascii="Arial" w:cs="Arial" w:eastAsia="Arial" w:hAnsi="Arial"/>
          <w:b/>
          <w:bCs/>
          <w:color w:val="1F3A5F"/>
          <w:sz w:val="32"/>
          <w:szCs w:val="32"/>
          <w:rtl/>
        </w:rPr>
        <w:t xml:space="preserve">14. أدلة التحقق وحدودها (بصراحة)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15. القرارات المتخذة (تُعتمد ما لم تعترض)</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16. حدود معروفة ونقاط مفتوحة</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421"/>
        <w:gridCol w:w="1659"/>
        <w:gridCol w:w="3838"/>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(§18.2) لم تُعتمد بعد</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 فيتغير الـDDL قبل S0</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17. الخطوة التالية</w:t>
      </w:r>
      <w:bookmarkEnd w:id="5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والأسئلة التي تحتاج قرارك: </w:t>
      </w:r>
      <w:r>
        <w:rPr>
          <w:rFonts w:ascii="Arial" w:cs="Arial" w:eastAsia="Arial" w:hAnsi="Arial"/>
          <w:b/>
          <w:bCs/>
          <w:sz w:val="21"/>
          <w:szCs w:val="21"/>
          <w:rtl/>
        </w:rPr>
        <w:t xml:space="preserve">هل تعتمد تعديل المواصفة 13 (O-10)؟ وأيّ من النتائج الرئيسية الـ36 والطفيفة الـ4 تُطبَّق قبل S0 (O-15)؟</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2026-10-13T12:31:57.314Z</dcterms:created>
  <dcterms:modified xsi:type="dcterms:W3CDTF">2026-10-13T12:31:57.323Z</dcterms:modified>
</cp:coreProperties>
</file>

<file path=docProps/custom.xml><?xml version="1.0" encoding="utf-8"?>
<Properties xmlns="http://schemas.openxmlformats.org/officeDocument/2006/custom-properties" xmlns:vt="http://schemas.openxmlformats.org/officeDocument/2006/docPropsVTypes"/>
</file>