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60" w:line="300"/>
        <w:jc w:val="start"/>
      </w:pPr>
      <w:r>
        <w:rPr>
          <w:rFonts w:ascii="Arial" w:cs="Arial"/>
          <w:b/>
          <w:bCs/>
          <w:color w:val="0B1F3F"/>
          <w:sz w:val="44"/>
          <w:szCs w:val="44"/>
          <w:rtl w:val="false"/>
        </w:rPr>
        <w:t xml:space="preserve">Masslak</w:t>
      </w:r>
    </w:p>
    <w:p>
      <w:pPr>
        <w:bidi w:val="false"/>
        <w:spacing w:after="80" w:line="300"/>
        <w:jc w:val="start"/>
      </w:pPr>
      <w:r>
        <w:rPr>
          <w:rFonts w:ascii="Arial" w:cs="Arial"/>
          <w:b/>
          <w:bCs/>
          <w:color w:val="0A5BD3"/>
          <w:sz w:val="30"/>
          <w:szCs w:val="30"/>
          <w:rtl w:val="false"/>
        </w:rPr>
        <w:t xml:space="preserve">Annex D: version 2.6 additions to the analysis and design study</w:t>
      </w:r>
    </w:p>
    <w:p>
      <w:pPr>
        <w:bidi w:val="false"/>
        <w:spacing w:after="240" w:line="300"/>
        <w:jc w:val="start"/>
      </w:pPr>
      <w:r>
        <w:rPr>
          <w:rFonts w:ascii="Arial" w:cs="Arial"/>
          <w:color w:val="4B5565"/>
          <w:sz w:val="22"/>
          <w:szCs w:val="22"/>
          <w:rtl w:val="false"/>
        </w:rPr>
        <w:t xml:space="preserve">Passenger transit across Syrian territory, contracted transport for schools, universities and employees, transit truck data, and extensibility</w:t>
      </w:r>
    </w:p>
    <w:tbl>
      <w:tblPr>
        <w:bidiVisual w:val="false"/>
        <w:tblW w:type="dxa" w:w="9026"/>
        <w:tblBorders>
          <w:top w:val="single" w:color="D5DBE3" w:sz="4"/>
          <w:left w:val="single" w:color="D5DBE3" w:sz="4"/>
          <w:bottom w:val="single" w:color="D5DBE3" w:sz="4"/>
          <w:right w:val="single" w:color="D5DBE3" w:sz="4"/>
          <w:insideH w:val="single" w:color="D5DBE3" w:sz="4"/>
          <w:insideV w:val="single" w:color="D5DBE3" w:sz="4"/>
        </w:tblBorders>
      </w:tblPr>
      <w:tblGrid>
        <w:gridCol w:w="2888"/>
        <w:gridCol w:w="6138"/>
      </w:tblGrid>
      <w:tr>
        <w:trPr>
          <w:tblHeader/>
        </w:trPr>
        <w:tc>
          <w:tcPr>
            <w:tcW w:type="dxa" w:w="2888"/>
            <w:shd w:fill="E8EEF8" w:color="auto" w:val="clear"/>
            <w:tcMar>
              <w:top w:type="dxa" w:w="80"/>
              <w:left w:type="dxa" w:w="110"/>
              <w:bottom w:type="dxa" w:w="80"/>
              <w:right w:type="dxa" w:w="110"/>
            </w:tcMar>
          </w:tcPr>
          <w:p>
            <w:pPr>
              <w:bidi w:val="false"/>
              <w:spacing w:after="0" w:line="300"/>
              <w:jc w:val="start"/>
            </w:pPr>
            <w:r>
              <w:rPr>
                <w:rFonts w:ascii="Arial" w:cs="Arial"/>
                <w:b/>
                <w:bCs/>
                <w:color w:val="0B1F3F"/>
                <w:sz w:val="19"/>
                <w:szCs w:val="19"/>
                <w:rtl w:val="false"/>
              </w:rPr>
              <w:t xml:space="preserve">Item</w:t>
            </w:r>
          </w:p>
        </w:tc>
        <w:tc>
          <w:tcPr>
            <w:tcW w:type="dxa" w:w="6138"/>
            <w:shd w:fill="E8EEF8" w:color="auto" w:val="clear"/>
            <w:tcMar>
              <w:top w:type="dxa" w:w="80"/>
              <w:left w:type="dxa" w:w="110"/>
              <w:bottom w:type="dxa" w:w="80"/>
              <w:right w:type="dxa" w:w="110"/>
            </w:tcMar>
          </w:tcPr>
          <w:p>
            <w:pPr>
              <w:bidi w:val="false"/>
              <w:spacing w:after="0" w:line="300"/>
              <w:jc w:val="start"/>
            </w:pPr>
            <w:r>
              <w:rPr>
                <w:rFonts w:ascii="Arial" w:cs="Arial"/>
                <w:b/>
                <w:bCs/>
                <w:color w:val="0B1F3F"/>
                <w:sz w:val="19"/>
                <w:szCs w:val="19"/>
                <w:rtl w:val="false"/>
              </w:rPr>
              <w:t xml:space="preserve">Details</w:t>
            </w:r>
          </w:p>
        </w:tc>
      </w:tr>
      <w:tr>
        <w:tc>
          <w:tcPr>
            <w:tcW w:type="dxa" w:w="288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Version</w:t>
            </w:r>
          </w:p>
        </w:tc>
        <w:tc>
          <w:tcPr>
            <w:tcW w:type="dxa" w:w="613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2.6 (annex to version 2.5)</w:t>
            </w:r>
          </w:p>
        </w:tc>
      </w:tr>
      <w:tr>
        <w:tc>
          <w:tcPr>
            <w:tcW w:type="dxa" w:w="288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Date</w:t>
            </w:r>
          </w:p>
        </w:tc>
        <w:tc>
          <w:tcPr>
            <w:tcW w:type="dxa" w:w="613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4 October 2026</w:t>
            </w:r>
          </w:p>
        </w:tc>
      </w:tr>
      <w:tr>
        <w:tc>
          <w:tcPr>
            <w:tcW w:type="dxa" w:w="288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Amends sections</w:t>
            </w:r>
          </w:p>
        </w:tc>
        <w:tc>
          <w:tcPr>
            <w:tcW w:type="dxa" w:w="613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2.1, 2.3, 3.7, 4.10, 7.8, 10.4, 10.9, 11.4, 11.6, 11.7, 11.9, 12.4</w:t>
            </w:r>
          </w:p>
        </w:tc>
      </w:tr>
      <w:tr>
        <w:tc>
          <w:tcPr>
            <w:tcW w:type="dxa" w:w="288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Status</w:t>
            </w:r>
          </w:p>
        </w:tc>
        <w:tc>
          <w:tcPr>
            <w:tcW w:type="dxa" w:w="613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Draft for approval: the decisions in D.6 are proposed and receive numbers in the decision log once approved</w:t>
            </w:r>
          </w:p>
        </w:tc>
      </w:tr>
    </w:tbl>
    <w:p>
      <w:pPr>
        <w:bidi w:val="false"/>
        <w:spacing w:after="120" w:line="300"/>
        <w:jc w:val="start"/>
      </w:pPr>
      <w:r>
        <w:rPr>
          <w:rFonts w:ascii="Arial" w:cs="Arial"/>
          <w:sz w:val="22"/>
          <w:szCs w:val="22"/>
          <w:rtl w:val="false"/>
        </w:rPr>
        <w:t xml:space="preserve"/>
      </w:r>
    </w:p>
    <w:p>
      <w:pPr>
        <w:pStyle w:val="Heading1"/>
        <w:bidi w:val="false"/>
        <w:spacing w:after="140" w:line="300"/>
        <w:jc w:val="start"/>
      </w:pPr>
      <w:r>
        <w:rPr>
          <w:rFonts w:ascii="Arial" w:cs="Arial"/>
          <w:b/>
          <w:bCs/>
          <w:color w:val="0B1F3F"/>
          <w:sz w:val="30"/>
          <w:szCs w:val="30"/>
          <w:rtl w:val="false"/>
        </w:rPr>
        <w:t xml:space="preserve">D.0 Purpose and summary of changes</w:t>
      </w:r>
    </w:p>
    <w:p>
      <w:pPr>
        <w:bidi w:val="false"/>
        <w:spacing w:after="120" w:line="300"/>
        <w:jc w:val="start"/>
      </w:pPr>
      <w:r>
        <w:rPr>
          <w:rFonts w:ascii="Arial" w:cs="Arial"/>
          <w:sz w:val="22"/>
          <w:szCs w:val="22"/>
          <w:rtl w:val="false"/>
        </w:rPr>
        <w:t xml:space="preserve">We reviewed version 2.5 against four owner requirements. Three are covered to different degrees; the fourth is absent. This annex closes the gaps without changing the core, following the principles of adding rather than modifying (2.3) and building fully then enabling by configuration (2.8).</w:t>
      </w:r>
    </w:p>
    <w:tbl>
      <w:tblPr>
        <w:bidiVisual w:val="false"/>
        <w:tblW w:type="dxa" w:w="9026"/>
        <w:tblBorders>
          <w:top w:val="single" w:color="D5DBE3" w:sz="4"/>
          <w:left w:val="single" w:color="D5DBE3" w:sz="4"/>
          <w:bottom w:val="single" w:color="D5DBE3" w:sz="4"/>
          <w:right w:val="single" w:color="D5DBE3" w:sz="4"/>
          <w:insideH w:val="single" w:color="D5DBE3" w:sz="4"/>
          <w:insideV w:val="single" w:color="D5DBE3" w:sz="4"/>
        </w:tblBorders>
      </w:tblPr>
      <w:tblGrid>
        <w:gridCol w:w="2347"/>
        <w:gridCol w:w="3339"/>
        <w:gridCol w:w="3340"/>
      </w:tblGrid>
      <w:tr>
        <w:trPr>
          <w:tblHeader/>
        </w:trPr>
        <w:tc>
          <w:tcPr>
            <w:tcW w:type="dxa" w:w="2347"/>
            <w:shd w:fill="E8EEF8" w:color="auto" w:val="clear"/>
            <w:tcMar>
              <w:top w:type="dxa" w:w="80"/>
              <w:left w:type="dxa" w:w="110"/>
              <w:bottom w:type="dxa" w:w="80"/>
              <w:right w:type="dxa" w:w="110"/>
            </w:tcMar>
          </w:tcPr>
          <w:p>
            <w:pPr>
              <w:bidi w:val="false"/>
              <w:spacing w:after="0" w:line="300"/>
              <w:jc w:val="start"/>
            </w:pPr>
            <w:r>
              <w:rPr>
                <w:rFonts w:ascii="Arial" w:cs="Arial"/>
                <w:b/>
                <w:bCs/>
                <w:color w:val="0B1F3F"/>
                <w:sz w:val="19"/>
                <w:szCs w:val="19"/>
                <w:rtl w:val="false"/>
              </w:rPr>
              <w:t xml:space="preserve">Requirement</w:t>
            </w:r>
          </w:p>
        </w:tc>
        <w:tc>
          <w:tcPr>
            <w:tcW w:type="dxa" w:w="3339"/>
            <w:shd w:fill="E8EEF8" w:color="auto" w:val="clear"/>
            <w:tcMar>
              <w:top w:type="dxa" w:w="80"/>
              <w:left w:type="dxa" w:w="110"/>
              <w:bottom w:type="dxa" w:w="80"/>
              <w:right w:type="dxa" w:w="110"/>
            </w:tcMar>
          </w:tcPr>
          <w:p>
            <w:pPr>
              <w:bidi w:val="false"/>
              <w:spacing w:after="0" w:line="300"/>
              <w:jc w:val="start"/>
            </w:pPr>
            <w:r>
              <w:rPr>
                <w:rFonts w:ascii="Arial" w:cs="Arial"/>
                <w:b/>
                <w:bCs/>
                <w:color w:val="0B1F3F"/>
                <w:sz w:val="19"/>
                <w:szCs w:val="19"/>
                <w:rtl w:val="false"/>
              </w:rPr>
              <w:t xml:space="preserve">Status in 2.5</w:t>
            </w:r>
          </w:p>
        </w:tc>
        <w:tc>
          <w:tcPr>
            <w:tcW w:type="dxa" w:w="3340"/>
            <w:shd w:fill="E8EEF8" w:color="auto" w:val="clear"/>
            <w:tcMar>
              <w:top w:type="dxa" w:w="80"/>
              <w:left w:type="dxa" w:w="110"/>
              <w:bottom w:type="dxa" w:w="80"/>
              <w:right w:type="dxa" w:w="110"/>
            </w:tcMar>
          </w:tcPr>
          <w:p>
            <w:pPr>
              <w:bidi w:val="false"/>
              <w:spacing w:after="0" w:line="300"/>
              <w:jc w:val="start"/>
            </w:pPr>
            <w:r>
              <w:rPr>
                <w:rFonts w:ascii="Arial" w:cs="Arial"/>
                <w:b/>
                <w:bCs/>
                <w:color w:val="0B1F3F"/>
                <w:sz w:val="19"/>
                <w:szCs w:val="19"/>
                <w:rtl w:val="false"/>
              </w:rPr>
              <w:t xml:space="preserve">What this annex adds</w:t>
            </w:r>
          </w:p>
        </w:tc>
      </w:tr>
      <w:tr>
        <w:tc>
          <w:tcPr>
            <w:tcW w:type="dxa" w:w="2347"/>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Passenger transit across Syria, with the manifest, entry and exit border points, and tracking through the driver app</w:t>
            </w:r>
          </w:p>
        </w:tc>
        <w:tc>
          <w:tcPr>
            <w:tcW w:type="dxa" w:w="3339"/>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Partly covered: the manifest (11), the crossing plan (11.6) and strict tracking (7.8) exist, but the transit passenger is not named and 3.7 limits foreign carriers to trips from and to the country</w:t>
            </w:r>
          </w:p>
        </w:tc>
        <w:tc>
          <w:tcPr>
            <w:tcW w:type="dxa" w:w="3340"/>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A transit trip and transit passenger category, an amended 3.7, transit-country document rules, a corridor and time limit, and entry/exit head-count reconciliation (D.1)</w:t>
            </w:r>
          </w:p>
        </w:tc>
      </w:tr>
      <w:tr>
        <w:tc>
          <w:tcPr>
            <w:tcW w:type="dxa" w:w="2347"/>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A module for school, university and employee transport</w:t>
            </w:r>
          </w:p>
        </w:tc>
        <w:tc>
          <w:tcPr>
            <w:tcW w:type="dxa" w:w="3339"/>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Absent (only a student fare category in 4.15)</w:t>
            </w:r>
          </w:p>
        </w:tc>
        <w:tc>
          <w:tcPr>
            <w:tcW w:type="dxa" w:w="3340"/>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A full contracted transport module on the core (D.2)</w:t>
            </w:r>
          </w:p>
        </w:tc>
      </w:tr>
      <w:tr>
        <w:tc>
          <w:tcPr>
            <w:tcW w:type="dxa" w:w="2347"/>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Transit truck data and cargo type</w:t>
            </w:r>
          </w:p>
        </w:tc>
        <w:tc>
          <w:tcPr>
            <w:tcW w:type="dxa" w:w="3339"/>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Covered in 10.4, 10.9 and 11.4</w:t>
            </w:r>
          </w:p>
        </w:tc>
        <w:tc>
          <w:tcPr>
            <w:tcW w:type="dxa" w:w="3340"/>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A standard cargo type classification as additional information, and the hazard class of the goods themselves (D.3)</w:t>
            </w:r>
          </w:p>
        </w:tc>
      </w:tr>
      <w:tr>
        <w:tc>
          <w:tcPr>
            <w:tcW w:type="dxa" w:w="2347"/>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An extensible core that accepts new modules</w:t>
            </w:r>
          </w:p>
        </w:tc>
        <w:tc>
          <w:tcPr>
            <w:tcW w:type="dxa" w:w="3339"/>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Covered in 2.1, 2.2, 2.3 and 12.4</w:t>
            </w:r>
          </w:p>
        </w:tc>
        <w:tc>
          <w:tcPr>
            <w:tcW w:type="dxa" w:w="3340"/>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A common contract for any new module, and fixed lists turned into reference tables (D.4)</w:t>
            </w:r>
          </w:p>
        </w:tc>
      </w:tr>
    </w:tbl>
    <w:p>
      <w:pPr>
        <w:bidi w:val="false"/>
        <w:spacing w:after="80" w:line="300"/>
        <w:jc w:val="start"/>
      </w:pPr>
      <w:r>
        <w:rPr>
          <w:rFonts w:ascii="Arial" w:cs="Arial"/>
          <w:sz w:val="22"/>
          <w:szCs w:val="22"/>
          <w:rtl w:val="false"/>
        </w:rPr>
        <w:t xml:space="preserve"/>
      </w:r>
    </w:p>
    <w:p>
      <w:pPr>
        <w:pStyle w:val="Heading1"/>
        <w:bidi w:val="false"/>
        <w:spacing w:after="140" w:line="300"/>
        <w:jc w:val="start"/>
      </w:pPr>
      <w:r>
        <w:rPr>
          <w:rFonts w:ascii="Arial" w:cs="Arial"/>
          <w:b/>
          <w:bCs/>
          <w:color w:val="0B1F3F"/>
          <w:sz w:val="30"/>
          <w:szCs w:val="30"/>
          <w:rtl w:val="false"/>
        </w:rPr>
        <w:t xml:space="preserve">D.1 Passenger transit across Syrian territory</w:t>
      </w:r>
    </w:p>
    <w:p>
      <w:pPr>
        <w:pStyle w:val="Heading2"/>
        <w:bidi w:val="false"/>
        <w:spacing w:after="100" w:line="300"/>
        <w:jc w:val="start"/>
      </w:pPr>
      <w:r>
        <w:rPr>
          <w:rFonts w:ascii="Arial" w:cs="Arial"/>
          <w:b/>
          <w:bCs/>
          <w:color w:val="0A5BD3"/>
          <w:sz w:val="24"/>
          <w:szCs w:val="24"/>
          <w:rtl w:val="false"/>
        </w:rPr>
        <w:t xml:space="preserve">D.1.1 Definition</w:t>
      </w:r>
    </w:p>
    <w:p>
      <w:pPr>
        <w:bidi w:val="false"/>
        <w:spacing w:after="120" w:line="300"/>
        <w:jc w:val="start"/>
      </w:pPr>
      <w:r>
        <w:rPr>
          <w:rFonts w:ascii="Arial" w:cs="Arial"/>
          <w:sz w:val="22"/>
          <w:szCs w:val="22"/>
          <w:rtl w:val="false"/>
        </w:rPr>
        <w:t xml:space="preserve">A passenger transit trip is an international trip that neither starts nor ends in Syria and crosses its territory between two countries, for example Amman to Istanbul through the Nassib crossing and then Bab al-Hawa. One international trip may be mixed, so each passenger gets a category from where they board and alight:</w:t>
      </w:r>
    </w:p>
    <w:tbl>
      <w:tblPr>
        <w:bidiVisual w:val="false"/>
        <w:tblW w:type="dxa" w:w="9026"/>
        <w:tblBorders>
          <w:top w:val="single" w:color="D5DBE3" w:sz="4"/>
          <w:left w:val="single" w:color="D5DBE3" w:sz="4"/>
          <w:bottom w:val="single" w:color="D5DBE3" w:sz="4"/>
          <w:right w:val="single" w:color="D5DBE3" w:sz="4"/>
          <w:insideH w:val="single" w:color="D5DBE3" w:sz="4"/>
          <w:insideV w:val="single" w:color="D5DBE3" w:sz="4"/>
        </w:tblBorders>
      </w:tblPr>
      <w:tblGrid>
        <w:gridCol w:w="1986"/>
        <w:gridCol w:w="2346"/>
        <w:gridCol w:w="2346"/>
        <w:gridCol w:w="2348"/>
      </w:tblGrid>
      <w:tr>
        <w:trPr>
          <w:tblHeader/>
        </w:trPr>
        <w:tc>
          <w:tcPr>
            <w:tcW w:type="dxa" w:w="1986"/>
            <w:shd w:fill="E8EEF8" w:color="auto" w:val="clear"/>
            <w:tcMar>
              <w:top w:type="dxa" w:w="80"/>
              <w:left w:type="dxa" w:w="110"/>
              <w:bottom w:type="dxa" w:w="80"/>
              <w:right w:type="dxa" w:w="110"/>
            </w:tcMar>
          </w:tcPr>
          <w:p>
            <w:pPr>
              <w:bidi w:val="false"/>
              <w:spacing w:after="0" w:line="300"/>
              <w:jc w:val="start"/>
            </w:pPr>
            <w:r>
              <w:rPr>
                <w:rFonts w:ascii="Arial" w:cs="Arial"/>
                <w:b/>
                <w:bCs/>
                <w:color w:val="0B1F3F"/>
                <w:sz w:val="19"/>
                <w:szCs w:val="19"/>
                <w:rtl w:val="false"/>
              </w:rPr>
              <w:t xml:space="preserve">Passenger category</w:t>
            </w:r>
          </w:p>
        </w:tc>
        <w:tc>
          <w:tcPr>
            <w:tcW w:type="dxa" w:w="2346"/>
            <w:shd w:fill="E8EEF8" w:color="auto" w:val="clear"/>
            <w:tcMar>
              <w:top w:type="dxa" w:w="80"/>
              <w:left w:type="dxa" w:w="110"/>
              <w:bottom w:type="dxa" w:w="80"/>
              <w:right w:type="dxa" w:w="110"/>
            </w:tcMar>
          </w:tcPr>
          <w:p>
            <w:pPr>
              <w:bidi w:val="false"/>
              <w:spacing w:after="0" w:line="300"/>
              <w:jc w:val="start"/>
            </w:pPr>
            <w:r>
              <w:rPr>
                <w:rFonts w:ascii="Arial" w:cs="Arial"/>
                <w:b/>
                <w:bCs/>
                <w:color w:val="0B1F3F"/>
                <w:sz w:val="19"/>
                <w:szCs w:val="19"/>
                <w:rtl w:val="false"/>
              </w:rPr>
              <w:t xml:space="preserve">Boards</w:t>
            </w:r>
          </w:p>
        </w:tc>
        <w:tc>
          <w:tcPr>
            <w:tcW w:type="dxa" w:w="2346"/>
            <w:shd w:fill="E8EEF8" w:color="auto" w:val="clear"/>
            <w:tcMar>
              <w:top w:type="dxa" w:w="80"/>
              <w:left w:type="dxa" w:w="110"/>
              <w:bottom w:type="dxa" w:w="80"/>
              <w:right w:type="dxa" w:w="110"/>
            </w:tcMar>
          </w:tcPr>
          <w:p>
            <w:pPr>
              <w:bidi w:val="false"/>
              <w:spacing w:after="0" w:line="300"/>
              <w:jc w:val="start"/>
            </w:pPr>
            <w:r>
              <w:rPr>
                <w:rFonts w:ascii="Arial" w:cs="Arial"/>
                <w:b/>
                <w:bCs/>
                <w:color w:val="0B1F3F"/>
                <w:sz w:val="19"/>
                <w:szCs w:val="19"/>
                <w:rtl w:val="false"/>
              </w:rPr>
              <w:t xml:space="preserve">Alights</w:t>
            </w:r>
          </w:p>
        </w:tc>
        <w:tc>
          <w:tcPr>
            <w:tcW w:type="dxa" w:w="2348"/>
            <w:shd w:fill="E8EEF8" w:color="auto" w:val="clear"/>
            <w:tcMar>
              <w:top w:type="dxa" w:w="80"/>
              <w:left w:type="dxa" w:w="110"/>
              <w:bottom w:type="dxa" w:w="80"/>
              <w:right w:type="dxa" w:w="110"/>
            </w:tcMar>
          </w:tcPr>
          <w:p>
            <w:pPr>
              <w:bidi w:val="false"/>
              <w:spacing w:after="0" w:line="300"/>
              <w:jc w:val="start"/>
            </w:pPr>
            <w:r>
              <w:rPr>
                <w:rFonts w:ascii="Arial" w:cs="Arial"/>
                <w:b/>
                <w:bCs/>
                <w:color w:val="0B1F3F"/>
                <w:sz w:val="19"/>
                <w:szCs w:val="19"/>
                <w:rtl w:val="false"/>
              </w:rPr>
              <w:t xml:space="preserve">Requirements</w:t>
            </w:r>
          </w:p>
        </w:tc>
      </w:tr>
      <w:tr>
        <w:tc>
          <w:tcPr>
            <w:tcW w:type="dxa" w:w="1986"/>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Departing (DEPARTING)</w:t>
            </w:r>
          </w:p>
        </w:tc>
        <w:tc>
          <w:tcPr>
            <w:tcW w:type="dxa" w:w="2346"/>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In Syria</w:t>
            </w:r>
          </w:p>
        </w:tc>
        <w:tc>
          <w:tcPr>
            <w:tcW w:type="dxa" w:w="2346"/>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Outside</w:t>
            </w:r>
          </w:p>
        </w:tc>
        <w:tc>
          <w:tcPr>
            <w:tcW w:type="dxa" w:w="234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Exit point, and destination-country rules (11.9)</w:t>
            </w:r>
          </w:p>
        </w:tc>
      </w:tr>
      <w:tr>
        <w:tc>
          <w:tcPr>
            <w:tcW w:type="dxa" w:w="1986"/>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Arriving (ARRIVING)</w:t>
            </w:r>
          </w:p>
        </w:tc>
        <w:tc>
          <w:tcPr>
            <w:tcW w:type="dxa" w:w="2346"/>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Outside</w:t>
            </w:r>
          </w:p>
        </w:tc>
        <w:tc>
          <w:tcPr>
            <w:tcW w:type="dxa" w:w="2346"/>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In Syria</w:t>
            </w:r>
          </w:p>
        </w:tc>
        <w:tc>
          <w:tcPr>
            <w:tcW w:type="dxa" w:w="234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Entry point, and Syrian entry rules</w:t>
            </w:r>
          </w:p>
        </w:tc>
      </w:tr>
      <w:tr>
        <w:tc>
          <w:tcPr>
            <w:tcW w:type="dxa" w:w="1986"/>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Transit (TRANSIT)</w:t>
            </w:r>
          </w:p>
        </w:tc>
        <w:tc>
          <w:tcPr>
            <w:tcW w:type="dxa" w:w="2346"/>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Outside</w:t>
            </w:r>
          </w:p>
        </w:tc>
        <w:tc>
          <w:tcPr>
            <w:tcW w:type="dxa" w:w="2346"/>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Outside</w:t>
            </w:r>
          </w:p>
        </w:tc>
        <w:tc>
          <w:tcPr>
            <w:tcW w:type="dxa" w:w="234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Entry and exit points, transit rules, and the destination-country document</w:t>
            </w:r>
          </w:p>
        </w:tc>
      </w:tr>
      <w:tr>
        <w:tc>
          <w:tcPr>
            <w:tcW w:type="dxa" w:w="1986"/>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Domestic on an international trip</w:t>
            </w:r>
          </w:p>
        </w:tc>
        <w:tc>
          <w:tcPr>
            <w:tcW w:type="dxa" w:w="2346"/>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In Syria</w:t>
            </w:r>
          </w:p>
        </w:tc>
        <w:tc>
          <w:tcPr>
            <w:tcW w:type="dxa" w:w="2346"/>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In Syria</w:t>
            </w:r>
          </w:p>
        </w:tc>
        <w:tc>
          <w:tcPr>
            <w:tcW w:type="dxa" w:w="234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Nothing at the border; allowed only where regulation permits (3.7)</w:t>
            </w:r>
          </w:p>
        </w:tc>
      </w:tr>
    </w:tbl>
    <w:p>
      <w:pPr>
        <w:bidi w:val="false"/>
        <w:spacing w:after="80" w:line="300"/>
        <w:jc w:val="start"/>
      </w:pPr>
      <w:r>
        <w:rPr>
          <w:rFonts w:ascii="Arial" w:cs="Arial"/>
          <w:sz w:val="22"/>
          <w:szCs w:val="22"/>
          <w:rtl w:val="false"/>
        </w:rPr>
        <w:t xml:space="preserve"/>
      </w:r>
    </w:p>
    <w:p>
      <w:pPr>
        <w:pStyle w:val="Heading2"/>
        <w:bidi w:val="false"/>
        <w:spacing w:after="100" w:line="300"/>
        <w:jc w:val="start"/>
      </w:pPr>
      <w:r>
        <w:rPr>
          <w:rFonts w:ascii="Arial" w:cs="Arial"/>
          <w:b/>
          <w:bCs/>
          <w:color w:val="0A5BD3"/>
          <w:sz w:val="24"/>
          <w:szCs w:val="24"/>
          <w:rtl w:val="false"/>
        </w:rPr>
        <w:t xml:space="preserve">D.1.2 Amended scope for foreign carriers (3.7)</w:t>
      </w:r>
    </w:p>
    <w:p>
      <w:pPr>
        <w:bidi w:val="false"/>
        <w:spacing w:after="120" w:line="300"/>
        <w:jc w:val="start"/>
      </w:pPr>
      <w:r>
        <w:rPr>
          <w:rFonts w:ascii="Arial" w:cs="Arial"/>
          <w:sz w:val="22"/>
          <w:szCs w:val="22"/>
          <w:rtl w:val="false"/>
        </w:rPr>
        <w:t xml:space="preserve">The scope item in 3.7 is replaced by: "Scope: international trips from and to the country, or crossing its territory between two countries under the transit rules; no domestic carriage between two cities in the country unless regulation explicitly allows it." Transit passengers may not board or alight in Syria except at approved rest stops on the corridor, without leaving them.</w:t>
      </w:r>
    </w:p>
    <w:p>
      <w:pPr>
        <w:pStyle w:val="Heading2"/>
        <w:bidi w:val="false"/>
        <w:spacing w:after="100" w:line="300"/>
        <w:jc w:val="start"/>
      </w:pPr>
      <w:r>
        <w:rPr>
          <w:rFonts w:ascii="Arial" w:cs="Arial"/>
          <w:b/>
          <w:bCs/>
          <w:color w:val="0A5BD3"/>
          <w:sz w:val="24"/>
          <w:szCs w:val="24"/>
          <w:rtl w:val="false"/>
        </w:rPr>
        <w:t xml:space="preserve">D.1.3 Crossing plan, corridor and time limit</w:t>
      </w:r>
    </w:p>
    <w:p>
      <w:pPr>
        <w:pStyle w:val="ListParagraph"/>
        <w:numPr>
          <w:ilvl w:val="0"/>
          <w:numId w:val="2"/>
        </w:numPr>
        <w:bidi w:val="false"/>
        <w:spacing w:after="60" w:line="300"/>
        <w:jc w:val="start"/>
      </w:pPr>
      <w:r>
        <w:rPr>
          <w:rFonts w:ascii="Arial" w:cs="Arial"/>
          <w:sz w:val="22"/>
          <w:szCs w:val="22"/>
          <w:rtl w:val="false"/>
        </w:rPr>
        <w:t xml:space="preserve">A transit trip is recorded in trip_crossing_plan as two consecutive rows: entering Syria (the first country's exit point and the Syrian entry point) and leaving it (the Syrian exit point and the next country's entry point), each with its planned time.</w:t>
      </w:r>
    </w:p>
    <w:p>
      <w:pPr>
        <w:pStyle w:val="ListParagraph"/>
        <w:numPr>
          <w:ilvl w:val="0"/>
          <w:numId w:val="2"/>
        </w:numPr>
        <w:bidi w:val="false"/>
        <w:spacing w:after="60" w:line="300"/>
        <w:jc w:val="start"/>
      </w:pPr>
      <w:r>
        <w:rPr>
          <w:rFonts w:ascii="Arial" w:cs="Arial"/>
          <w:sz w:val="22"/>
          <w:szCs w:val="22"/>
          <w:rtl w:val="false"/>
        </w:rPr>
        <w:t xml:space="preserve">The trip is linked to an approved transit corridor (4.15, 10.9) with a polyline, a buffer in metres, and the allowed rest stops.</w:t>
      </w:r>
    </w:p>
    <w:p>
      <w:pPr>
        <w:pStyle w:val="ListParagraph"/>
        <w:numPr>
          <w:ilvl w:val="0"/>
          <w:numId w:val="2"/>
        </w:numPr>
        <w:bidi w:val="false"/>
        <w:spacing w:after="60" w:line="300"/>
        <w:jc w:val="start"/>
      </w:pPr>
      <w:r>
        <w:rPr>
          <w:rFonts w:ascii="Arial" w:cs="Arial"/>
          <w:sz w:val="22"/>
          <w:szCs w:val="22"/>
          <w:rtl w:val="false"/>
        </w:rPr>
        <w:t xml:space="preserve">A maximum transit time between the entry and exit events is set by the border authority in crossing_profile, with an alert when it is exceeded.</w:t>
      </w:r>
    </w:p>
    <w:p>
      <w:pPr>
        <w:pStyle w:val="ListParagraph"/>
        <w:numPr>
          <w:ilvl w:val="0"/>
          <w:numId w:val="2"/>
        </w:numPr>
        <w:bidi w:val="false"/>
        <w:spacing w:after="60" w:line="300"/>
        <w:jc w:val="start"/>
      </w:pPr>
      <w:r>
        <w:rPr>
          <w:rFonts w:ascii="Arial" w:cs="Arial"/>
          <w:sz w:val="22"/>
          <w:szCs w:val="22"/>
          <w:rtl w:val="false"/>
        </w:rPr>
        <w:t xml:space="preserve">All of these are versioned rules (Regime Rules), not code, as in 10.6.</w:t>
      </w:r>
    </w:p>
    <w:p>
      <w:pPr>
        <w:pStyle w:val="Heading2"/>
        <w:bidi w:val="false"/>
        <w:spacing w:after="100" w:line="300"/>
        <w:jc w:val="start"/>
      </w:pPr>
      <w:r>
        <w:rPr>
          <w:rFonts w:ascii="Arial" w:cs="Arial"/>
          <w:b/>
          <w:bCs/>
          <w:color w:val="0A5BD3"/>
          <w:sz w:val="24"/>
          <w:szCs w:val="24"/>
          <w:rtl w:val="false"/>
        </w:rPr>
        <w:t xml:space="preserve">D.1.4 Document rules for the transit country (11.9)</w:t>
      </w:r>
    </w:p>
    <w:p>
      <w:pPr>
        <w:bidi w:val="false"/>
        <w:spacing w:after="120" w:line="300"/>
        <w:jc w:val="start"/>
      </w:pPr>
      <w:r>
        <w:rPr>
          <w:rFonts w:ascii="Arial" w:cs="Arial"/>
          <w:sz w:val="22"/>
          <w:szCs w:val="22"/>
          <w:rtl w:val="false"/>
        </w:rPr>
        <w:t xml:space="preserve">entry_rule gains a country_role field with two values: DESTINATION (today) and TRANSIT. Each transit passenger has two requirements: the Syrian transit requirement (transit visa, transit permit or exemption by nationality, and security approval where needed) and the final destination's requirement. The six verification stages of 11.9 apply unchanged, and the travel ban check runs at booking, boarding and entry.</w:t>
      </w:r>
    </w:p>
    <w:p>
      <w:pPr>
        <w:pStyle w:val="Heading2"/>
        <w:bidi w:val="false"/>
        <w:spacing w:after="100" w:line="300"/>
        <w:jc w:val="start"/>
      </w:pPr>
      <w:r>
        <w:rPr>
          <w:rFonts w:ascii="Arial" w:cs="Arial"/>
          <w:b/>
          <w:bCs/>
          <w:color w:val="0A5BD3"/>
          <w:sz w:val="24"/>
          <w:szCs w:val="24"/>
          <w:rtl w:val="false"/>
        </w:rPr>
        <w:t xml:space="preserve">D.1.5 Manifest and border authorities</w:t>
      </w:r>
    </w:p>
    <w:p>
      <w:pPr>
        <w:pStyle w:val="ListParagraph"/>
        <w:numPr>
          <w:ilvl w:val="0"/>
          <w:numId w:val="2"/>
        </w:numPr>
        <w:bidi w:val="false"/>
        <w:spacing w:after="60" w:line="300"/>
        <w:jc w:val="start"/>
      </w:pPr>
      <w:r>
        <w:rPr>
          <w:rFonts w:ascii="Arial" w:cs="Arial"/>
          <w:sz w:val="22"/>
          <w:szCs w:val="22"/>
          <w:rtl w:val="false"/>
        </w:rPr>
        <w:t xml:space="preserve">manifest_person gains three fields: passenger_category (DEPARTING/ARRIVING/TRANSIT/DOMESTIC), the Syrian entry point and the Syrian exit point.</w:t>
      </w:r>
    </w:p>
    <w:p>
      <w:pPr>
        <w:pStyle w:val="ListParagraph"/>
        <w:numPr>
          <w:ilvl w:val="0"/>
          <w:numId w:val="2"/>
        </w:numPr>
        <w:bidi w:val="false"/>
        <w:spacing w:after="60" w:line="300"/>
        <w:jc w:val="start"/>
      </w:pPr>
      <w:r>
        <w:rPr>
          <w:rFonts w:ascii="Arial" w:cs="Arial"/>
          <w:sz w:val="22"/>
          <w:szCs w:val="22"/>
          <w:rtl w:val="false"/>
        </w:rPr>
        <w:t xml:space="preserve">PRE_MANIFEST is sent before the lead time to both the entry and the exit authority, so each sees the trip before it arrives.</w:t>
      </w:r>
    </w:p>
    <w:p>
      <w:pPr>
        <w:pStyle w:val="ListParagraph"/>
        <w:numPr>
          <w:ilvl w:val="0"/>
          <w:numId w:val="2"/>
        </w:numPr>
        <w:bidi w:val="false"/>
        <w:spacing w:after="60" w:line="300"/>
        <w:jc w:val="start"/>
      </w:pPr>
      <w:r>
        <w:rPr>
          <w:rFonts w:ascii="Arial" w:cs="Arial"/>
          <w:sz w:val="22"/>
          <w:szCs w:val="22"/>
          <w:rtl w:val="false"/>
        </w:rPr>
        <w:t xml:space="preserve">CROSSING_EVENT is recorded twice, at entry and at exit, from two sources: the crossing geofence from tracking, and confirmation by the driver or the authority.</w:t>
      </w:r>
    </w:p>
    <w:p>
      <w:pPr>
        <w:pStyle w:val="ListParagraph"/>
        <w:numPr>
          <w:ilvl w:val="0"/>
          <w:numId w:val="2"/>
        </w:numPr>
        <w:bidi w:val="false"/>
        <w:spacing w:after="60" w:line="300"/>
        <w:jc w:val="start"/>
      </w:pPr>
      <w:r>
        <w:rPr>
          <w:rFonts w:ascii="Arial" w:cs="Arial"/>
          <w:sz w:val="22"/>
          <w:szCs w:val="22"/>
          <w:rtl w:val="false"/>
        </w:rPr>
        <w:t xml:space="preserve">Transit reconciliation: the transit passengers and their identities at exit match those at entry. Any difference raises an immediate DISCREPANCY to the carrier, compliance and the border authority.</w:t>
      </w:r>
    </w:p>
    <w:p>
      <w:pPr>
        <w:pStyle w:val="ListParagraph"/>
        <w:numPr>
          <w:ilvl w:val="0"/>
          <w:numId w:val="2"/>
        </w:numPr>
        <w:bidi w:val="false"/>
        <w:spacing w:after="60" w:line="300"/>
        <w:jc w:val="start"/>
      </w:pPr>
      <w:r>
        <w:rPr>
          <w:rFonts w:ascii="Arial" w:cs="Arial"/>
          <w:sz w:val="22"/>
          <w:szCs w:val="22"/>
          <w:rtl w:val="false"/>
        </w:rPr>
        <w:t xml:space="preserve">UN/EDIFACT PAXLST, CSV/XML and the QR-signed offline manifest stay as in 11.2 and 11.5.</w:t>
      </w:r>
    </w:p>
    <w:p>
      <w:pPr>
        <w:pStyle w:val="Heading2"/>
        <w:bidi w:val="false"/>
        <w:spacing w:after="100" w:line="300"/>
        <w:jc w:val="start"/>
      </w:pPr>
      <w:r>
        <w:rPr>
          <w:rFonts w:ascii="Arial" w:cs="Arial"/>
          <w:b/>
          <w:bCs/>
          <w:color w:val="0A5BD3"/>
          <w:sz w:val="24"/>
          <w:szCs w:val="24"/>
          <w:rtl w:val="false"/>
        </w:rPr>
        <w:t xml:space="preserve">D.1.6 Tracking through the driver app</w:t>
      </w:r>
    </w:p>
    <w:p>
      <w:pPr>
        <w:pStyle w:val="ListParagraph"/>
        <w:numPr>
          <w:ilvl w:val="0"/>
          <w:numId w:val="2"/>
        </w:numPr>
        <w:bidi w:val="false"/>
        <w:spacing w:after="60" w:line="300"/>
        <w:jc w:val="start"/>
      </w:pPr>
      <w:r>
        <w:rPr>
          <w:rFonts w:ascii="Arial" w:cs="Arial"/>
          <w:sz w:val="22"/>
          <w:szCs w:val="22"/>
          <w:rtl w:val="false"/>
        </w:rPr>
        <w:t xml:space="preserve">A strict tracking profile (STRICT) for the whole Syrian segment: a position every 15 seconds, a 180-second silence limit (7.8), and a local queue when the network drops.</w:t>
      </w:r>
    </w:p>
    <w:p>
      <w:pPr>
        <w:pStyle w:val="ListParagraph"/>
        <w:numPr>
          <w:ilvl w:val="0"/>
          <w:numId w:val="2"/>
        </w:numPr>
        <w:bidi w:val="false"/>
        <w:spacing w:after="60" w:line="300"/>
        <w:jc w:val="start"/>
      </w:pPr>
      <w:r>
        <w:rPr>
          <w:rFonts w:ascii="Arial" w:cs="Arial"/>
          <w:sz w:val="22"/>
          <w:szCs w:val="22"/>
          <w:rtl w:val="false"/>
        </w:rPr>
        <w:t xml:space="preserve">Additional transit alerts: leaving the corridor, stopping outside approved rest stops, exceeding the transit time, and a door opening outside an approved stop where the sensor exists.</w:t>
      </w:r>
    </w:p>
    <w:p>
      <w:pPr>
        <w:pStyle w:val="ListParagraph"/>
        <w:numPr>
          <w:ilvl w:val="0"/>
          <w:numId w:val="2"/>
        </w:numPr>
        <w:bidi w:val="false"/>
        <w:spacing w:after="60" w:line="300"/>
        <w:jc w:val="start"/>
      </w:pPr>
      <w:r>
        <w:rPr>
          <w:rFonts w:ascii="Arial" w:cs="Arial"/>
          <w:sz w:val="22"/>
          <w:szCs w:val="22"/>
          <w:rtl w:val="false"/>
        </w:rPr>
        <w:t xml:space="preserve">Stepped escalation: driver, carrier, compliance, then the border and customs authority, with an evidence trail in security_audit_log.</w:t>
      </w:r>
    </w:p>
    <w:p>
      <w:pPr>
        <w:pStyle w:val="ListParagraph"/>
        <w:numPr>
          <w:ilvl w:val="0"/>
          <w:numId w:val="2"/>
        </w:numPr>
        <w:bidi w:val="false"/>
        <w:spacing w:after="60" w:line="300"/>
        <w:jc w:val="start"/>
      </w:pPr>
      <w:r>
        <w:rPr>
          <w:rFonts w:ascii="Arial" w:cs="Arial"/>
          <w:sz w:val="22"/>
          <w:szCs w:val="22"/>
          <w:rtl w:val="false"/>
        </w:rPr>
        <w:t xml:space="preserve">An independent GPS device is optional, or required by the authority for transit trips, as a second source that exposes phone location spoofing.</w:t>
      </w:r>
    </w:p>
    <w:p>
      <w:pPr>
        <w:pStyle w:val="Heading2"/>
        <w:bidi w:val="false"/>
        <w:spacing w:after="100" w:line="300"/>
        <w:jc w:val="start"/>
      </w:pPr>
      <w:r>
        <w:rPr>
          <w:rFonts w:ascii="Arial" w:cs="Arial"/>
          <w:b/>
          <w:bCs/>
          <w:color w:val="0A5BD3"/>
          <w:sz w:val="24"/>
          <w:szCs w:val="24"/>
          <w:rtl w:val="false"/>
        </w:rPr>
        <w:t xml:space="preserve">D.1.7 The driver's flow in the app</w:t>
      </w:r>
    </w:p>
    <w:tbl>
      <w:tblPr>
        <w:bidiVisual w:val="false"/>
        <w:tblW w:type="dxa" w:w="9026"/>
        <w:tblBorders>
          <w:top w:val="single" w:color="D5DBE3" w:sz="4"/>
          <w:left w:val="single" w:color="D5DBE3" w:sz="4"/>
          <w:bottom w:val="single" w:color="D5DBE3" w:sz="4"/>
          <w:right w:val="single" w:color="D5DBE3" w:sz="4"/>
          <w:insideH w:val="single" w:color="D5DBE3" w:sz="4"/>
          <w:insideV w:val="single" w:color="D5DBE3" w:sz="4"/>
        </w:tblBorders>
      </w:tblPr>
      <w:tblGrid>
        <w:gridCol w:w="2347"/>
        <w:gridCol w:w="3339"/>
        <w:gridCol w:w="3340"/>
      </w:tblGrid>
      <w:tr>
        <w:trPr>
          <w:tblHeader/>
        </w:trPr>
        <w:tc>
          <w:tcPr>
            <w:tcW w:type="dxa" w:w="2347"/>
            <w:shd w:fill="E8EEF8" w:color="auto" w:val="clear"/>
            <w:tcMar>
              <w:top w:type="dxa" w:w="80"/>
              <w:left w:type="dxa" w:w="110"/>
              <w:bottom w:type="dxa" w:w="80"/>
              <w:right w:type="dxa" w:w="110"/>
            </w:tcMar>
          </w:tcPr>
          <w:p>
            <w:pPr>
              <w:bidi w:val="false"/>
              <w:spacing w:after="0" w:line="300"/>
              <w:jc w:val="start"/>
            </w:pPr>
            <w:r>
              <w:rPr>
                <w:rFonts w:ascii="Arial" w:cs="Arial"/>
                <w:b/>
                <w:bCs/>
                <w:color w:val="0B1F3F"/>
                <w:sz w:val="19"/>
                <w:szCs w:val="19"/>
                <w:rtl w:val="false"/>
              </w:rPr>
              <w:t xml:space="preserve">Step</w:t>
            </w:r>
          </w:p>
        </w:tc>
        <w:tc>
          <w:tcPr>
            <w:tcW w:type="dxa" w:w="3339"/>
            <w:shd w:fill="E8EEF8" w:color="auto" w:val="clear"/>
            <w:tcMar>
              <w:top w:type="dxa" w:w="80"/>
              <w:left w:type="dxa" w:w="110"/>
              <w:bottom w:type="dxa" w:w="80"/>
              <w:right w:type="dxa" w:w="110"/>
            </w:tcMar>
          </w:tcPr>
          <w:p>
            <w:pPr>
              <w:bidi w:val="false"/>
              <w:spacing w:after="0" w:line="300"/>
              <w:jc w:val="start"/>
            </w:pPr>
            <w:r>
              <w:rPr>
                <w:rFonts w:ascii="Arial" w:cs="Arial"/>
                <w:b/>
                <w:bCs/>
                <w:color w:val="0B1F3F"/>
                <w:sz w:val="19"/>
                <w:szCs w:val="19"/>
                <w:rtl w:val="false"/>
              </w:rPr>
              <w:t xml:space="preserve">What the driver does</w:t>
            </w:r>
          </w:p>
        </w:tc>
        <w:tc>
          <w:tcPr>
            <w:tcW w:type="dxa" w:w="3340"/>
            <w:shd w:fill="E8EEF8" w:color="auto" w:val="clear"/>
            <w:tcMar>
              <w:top w:type="dxa" w:w="80"/>
              <w:left w:type="dxa" w:w="110"/>
              <w:bottom w:type="dxa" w:w="80"/>
              <w:right w:type="dxa" w:w="110"/>
            </w:tcMar>
          </w:tcPr>
          <w:p>
            <w:pPr>
              <w:bidi w:val="false"/>
              <w:spacing w:after="0" w:line="300"/>
              <w:jc w:val="start"/>
            </w:pPr>
            <w:r>
              <w:rPr>
                <w:rFonts w:ascii="Arial" w:cs="Arial"/>
                <w:b/>
                <w:bCs/>
                <w:color w:val="0B1F3F"/>
                <w:sz w:val="19"/>
                <w:szCs w:val="19"/>
                <w:rtl w:val="false"/>
              </w:rPr>
              <w:t xml:space="preserve">What the system records</w:t>
            </w:r>
          </w:p>
        </w:tc>
      </w:tr>
      <w:tr>
        <w:tc>
          <w:tcPr>
            <w:tcW w:type="dxa" w:w="2347"/>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Before departure</w:t>
            </w:r>
          </w:p>
        </w:tc>
        <w:tc>
          <w:tcPr>
            <w:tcW w:type="dxa" w:w="3339"/>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Opens the trip and downloads the passenger list for offline work</w:t>
            </w:r>
          </w:p>
        </w:tc>
        <w:tc>
          <w:tcPr>
            <w:tcW w:type="dxa" w:w="3340"/>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Manifest completeness and each passenger's documents</w:t>
            </w:r>
          </w:p>
        </w:tc>
      </w:tr>
      <w:tr>
        <w:tc>
          <w:tcPr>
            <w:tcW w:type="dxa" w:w="2347"/>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Boarding</w:t>
            </w:r>
          </w:p>
        </w:tc>
        <w:tc>
          <w:tcPr>
            <w:tcW w:type="dxa" w:w="3339"/>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Scans every ticket</w:t>
            </w:r>
          </w:p>
        </w:tc>
        <w:tc>
          <w:tcPr>
            <w:tcW w:type="dxa" w:w="3340"/>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BoardingEvent and FINAL_MANIFEST close-out</w:t>
            </w:r>
          </w:p>
        </w:tc>
      </w:tr>
      <w:tr>
        <w:tc>
          <w:tcPr>
            <w:tcW w:type="dxa" w:w="2347"/>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Entry point</w:t>
            </w:r>
          </w:p>
        </w:tc>
        <w:tc>
          <w:tcPr>
            <w:tcW w:type="dxa" w:w="3339"/>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Confirms "entered through the crossing"</w:t>
            </w:r>
          </w:p>
        </w:tc>
        <w:tc>
          <w:tcPr>
            <w:tcW w:type="dxa" w:w="3340"/>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Entry CROSSING_EVENT; the transit timer starts</w:t>
            </w:r>
          </w:p>
        </w:tc>
      </w:tr>
      <w:tr>
        <w:tc>
          <w:tcPr>
            <w:tcW w:type="dxa" w:w="2347"/>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In transit</w:t>
            </w:r>
          </w:p>
        </w:tc>
        <w:tc>
          <w:tcPr>
            <w:tcW w:type="dxa" w:w="3339"/>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Stops only at approved rest stops</w:t>
            </w:r>
          </w:p>
        </w:tc>
        <w:tc>
          <w:tcPr>
            <w:tcW w:type="dxa" w:w="3340"/>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Position checked against the corridor; alerts</w:t>
            </w:r>
          </w:p>
        </w:tc>
      </w:tr>
      <w:tr>
        <w:tc>
          <w:tcPr>
            <w:tcW w:type="dxa" w:w="2347"/>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Exit point</w:t>
            </w:r>
          </w:p>
        </w:tc>
        <w:tc>
          <w:tcPr>
            <w:tcW w:type="dxa" w:w="3339"/>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Confirms "left through the crossing" and rescans passengers if the authority asks</w:t>
            </w:r>
          </w:p>
        </w:tc>
        <w:tc>
          <w:tcPr>
            <w:tcW w:type="dxa" w:w="3340"/>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Exit CROSSING_EVENT and head-count reconciliation</w:t>
            </w:r>
          </w:p>
        </w:tc>
      </w:tr>
    </w:tbl>
    <w:p>
      <w:pPr>
        <w:bidi w:val="false"/>
        <w:spacing w:after="80" w:line="300"/>
        <w:jc w:val="start"/>
      </w:pPr>
      <w:r>
        <w:rPr>
          <w:rFonts w:ascii="Arial" w:cs="Arial"/>
          <w:sz w:val="22"/>
          <w:szCs w:val="22"/>
          <w:rtl w:val="false"/>
        </w:rPr>
        <w:t xml:space="preserve"/>
      </w:r>
    </w:p>
    <w:p>
      <w:pPr>
        <w:pStyle w:val="Heading2"/>
        <w:bidi w:val="false"/>
        <w:spacing w:after="100" w:line="300"/>
        <w:jc w:val="start"/>
      </w:pPr>
      <w:r>
        <w:rPr>
          <w:rFonts w:ascii="Arial" w:cs="Arial"/>
          <w:b/>
          <w:bCs/>
          <w:color w:val="0A5BD3"/>
          <w:sz w:val="24"/>
          <w:szCs w:val="24"/>
          <w:rtl w:val="false"/>
        </w:rPr>
        <w:t xml:space="preserve">D.1.8 Entities (ERD)</w:t>
      </w:r>
    </w:p>
    <w:tbl>
      <w:tblPr>
        <w:bidiVisual w:val="false"/>
        <w:tblW w:type="dxa" w:w="9026"/>
        <w:tblBorders>
          <w:top w:val="single" w:color="D5DBE3" w:sz="4"/>
          <w:left w:val="single" w:color="D5DBE3" w:sz="4"/>
          <w:bottom w:val="single" w:color="D5DBE3" w:sz="4"/>
          <w:right w:val="single" w:color="D5DBE3" w:sz="4"/>
          <w:insideH w:val="single" w:color="D5DBE3" w:sz="4"/>
          <w:insideV w:val="single" w:color="D5DBE3" w:sz="4"/>
        </w:tblBorders>
      </w:tblPr>
      <w:tblGrid>
        <w:gridCol w:w="2888"/>
        <w:gridCol w:w="6138"/>
      </w:tblGrid>
      <w:tr>
        <w:trPr>
          <w:tblHeader/>
        </w:trPr>
        <w:tc>
          <w:tcPr>
            <w:tcW w:type="dxa" w:w="2888"/>
            <w:shd w:fill="E8EEF8" w:color="auto" w:val="clear"/>
            <w:tcMar>
              <w:top w:type="dxa" w:w="80"/>
              <w:left w:type="dxa" w:w="110"/>
              <w:bottom w:type="dxa" w:w="80"/>
              <w:right w:type="dxa" w:w="110"/>
            </w:tcMar>
          </w:tcPr>
          <w:p>
            <w:pPr>
              <w:bidi w:val="false"/>
              <w:spacing w:after="0" w:line="300"/>
              <w:jc w:val="start"/>
            </w:pPr>
            <w:r>
              <w:rPr>
                <w:rFonts w:ascii="Arial" w:cs="Arial"/>
                <w:b/>
                <w:bCs/>
                <w:color w:val="0B1F3F"/>
                <w:sz w:val="19"/>
                <w:szCs w:val="19"/>
                <w:rtl w:val="false"/>
              </w:rPr>
              <w:t xml:space="preserve">Entity</w:t>
            </w:r>
          </w:p>
        </w:tc>
        <w:tc>
          <w:tcPr>
            <w:tcW w:type="dxa" w:w="6138"/>
            <w:shd w:fill="E8EEF8" w:color="auto" w:val="clear"/>
            <w:tcMar>
              <w:top w:type="dxa" w:w="80"/>
              <w:left w:type="dxa" w:w="110"/>
              <w:bottom w:type="dxa" w:w="80"/>
              <w:right w:type="dxa" w:w="110"/>
            </w:tcMar>
          </w:tcPr>
          <w:p>
            <w:pPr>
              <w:bidi w:val="false"/>
              <w:spacing w:after="0" w:line="300"/>
              <w:jc w:val="start"/>
            </w:pPr>
            <w:r>
              <w:rPr>
                <w:rFonts w:ascii="Arial" w:cs="Arial"/>
                <w:b/>
                <w:bCs/>
                <w:color w:val="0B1F3F"/>
                <w:sz w:val="19"/>
                <w:szCs w:val="19"/>
                <w:rtl w:val="false"/>
              </w:rPr>
              <w:t xml:space="preserve">Change</w:t>
            </w:r>
          </w:p>
        </w:tc>
      </w:tr>
      <w:tr>
        <w:tc>
          <w:tcPr>
            <w:tcW w:type="dxa" w:w="288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ops.trip</w:t>
            </w:r>
          </w:p>
        </w:tc>
        <w:tc>
          <w:tcPr>
            <w:tcW w:type="dxa" w:w="613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New trip type value TRANSIT_PAX; fields corridor_id and transit_max_minutes</w:t>
            </w:r>
          </w:p>
        </w:tc>
      </w:tr>
      <w:tr>
        <w:tc>
          <w:tcPr>
            <w:tcW w:type="dxa" w:w="288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trip_crossing_plan</w:t>
            </w:r>
          </w:p>
        </w:tc>
        <w:tc>
          <w:tcPr>
            <w:tcW w:type="dxa" w:w="613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No structural change; several rows (seq) for entry and exit</w:t>
            </w:r>
          </w:p>
        </w:tc>
      </w:tr>
      <w:tr>
        <w:tc>
          <w:tcPr>
            <w:tcW w:type="dxa" w:w="288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entry_rule</w:t>
            </w:r>
          </w:p>
        </w:tc>
        <w:tc>
          <w:tcPr>
            <w:tcW w:type="dxa" w:w="613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Field country_role (DESTINATION/TRANSIT)</w:t>
            </w:r>
          </w:p>
        </w:tc>
      </w:tr>
      <w:tr>
        <w:tc>
          <w:tcPr>
            <w:tcW w:type="dxa" w:w="288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ticket_doc</w:t>
            </w:r>
          </w:p>
        </w:tc>
        <w:tc>
          <w:tcPr>
            <w:tcW w:type="dxa" w:w="613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Transit document fields: transit_visa_no (encrypted), transit_permit_no and validity</w:t>
            </w:r>
          </w:p>
        </w:tc>
      </w:tr>
      <w:tr>
        <w:tc>
          <w:tcPr>
            <w:tcW w:type="dxa" w:w="288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manifest_person</w:t>
            </w:r>
          </w:p>
        </w:tc>
        <w:tc>
          <w:tcPr>
            <w:tcW w:type="dxa" w:w="613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passenger_category, syria_entry_point_id, syria_exit_point_id</w:t>
            </w:r>
          </w:p>
        </w:tc>
      </w:tr>
      <w:tr>
        <w:tc>
          <w:tcPr>
            <w:tcW w:type="dxa" w:w="288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transit_pax_reconciliation (new)</w:t>
            </w:r>
          </w:p>
        </w:tc>
        <w:tc>
          <w:tcPr>
            <w:tcW w:type="dxa" w:w="613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trip_id, entry_count, exit_count, missing_refs, status, resolved_by</w:t>
            </w:r>
          </w:p>
        </w:tc>
      </w:tr>
      <w:tr>
        <w:tc>
          <w:tcPr>
            <w:tcW w:type="dxa" w:w="288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approved_rest_stop (new)</w:t>
            </w:r>
          </w:p>
        </w:tc>
        <w:tc>
          <w:tcPr>
            <w:tcW w:type="dxa" w:w="613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corridor_id, station_id, max_minutes</w:t>
            </w:r>
          </w:p>
        </w:tc>
      </w:tr>
    </w:tbl>
    <w:p>
      <w:pPr>
        <w:bidi w:val="false"/>
        <w:spacing w:after="80" w:line="300"/>
        <w:jc w:val="start"/>
      </w:pPr>
      <w:r>
        <w:rPr>
          <w:rFonts w:ascii="Arial" w:cs="Arial"/>
          <w:sz w:val="22"/>
          <w:szCs w:val="22"/>
          <w:rtl w:val="false"/>
        </w:rPr>
        <w:t xml:space="preserve"/>
      </w:r>
    </w:p>
    <w:p>
      <w:pPr>
        <w:pStyle w:val="Heading2"/>
        <w:bidi w:val="false"/>
        <w:spacing w:after="100" w:line="300"/>
        <w:jc w:val="start"/>
      </w:pPr>
      <w:r>
        <w:rPr>
          <w:rFonts w:ascii="Arial" w:cs="Arial"/>
          <w:b/>
          <w:bCs/>
          <w:color w:val="0A5BD3"/>
          <w:sz w:val="24"/>
          <w:szCs w:val="24"/>
          <w:rtl w:val="false"/>
        </w:rPr>
        <w:t xml:space="preserve">D.1.9 Finance and tax</w:t>
      </w:r>
    </w:p>
    <w:p>
      <w:pPr>
        <w:bidi w:val="false"/>
        <w:spacing w:after="120" w:line="300"/>
        <w:jc w:val="start"/>
      </w:pPr>
      <w:r>
        <w:rPr>
          <w:rFonts w:ascii="Arial" w:cs="Arial"/>
          <w:sz w:val="22"/>
          <w:szCs w:val="22"/>
          <w:rtl w:val="false"/>
        </w:rPr>
        <w:t xml:space="preserve">Government transit fees pass through as a separate line, as in 10.8. The price is split into segments by country (5.6), and the foreign carrier without a tax file is collected from as a taxpayer without a file, with an electronic receipt.</w:t>
      </w:r>
    </w:p>
    <w:p>
      <w:pPr>
        <w:pStyle w:val="Heading2"/>
        <w:bidi w:val="false"/>
        <w:spacing w:after="100" w:line="300"/>
        <w:jc w:val="start"/>
      </w:pPr>
      <w:r>
        <w:rPr>
          <w:rFonts w:ascii="Arial" w:cs="Arial"/>
          <w:b/>
          <w:bCs/>
          <w:color w:val="0A5BD3"/>
          <w:sz w:val="24"/>
          <w:szCs w:val="24"/>
          <w:rtl w:val="false"/>
        </w:rPr>
        <w:t xml:space="preserve">D.1.10 Phasing</w:t>
      </w:r>
    </w:p>
    <w:p>
      <w:pPr>
        <w:bidi w:val="false"/>
        <w:spacing w:after="120" w:line="300"/>
        <w:jc w:val="start"/>
      </w:pPr>
      <w:r>
        <w:rPr>
          <w:rFonts w:ascii="Arial" w:cs="Arial"/>
          <w:sz w:val="22"/>
          <w:szCs w:val="22"/>
          <w:rtl w:val="false"/>
        </w:rPr>
        <w:t xml:space="preserve">Readiness is built in phase 1 (trip type, fields, reference tables). The flow is enabled in phase 4 (international) with the manual manifest, electronic border links follow in phase 6, and corridors and alerts in phase 7.</w:t>
      </w:r>
    </w:p>
    <w:p>
      <w:pPr>
        <w:pStyle w:val="Heading1"/>
        <w:bidi w:val="false"/>
        <w:spacing w:after="140" w:line="300"/>
        <w:jc w:val="start"/>
      </w:pPr>
      <w:r>
        <w:rPr>
          <w:rFonts w:ascii="Arial" w:cs="Arial"/>
          <w:b/>
          <w:bCs/>
          <w:color w:val="0B1F3F"/>
          <w:sz w:val="30"/>
          <w:szCs w:val="30"/>
          <w:rtl w:val="false"/>
        </w:rPr>
        <w:t xml:space="preserve">D.2 Contracted transport module: schools, universities and employees</w:t>
      </w:r>
    </w:p>
    <w:p>
      <w:pPr>
        <w:pStyle w:val="Heading2"/>
        <w:bidi w:val="false"/>
        <w:spacing w:after="100" w:line="300"/>
        <w:jc w:val="start"/>
      </w:pPr>
      <w:r>
        <w:rPr>
          <w:rFonts w:ascii="Arial" w:cs="Arial"/>
          <w:b/>
          <w:bCs/>
          <w:color w:val="0A5BD3"/>
          <w:sz w:val="24"/>
          <w:szCs w:val="24"/>
          <w:rtl w:val="false"/>
        </w:rPr>
        <w:t xml:space="preserve">D.2.1 Scope and parties</w:t>
      </w:r>
    </w:p>
    <w:p>
      <w:pPr>
        <w:bidi w:val="false"/>
        <w:spacing w:after="120" w:line="300"/>
        <w:jc w:val="start"/>
      </w:pPr>
      <w:r>
        <w:rPr>
          <w:rFonts w:ascii="Arial" w:cs="Arial"/>
          <w:sz w:val="22"/>
          <w:szCs w:val="22"/>
          <w:rtl w:val="false"/>
        </w:rPr>
        <w:t xml:space="preserve">Regular transport under a contract between an institution and a carrier, for riders known in advance, on fixed routes following a calendar. Parties are added as roles on the single Party entity, without new party tables (2.1):</w:t>
      </w:r>
    </w:p>
    <w:tbl>
      <w:tblPr>
        <w:bidiVisual w:val="false"/>
        <w:tblW w:type="dxa" w:w="9026"/>
        <w:tblBorders>
          <w:top w:val="single" w:color="D5DBE3" w:sz="4"/>
          <w:left w:val="single" w:color="D5DBE3" w:sz="4"/>
          <w:bottom w:val="single" w:color="D5DBE3" w:sz="4"/>
          <w:right w:val="single" w:color="D5DBE3" w:sz="4"/>
          <w:insideH w:val="single" w:color="D5DBE3" w:sz="4"/>
          <w:insideV w:val="single" w:color="D5DBE3" w:sz="4"/>
        </w:tblBorders>
      </w:tblPr>
      <w:tblGrid>
        <w:gridCol w:w="2347"/>
        <w:gridCol w:w="3339"/>
        <w:gridCol w:w="3340"/>
      </w:tblGrid>
      <w:tr>
        <w:trPr>
          <w:tblHeader/>
        </w:trPr>
        <w:tc>
          <w:tcPr>
            <w:tcW w:type="dxa" w:w="2347"/>
            <w:shd w:fill="E8EEF8" w:color="auto" w:val="clear"/>
            <w:tcMar>
              <w:top w:type="dxa" w:w="80"/>
              <w:left w:type="dxa" w:w="110"/>
              <w:bottom w:type="dxa" w:w="80"/>
              <w:right w:type="dxa" w:w="110"/>
            </w:tcMar>
          </w:tcPr>
          <w:p>
            <w:pPr>
              <w:bidi w:val="false"/>
              <w:spacing w:after="0" w:line="300"/>
              <w:jc w:val="start"/>
            </w:pPr>
            <w:r>
              <w:rPr>
                <w:rFonts w:ascii="Arial" w:cs="Arial"/>
                <w:b/>
                <w:bCs/>
                <w:color w:val="0B1F3F"/>
                <w:sz w:val="19"/>
                <w:szCs w:val="19"/>
                <w:rtl w:val="false"/>
              </w:rPr>
              <w:t xml:space="preserve">Party</w:t>
            </w:r>
          </w:p>
        </w:tc>
        <w:tc>
          <w:tcPr>
            <w:tcW w:type="dxa" w:w="3339"/>
            <w:shd w:fill="E8EEF8" w:color="auto" w:val="clear"/>
            <w:tcMar>
              <w:top w:type="dxa" w:w="80"/>
              <w:left w:type="dxa" w:w="110"/>
              <w:bottom w:type="dxa" w:w="80"/>
              <w:right w:type="dxa" w:w="110"/>
            </w:tcMar>
          </w:tcPr>
          <w:p>
            <w:pPr>
              <w:bidi w:val="false"/>
              <w:spacing w:after="0" w:line="300"/>
              <w:jc w:val="start"/>
            </w:pPr>
            <w:r>
              <w:rPr>
                <w:rFonts w:ascii="Arial" w:cs="Arial"/>
                <w:b/>
                <w:bCs/>
                <w:color w:val="0B1F3F"/>
                <w:sz w:val="19"/>
                <w:szCs w:val="19"/>
                <w:rtl w:val="false"/>
              </w:rPr>
              <w:t xml:space="preserve">New role</w:t>
            </w:r>
          </w:p>
        </w:tc>
        <w:tc>
          <w:tcPr>
            <w:tcW w:type="dxa" w:w="3340"/>
            <w:shd w:fill="E8EEF8" w:color="auto" w:val="clear"/>
            <w:tcMar>
              <w:top w:type="dxa" w:w="80"/>
              <w:left w:type="dxa" w:w="110"/>
              <w:bottom w:type="dxa" w:w="80"/>
              <w:right w:type="dxa" w:w="110"/>
            </w:tcMar>
          </w:tcPr>
          <w:p>
            <w:pPr>
              <w:bidi w:val="false"/>
              <w:spacing w:after="0" w:line="300"/>
              <w:jc w:val="start"/>
            </w:pPr>
            <w:r>
              <w:rPr>
                <w:rFonts w:ascii="Arial" w:cs="Arial"/>
                <w:b/>
                <w:bCs/>
                <w:color w:val="0B1F3F"/>
                <w:sz w:val="19"/>
                <w:szCs w:val="19"/>
                <w:rtl w:val="false"/>
              </w:rPr>
              <w:t xml:space="preserve">Description</w:t>
            </w:r>
          </w:p>
        </w:tc>
      </w:tr>
      <w:tr>
        <w:tc>
          <w:tcPr>
            <w:tcW w:type="dxa" w:w="2347"/>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School or university</w:t>
            </w:r>
          </w:p>
        </w:tc>
        <w:tc>
          <w:tcPr>
            <w:tcW w:type="dxa" w:w="3339"/>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EDU_INSTITUTION</w:t>
            </w:r>
          </w:p>
        </w:tc>
        <w:tc>
          <w:tcPr>
            <w:tcW w:type="dxa" w:w="3340"/>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The contracting client; manages student lists and routes</w:t>
            </w:r>
          </w:p>
        </w:tc>
      </w:tr>
      <w:tr>
        <w:tc>
          <w:tcPr>
            <w:tcW w:type="dxa" w:w="2347"/>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Employer</w:t>
            </w:r>
          </w:p>
        </w:tc>
        <w:tc>
          <w:tcPr>
            <w:tcW w:type="dxa" w:w="3339"/>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EMPLOYER</w:t>
            </w:r>
          </w:p>
        </w:tc>
        <w:tc>
          <w:tcPr>
            <w:tcW w:type="dxa" w:w="3340"/>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A company transporting its staff</w:t>
            </w:r>
          </w:p>
        </w:tc>
      </w:tr>
      <w:tr>
        <w:tc>
          <w:tcPr>
            <w:tcW w:type="dxa" w:w="2347"/>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Carrier</w:t>
            </w:r>
          </w:p>
        </w:tc>
        <w:tc>
          <w:tcPr>
            <w:tcW w:type="dxa" w:w="3339"/>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OPERATOR (existing)</w:t>
            </w:r>
          </w:p>
        </w:tc>
        <w:tc>
          <w:tcPr>
            <w:tcW w:type="dxa" w:w="3340"/>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A transport company, or an individual vehicle owner under contract (4.17)</w:t>
            </w:r>
          </w:p>
        </w:tc>
      </w:tr>
      <w:tr>
        <w:tc>
          <w:tcPr>
            <w:tcW w:type="dxa" w:w="2347"/>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Guardian</w:t>
            </w:r>
          </w:p>
        </w:tc>
        <w:tc>
          <w:tcPr>
            <w:tcW w:type="dxa" w:w="3339"/>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GUARDIAN</w:t>
            </w:r>
          </w:p>
        </w:tc>
        <w:tc>
          <w:tcPr>
            <w:tcW w:type="dxa" w:w="3340"/>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Follows the child and receives notifications</w:t>
            </w:r>
          </w:p>
        </w:tc>
      </w:tr>
      <w:tr>
        <w:tc>
          <w:tcPr>
            <w:tcW w:type="dxa" w:w="2347"/>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Attendant</w:t>
            </w:r>
          </w:p>
        </w:tc>
        <w:tc>
          <w:tcPr>
            <w:tcW w:type="dxa" w:w="3339"/>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ATTENDANT</w:t>
            </w:r>
          </w:p>
        </w:tc>
        <w:tc>
          <w:tcPr>
            <w:tcW w:type="dxa" w:w="3340"/>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The school bus escort</w:t>
            </w:r>
          </w:p>
        </w:tc>
      </w:tr>
      <w:tr>
        <w:tc>
          <w:tcPr>
            <w:tcW w:type="dxa" w:w="2347"/>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Rider</w:t>
            </w:r>
          </w:p>
        </w:tc>
        <w:tc>
          <w:tcPr>
            <w:tcW w:type="dxa" w:w="3339"/>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PASSENGER (existing)</w:t>
            </w:r>
          </w:p>
        </w:tc>
        <w:tc>
          <w:tcPr>
            <w:tcW w:type="dxa" w:w="3340"/>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A student or employee on the contract's list</w:t>
            </w:r>
          </w:p>
        </w:tc>
      </w:tr>
    </w:tbl>
    <w:p>
      <w:pPr>
        <w:bidi w:val="false"/>
        <w:spacing w:after="80" w:line="300"/>
        <w:jc w:val="start"/>
      </w:pPr>
      <w:r>
        <w:rPr>
          <w:rFonts w:ascii="Arial" w:cs="Arial"/>
          <w:sz w:val="22"/>
          <w:szCs w:val="22"/>
          <w:rtl w:val="false"/>
        </w:rPr>
        <w:t xml:space="preserve"/>
      </w:r>
    </w:p>
    <w:p>
      <w:pPr>
        <w:pStyle w:val="Heading2"/>
        <w:bidi w:val="false"/>
        <w:spacing w:after="100" w:line="300"/>
        <w:jc w:val="start"/>
      </w:pPr>
      <w:r>
        <w:rPr>
          <w:rFonts w:ascii="Arial" w:cs="Arial"/>
          <w:b/>
          <w:bCs/>
          <w:color w:val="0A5BD3"/>
          <w:sz w:val="24"/>
          <w:szCs w:val="24"/>
          <w:rtl w:val="false"/>
        </w:rPr>
        <w:t xml:space="preserve">D.2.2 Business model</w:t>
      </w:r>
    </w:p>
    <w:p>
      <w:pPr>
        <w:pStyle w:val="ListParagraph"/>
        <w:numPr>
          <w:ilvl w:val="0"/>
          <w:numId w:val="2"/>
        </w:numPr>
        <w:bidi w:val="false"/>
        <w:spacing w:after="60" w:line="300"/>
        <w:jc w:val="start"/>
      </w:pPr>
      <w:r>
        <w:rPr>
          <w:rFonts w:ascii="Arial" w:cs="Arial"/>
          <w:sz w:val="22"/>
          <w:szCs w:val="22"/>
          <w:rtl w:val="false"/>
        </w:rPr>
        <w:t xml:space="preserve">The contract: term, routes, operating days and holidays, capacity, pricing method (monthly for the contract, per rider, or per trip), safety terms and penalties.</w:t>
      </w:r>
    </w:p>
    <w:p>
      <w:pPr>
        <w:pStyle w:val="ListParagraph"/>
        <w:numPr>
          <w:ilvl w:val="0"/>
          <w:numId w:val="2"/>
        </w:numPr>
        <w:bidi w:val="false"/>
        <w:spacing w:after="60" w:line="300"/>
        <w:jc w:val="start"/>
      </w:pPr>
      <w:r>
        <w:rPr>
          <w:rFonts w:ascii="Arial" w:cs="Arial"/>
          <w:sz w:val="22"/>
          <w:szCs w:val="22"/>
          <w:rtl w:val="false"/>
        </w:rPr>
        <w:t xml:space="preserve">Matching: direct assignment to a carrier, or a request for offers from several carriers, like the load board in 10.5.</w:t>
      </w:r>
    </w:p>
    <w:p>
      <w:pPr>
        <w:pStyle w:val="ListParagraph"/>
        <w:numPr>
          <w:ilvl w:val="0"/>
          <w:numId w:val="2"/>
        </w:numPr>
        <w:bidi w:val="false"/>
        <w:spacing w:after="60" w:line="300"/>
        <w:jc w:val="start"/>
      </w:pPr>
      <w:r>
        <w:rPr>
          <w:rFonts w:ascii="Arial" w:cs="Arial"/>
          <w:sz w:val="22"/>
          <w:szCs w:val="22"/>
          <w:rtl w:val="false"/>
        </w:rPr>
        <w:t xml:space="preserve">Routes: a fixed path with ordered pick-up points and times; each rider is assigned a pick-up and drop-off point.</w:t>
      </w:r>
    </w:p>
    <w:p>
      <w:pPr>
        <w:pStyle w:val="ListParagraph"/>
        <w:numPr>
          <w:ilvl w:val="0"/>
          <w:numId w:val="2"/>
        </w:numPr>
        <w:bidi w:val="false"/>
        <w:spacing w:after="60" w:line="300"/>
        <w:jc w:val="start"/>
      </w:pPr>
      <w:r>
        <w:rPr>
          <w:rFonts w:ascii="Arial" w:cs="Arial"/>
          <w:sz w:val="22"/>
          <w:szCs w:val="22"/>
          <w:rtl w:val="false"/>
        </w:rPr>
        <w:t xml:space="preserve">Trips: generated automatically from the contract calendar with trip type CONTRACT, without public sale or seat booking.</w:t>
      </w:r>
    </w:p>
    <w:p>
      <w:pPr>
        <w:pStyle w:val="Heading2"/>
        <w:bidi w:val="false"/>
        <w:spacing w:after="100" w:line="300"/>
        <w:jc w:val="start"/>
      </w:pPr>
      <w:r>
        <w:rPr>
          <w:rFonts w:ascii="Arial" w:cs="Arial"/>
          <w:b/>
          <w:bCs/>
          <w:color w:val="0A5BD3"/>
          <w:sz w:val="24"/>
          <w:szCs w:val="24"/>
          <w:rtl w:val="false"/>
        </w:rPr>
        <w:t xml:space="preserve">D.2.3 Daily operation</w:t>
      </w:r>
    </w:p>
    <w:p>
      <w:pPr>
        <w:pStyle w:val="ListParagraph"/>
        <w:numPr>
          <w:ilvl w:val="0"/>
          <w:numId w:val="2"/>
        </w:numPr>
        <w:bidi w:val="false"/>
        <w:spacing w:after="60" w:line="300"/>
        <w:jc w:val="start"/>
      </w:pPr>
      <w:r>
        <w:rPr>
          <w:rFonts w:ascii="Arial" w:cs="Arial"/>
          <w:sz w:val="22"/>
          <w:szCs w:val="22"/>
          <w:rtl w:val="false"/>
        </w:rPr>
        <w:t xml:space="preserve">Boarding and alighting by scanning the rider's card or QR code in the driver app, which builds an automatic attendance record.</w:t>
      </w:r>
    </w:p>
    <w:p>
      <w:pPr>
        <w:pStyle w:val="ListParagraph"/>
        <w:numPr>
          <w:ilvl w:val="0"/>
          <w:numId w:val="2"/>
        </w:numPr>
        <w:bidi w:val="false"/>
        <w:spacing w:after="60" w:line="300"/>
        <w:jc w:val="start"/>
      </w:pPr>
      <w:r>
        <w:rPr>
          <w:rFonts w:ascii="Arial" w:cs="Arial"/>
          <w:sz w:val="22"/>
          <w:szCs w:val="22"/>
          <w:rtl w:val="false"/>
        </w:rPr>
        <w:t xml:space="preserve">Live tracking for the institution and for guardians within what concerns them, with alerts as the bus approaches, at boarding and on arrival.</w:t>
      </w:r>
    </w:p>
    <w:p>
      <w:pPr>
        <w:pStyle w:val="ListParagraph"/>
        <w:numPr>
          <w:ilvl w:val="0"/>
          <w:numId w:val="2"/>
        </w:numPr>
        <w:bidi w:val="false"/>
        <w:spacing w:after="60" w:line="300"/>
        <w:jc w:val="start"/>
      </w:pPr>
      <w:r>
        <w:rPr>
          <w:rFonts w:ascii="Arial" w:cs="Arial"/>
          <w:sz w:val="22"/>
          <w:szCs w:val="22"/>
          <w:rtl w:val="false"/>
        </w:rPr>
        <w:t xml:space="preserve">Reports for the institution: punctuality, absence, incidents and speed.</w:t>
      </w:r>
    </w:p>
    <w:p>
      <w:pPr>
        <w:pStyle w:val="Heading2"/>
        <w:bidi w:val="false"/>
        <w:spacing w:after="100" w:line="300"/>
        <w:jc w:val="start"/>
      </w:pPr>
      <w:r>
        <w:rPr>
          <w:rFonts w:ascii="Arial" w:cs="Arial"/>
          <w:b/>
          <w:bCs/>
          <w:color w:val="0A5BD3"/>
          <w:sz w:val="24"/>
          <w:szCs w:val="24"/>
          <w:rtl w:val="false"/>
        </w:rPr>
        <w:t xml:space="preserve">D.2.4 Safety and protection of minors</w:t>
      </w:r>
    </w:p>
    <w:p>
      <w:pPr>
        <w:pStyle w:val="ListParagraph"/>
        <w:numPr>
          <w:ilvl w:val="0"/>
          <w:numId w:val="2"/>
        </w:numPr>
        <w:bidi w:val="false"/>
        <w:spacing w:after="60" w:line="300"/>
        <w:jc w:val="start"/>
      </w:pPr>
      <w:r>
        <w:rPr>
          <w:rFonts w:ascii="Arial" w:cs="Arial"/>
          <w:sz w:val="22"/>
          <w:szCs w:val="22"/>
          <w:rtl w:val="false"/>
        </w:rPr>
        <w:t xml:space="preserve">Guardian consent is required for registration; the child's data is kept to a minimum, and full names are shown only to the institution, the driver and the attendant.</w:t>
      </w:r>
    </w:p>
    <w:p>
      <w:pPr>
        <w:pStyle w:val="ListParagraph"/>
        <w:numPr>
          <w:ilvl w:val="0"/>
          <w:numId w:val="2"/>
        </w:numPr>
        <w:bidi w:val="false"/>
        <w:spacing w:after="60" w:line="300"/>
        <w:jc w:val="start"/>
      </w:pPr>
      <w:r>
        <w:rPr>
          <w:rFonts w:ascii="Arial" w:cs="Arial"/>
          <w:sz w:val="22"/>
          <w:szCs w:val="22"/>
          <w:rtl w:val="false"/>
        </w:rPr>
        <w:t xml:space="preserve">At drop-off the child is handed only to a registered authorised person; otherwise the child stays on the bus and the guardian and institution are notified.</w:t>
      </w:r>
    </w:p>
    <w:p>
      <w:pPr>
        <w:pStyle w:val="ListParagraph"/>
        <w:numPr>
          <w:ilvl w:val="0"/>
          <w:numId w:val="2"/>
        </w:numPr>
        <w:bidi w:val="false"/>
        <w:spacing w:after="60" w:line="300"/>
        <w:jc w:val="start"/>
      </w:pPr>
      <w:r>
        <w:rPr>
          <w:rFonts w:ascii="Arial" w:cs="Arial"/>
          <w:sz w:val="22"/>
          <w:szCs w:val="22"/>
          <w:rtl w:val="false"/>
        </w:rPr>
        <w:t xml:space="preserve">Stricter checks on drivers and attendants: licence, criminal record and medical check, with expiry dates (4.18).</w:t>
      </w:r>
    </w:p>
    <w:p>
      <w:pPr>
        <w:pStyle w:val="ListParagraph"/>
        <w:numPr>
          <w:ilvl w:val="0"/>
          <w:numId w:val="2"/>
        </w:numPr>
        <w:bidi w:val="false"/>
        <w:spacing w:after="60" w:line="300"/>
        <w:jc w:val="start"/>
      </w:pPr>
      <w:r>
        <w:rPr>
          <w:rFonts w:ascii="Arial" w:cs="Arial"/>
          <w:sz w:val="22"/>
          <w:szCs w:val="22"/>
          <w:rtl w:val="false"/>
        </w:rPr>
        <w:t xml:space="preserve">End-of-trip check: the trip cannot close until the driver confirms the bus is empty, with an alert if a rider has no alighting scan.</w:t>
      </w:r>
    </w:p>
    <w:p>
      <w:pPr>
        <w:pStyle w:val="ListParagraph"/>
        <w:numPr>
          <w:ilvl w:val="0"/>
          <w:numId w:val="2"/>
        </w:numPr>
        <w:bidi w:val="false"/>
        <w:spacing w:after="60" w:line="300"/>
        <w:jc w:val="start"/>
      </w:pPr>
      <w:r>
        <w:rPr>
          <w:rFonts w:ascii="Arial" w:cs="Arial"/>
          <w:sz w:val="22"/>
          <w:szCs w:val="22"/>
          <w:rtl w:val="false"/>
        </w:rPr>
        <w:t xml:space="preserve">Stricter speed limits with immediate alerts, and an emergency button (7.12).</w:t>
      </w:r>
    </w:p>
    <w:p>
      <w:pPr>
        <w:pStyle w:val="Heading2"/>
        <w:bidi w:val="false"/>
        <w:spacing w:after="100" w:line="300"/>
        <w:jc w:val="start"/>
      </w:pPr>
      <w:r>
        <w:rPr>
          <w:rFonts w:ascii="Arial" w:cs="Arial"/>
          <w:b/>
          <w:bCs/>
          <w:color w:val="0A5BD3"/>
          <w:sz w:val="24"/>
          <w:szCs w:val="24"/>
          <w:rtl w:val="false"/>
        </w:rPr>
        <w:t xml:space="preserve">D.2.5 Billing and settlement</w:t>
      </w:r>
    </w:p>
    <w:p>
      <w:pPr>
        <w:bidi w:val="false"/>
        <w:spacing w:after="120" w:line="300"/>
        <w:jc w:val="start"/>
      </w:pPr>
      <w:r>
        <w:rPr>
          <w:rFonts w:ascii="Arial" w:cs="Arial"/>
          <w:sz w:val="22"/>
          <w:szCs w:val="22"/>
          <w:rtl w:val="false"/>
        </w:rPr>
        <w:t xml:space="preserve">A periodic invoice to the institution for the contract, with the option to collect shares from guardians or employees through the wallet. Every movement goes through the single ledger, and the carrier is settled with the existing settlement statements and four-eyes approval.</w:t>
      </w:r>
    </w:p>
    <w:p>
      <w:pPr>
        <w:pStyle w:val="Heading2"/>
        <w:bidi w:val="false"/>
        <w:spacing w:after="100" w:line="300"/>
        <w:jc w:val="start"/>
      </w:pPr>
      <w:r>
        <w:rPr>
          <w:rFonts w:ascii="Arial" w:cs="Arial"/>
          <w:b/>
          <w:bCs/>
          <w:color w:val="0A5BD3"/>
          <w:sz w:val="24"/>
          <w:szCs w:val="24"/>
          <w:rtl w:val="false"/>
        </w:rPr>
        <w:t xml:space="preserve">D.2.6 Entities (ERD)</w:t>
      </w:r>
    </w:p>
    <w:tbl>
      <w:tblPr>
        <w:bidiVisual w:val="false"/>
        <w:tblW w:type="dxa" w:w="9026"/>
        <w:tblBorders>
          <w:top w:val="single" w:color="D5DBE3" w:sz="4"/>
          <w:left w:val="single" w:color="D5DBE3" w:sz="4"/>
          <w:bottom w:val="single" w:color="D5DBE3" w:sz="4"/>
          <w:right w:val="single" w:color="D5DBE3" w:sz="4"/>
          <w:insideH w:val="single" w:color="D5DBE3" w:sz="4"/>
          <w:insideV w:val="single" w:color="D5DBE3" w:sz="4"/>
        </w:tblBorders>
      </w:tblPr>
      <w:tblGrid>
        <w:gridCol w:w="2347"/>
        <w:gridCol w:w="3339"/>
        <w:gridCol w:w="3340"/>
      </w:tblGrid>
      <w:tr>
        <w:trPr>
          <w:tblHeader/>
        </w:trPr>
        <w:tc>
          <w:tcPr>
            <w:tcW w:type="dxa" w:w="2347"/>
            <w:shd w:fill="E8EEF8" w:color="auto" w:val="clear"/>
            <w:tcMar>
              <w:top w:type="dxa" w:w="80"/>
              <w:left w:type="dxa" w:w="110"/>
              <w:bottom w:type="dxa" w:w="80"/>
              <w:right w:type="dxa" w:w="110"/>
            </w:tcMar>
          </w:tcPr>
          <w:p>
            <w:pPr>
              <w:bidi w:val="false"/>
              <w:spacing w:after="0" w:line="300"/>
              <w:jc w:val="start"/>
            </w:pPr>
            <w:r>
              <w:rPr>
                <w:rFonts w:ascii="Arial" w:cs="Arial"/>
                <w:b/>
                <w:bCs/>
                <w:color w:val="0B1F3F"/>
                <w:sz w:val="19"/>
                <w:szCs w:val="19"/>
                <w:rtl w:val="false"/>
              </w:rPr>
              <w:t xml:space="preserve">Entity</w:t>
            </w:r>
          </w:p>
        </w:tc>
        <w:tc>
          <w:tcPr>
            <w:tcW w:type="dxa" w:w="3339"/>
            <w:shd w:fill="E8EEF8" w:color="auto" w:val="clear"/>
            <w:tcMar>
              <w:top w:type="dxa" w:w="80"/>
              <w:left w:type="dxa" w:w="110"/>
              <w:bottom w:type="dxa" w:w="80"/>
              <w:right w:type="dxa" w:w="110"/>
            </w:tcMar>
          </w:tcPr>
          <w:p>
            <w:pPr>
              <w:bidi w:val="false"/>
              <w:spacing w:after="0" w:line="300"/>
              <w:jc w:val="start"/>
            </w:pPr>
            <w:r>
              <w:rPr>
                <w:rFonts w:ascii="Arial" w:cs="Arial"/>
                <w:b/>
                <w:bCs/>
                <w:color w:val="0B1F3F"/>
                <w:sz w:val="19"/>
                <w:szCs w:val="19"/>
                <w:rtl w:val="false"/>
              </w:rPr>
              <w:t xml:space="preserve">Main fields</w:t>
            </w:r>
          </w:p>
        </w:tc>
        <w:tc>
          <w:tcPr>
            <w:tcW w:type="dxa" w:w="3340"/>
            <w:shd w:fill="E8EEF8" w:color="auto" w:val="clear"/>
            <w:tcMar>
              <w:top w:type="dxa" w:w="80"/>
              <w:left w:type="dxa" w:w="110"/>
              <w:bottom w:type="dxa" w:w="80"/>
              <w:right w:type="dxa" w:w="110"/>
            </w:tcMar>
          </w:tcPr>
          <w:p>
            <w:pPr>
              <w:bidi w:val="false"/>
              <w:spacing w:after="0" w:line="300"/>
              <w:jc w:val="start"/>
            </w:pPr>
            <w:r>
              <w:rPr>
                <w:rFonts w:ascii="Arial" w:cs="Arial"/>
                <w:b/>
                <w:bCs/>
                <w:color w:val="0B1F3F"/>
                <w:sz w:val="19"/>
                <w:szCs w:val="19"/>
                <w:rtl w:val="false"/>
              </w:rPr>
              <w:t xml:space="preserve">Relations</w:t>
            </w:r>
          </w:p>
        </w:tc>
      </w:tr>
      <w:tr>
        <w:tc>
          <w:tcPr>
            <w:tcW w:type="dxa" w:w="2347"/>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service_contract</w:t>
            </w:r>
          </w:p>
        </w:tc>
        <w:tc>
          <w:tcPr>
            <w:tcW w:type="dxa" w:w="3339"/>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id, client_party_id, carrier_party_id, kind (SCHOOL/UNIVERSITY/STAFF), start, end, pricing_mode, price, terms_json, status</w:t>
            </w:r>
          </w:p>
        </w:tc>
        <w:tc>
          <w:tcPr>
            <w:tcW w:type="dxa" w:w="3340"/>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The base contract</w:t>
            </w:r>
          </w:p>
        </w:tc>
      </w:tr>
      <w:tr>
        <w:tc>
          <w:tcPr>
            <w:tcW w:type="dxa" w:w="2347"/>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contract_route</w:t>
            </w:r>
          </w:p>
        </w:tc>
        <w:tc>
          <w:tcPr>
            <w:tcW w:type="dxa" w:w="3339"/>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contract_id, route_id, direction, calendar_id, vehicle_id, driver_id, attendant_id</w:t>
            </w:r>
          </w:p>
        </w:tc>
        <w:tc>
          <w:tcPr>
            <w:tcW w:type="dxa" w:w="3340"/>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A route in the contract</w:t>
            </w:r>
          </w:p>
        </w:tc>
      </w:tr>
      <w:tr>
        <w:tc>
          <w:tcPr>
            <w:tcW w:type="dxa" w:w="2347"/>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contract_rider</w:t>
            </w:r>
          </w:p>
        </w:tc>
        <w:tc>
          <w:tcPr>
            <w:tcW w:type="dxa" w:w="3339"/>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contract_id, passenger_party_id, guardian_party_id, pickup_stop_id, dropoff_stop_id, status</w:t>
            </w:r>
          </w:p>
        </w:tc>
        <w:tc>
          <w:tcPr>
            <w:tcW w:type="dxa" w:w="3340"/>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The rider list</w:t>
            </w:r>
          </w:p>
        </w:tc>
      </w:tr>
      <w:tr>
        <w:tc>
          <w:tcPr>
            <w:tcW w:type="dxa" w:w="2347"/>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authorized_receiver</w:t>
            </w:r>
          </w:p>
        </w:tc>
        <w:tc>
          <w:tcPr>
            <w:tcW w:type="dxa" w:w="3339"/>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rider_id, party_id, relation, verified_at</w:t>
            </w:r>
          </w:p>
        </w:tc>
        <w:tc>
          <w:tcPr>
            <w:tcW w:type="dxa" w:w="3340"/>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People allowed to receive the child</w:t>
            </w:r>
          </w:p>
        </w:tc>
      </w:tr>
      <w:tr>
        <w:tc>
          <w:tcPr>
            <w:tcW w:type="dxa" w:w="2347"/>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attendance_event</w:t>
            </w:r>
          </w:p>
        </w:tc>
        <w:tc>
          <w:tcPr>
            <w:tcW w:type="dxa" w:w="3339"/>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trip_id, rider_id, event (BOARD/ALIGHT/ABSENT), ts, lat, lng, source</w:t>
            </w:r>
          </w:p>
        </w:tc>
        <w:tc>
          <w:tcPr>
            <w:tcW w:type="dxa" w:w="3340"/>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Derived from boarding scans</w:t>
            </w:r>
          </w:p>
        </w:tc>
      </w:tr>
      <w:tr>
        <w:tc>
          <w:tcPr>
            <w:tcW w:type="dxa" w:w="2347"/>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contract_invoice</w:t>
            </w:r>
          </w:p>
        </w:tc>
        <w:tc>
          <w:tcPr>
            <w:tcW w:type="dxa" w:w="3339"/>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contract_id, period, amount, status</w:t>
            </w:r>
          </w:p>
        </w:tc>
        <w:tc>
          <w:tcPr>
            <w:tcW w:type="dxa" w:w="3340"/>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Periodic billing</w:t>
            </w:r>
          </w:p>
        </w:tc>
      </w:tr>
    </w:tbl>
    <w:p>
      <w:pPr>
        <w:bidi w:val="false"/>
        <w:spacing w:after="80" w:line="300"/>
        <w:jc w:val="start"/>
      </w:pPr>
      <w:r>
        <w:rPr>
          <w:rFonts w:ascii="Arial" w:cs="Arial"/>
          <w:sz w:val="22"/>
          <w:szCs w:val="22"/>
          <w:rtl w:val="false"/>
        </w:rPr>
        <w:t xml:space="preserve"/>
      </w:r>
    </w:p>
    <w:p>
      <w:pPr>
        <w:pStyle w:val="Heading2"/>
        <w:bidi w:val="false"/>
        <w:spacing w:after="100" w:line="300"/>
        <w:jc w:val="start"/>
      </w:pPr>
      <w:r>
        <w:rPr>
          <w:rFonts w:ascii="Arial" w:cs="Arial"/>
          <w:b/>
          <w:bCs/>
          <w:color w:val="0A5BD3"/>
          <w:sz w:val="24"/>
          <w:szCs w:val="24"/>
          <w:rtl w:val="false"/>
        </w:rPr>
        <w:t xml:space="preserve">D.2.7 What the module reuses from the core</w:t>
      </w:r>
    </w:p>
    <w:tbl>
      <w:tblPr>
        <w:bidiVisual w:val="false"/>
        <w:tblW w:type="dxa" w:w="9026"/>
        <w:tblBorders>
          <w:top w:val="single" w:color="D5DBE3" w:sz="4"/>
          <w:left w:val="single" w:color="D5DBE3" w:sz="4"/>
          <w:bottom w:val="single" w:color="D5DBE3" w:sz="4"/>
          <w:right w:val="single" w:color="D5DBE3" w:sz="4"/>
          <w:insideH w:val="single" w:color="D5DBE3" w:sz="4"/>
          <w:insideV w:val="single" w:color="D5DBE3" w:sz="4"/>
        </w:tblBorders>
      </w:tblPr>
      <w:tblGrid>
        <w:gridCol w:w="2888"/>
        <w:gridCol w:w="6138"/>
      </w:tblGrid>
      <w:tr>
        <w:trPr>
          <w:tblHeader/>
        </w:trPr>
        <w:tc>
          <w:tcPr>
            <w:tcW w:type="dxa" w:w="2888"/>
            <w:shd w:fill="E8EEF8" w:color="auto" w:val="clear"/>
            <w:tcMar>
              <w:top w:type="dxa" w:w="80"/>
              <w:left w:type="dxa" w:w="110"/>
              <w:bottom w:type="dxa" w:w="80"/>
              <w:right w:type="dxa" w:w="110"/>
            </w:tcMar>
          </w:tcPr>
          <w:p>
            <w:pPr>
              <w:bidi w:val="false"/>
              <w:spacing w:after="0" w:line="300"/>
              <w:jc w:val="start"/>
            </w:pPr>
            <w:r>
              <w:rPr>
                <w:rFonts w:ascii="Arial" w:cs="Arial"/>
                <w:b/>
                <w:bCs/>
                <w:color w:val="0B1F3F"/>
                <w:sz w:val="19"/>
                <w:szCs w:val="19"/>
                <w:rtl w:val="false"/>
              </w:rPr>
              <w:t xml:space="preserve">From the core</w:t>
            </w:r>
          </w:p>
        </w:tc>
        <w:tc>
          <w:tcPr>
            <w:tcW w:type="dxa" w:w="6138"/>
            <w:shd w:fill="E8EEF8" w:color="auto" w:val="clear"/>
            <w:tcMar>
              <w:top w:type="dxa" w:w="80"/>
              <w:left w:type="dxa" w:w="110"/>
              <w:bottom w:type="dxa" w:w="80"/>
              <w:right w:type="dxa" w:w="110"/>
            </w:tcMar>
          </w:tcPr>
          <w:p>
            <w:pPr>
              <w:bidi w:val="false"/>
              <w:spacing w:after="0" w:line="300"/>
              <w:jc w:val="start"/>
            </w:pPr>
            <w:r>
              <w:rPr>
                <w:rFonts w:ascii="Arial" w:cs="Arial"/>
                <w:b/>
                <w:bCs/>
                <w:color w:val="0B1F3F"/>
                <w:sz w:val="19"/>
                <w:szCs w:val="19"/>
                <w:rtl w:val="false"/>
              </w:rPr>
              <w:t xml:space="preserve">Use in the module</w:t>
            </w:r>
          </w:p>
        </w:tc>
      </w:tr>
      <w:tr>
        <w:tc>
          <w:tcPr>
            <w:tcW w:type="dxa" w:w="288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Party, PartyRole, documents and verification</w:t>
            </w:r>
          </w:p>
        </w:tc>
        <w:tc>
          <w:tcPr>
            <w:tcW w:type="dxa" w:w="613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Institutions, guardians, drivers and attendants</w:t>
            </w:r>
          </w:p>
        </w:tc>
      </w:tr>
      <w:tr>
        <w:tc>
          <w:tcPr>
            <w:tcW w:type="dxa" w:w="288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Fleet and seat layouts</w:t>
            </w:r>
          </w:p>
        </w:tc>
        <w:tc>
          <w:tcPr>
            <w:tcW w:type="dxa" w:w="613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Buses, and capacity checked against rider lists</w:t>
            </w:r>
          </w:p>
        </w:tc>
      </w:tr>
      <w:tr>
        <w:tc>
          <w:tcPr>
            <w:tcW w:type="dxa" w:w="288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Trip, scheduling and calendars</w:t>
            </w:r>
          </w:p>
        </w:tc>
        <w:tc>
          <w:tcPr>
            <w:tcW w:type="dxa" w:w="613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CONTRACT trips generated from the contract</w:t>
            </w:r>
          </w:p>
        </w:tc>
      </w:tr>
      <w:tr>
        <w:tc>
          <w:tcPr>
            <w:tcW w:type="dxa" w:w="288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Driver app and tracking (7.8)</w:t>
            </w:r>
          </w:p>
        </w:tc>
        <w:tc>
          <w:tcPr>
            <w:tcW w:type="dxa" w:w="613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Boarding, alighting, alerts and live tracking</w:t>
            </w:r>
          </w:p>
        </w:tc>
      </w:tr>
      <w:tr>
        <w:tc>
          <w:tcPr>
            <w:tcW w:type="dxa" w:w="288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Notifications through the outbox</w:t>
            </w:r>
          </w:p>
        </w:tc>
        <w:tc>
          <w:tcPr>
            <w:tcW w:type="dxa" w:w="613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Guardian and institution notifications in their language</w:t>
            </w:r>
          </w:p>
        </w:tc>
      </w:tr>
      <w:tr>
        <w:tc>
          <w:tcPr>
            <w:tcW w:type="dxa" w:w="288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Wallet, ledger and settlement</w:t>
            </w:r>
          </w:p>
        </w:tc>
        <w:tc>
          <w:tcPr>
            <w:tcW w:type="dxa" w:w="613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Billing, collection and carrier settlement</w:t>
            </w:r>
          </w:p>
        </w:tc>
      </w:tr>
    </w:tbl>
    <w:p>
      <w:pPr>
        <w:bidi w:val="false"/>
        <w:spacing w:after="80" w:line="300"/>
        <w:jc w:val="start"/>
      </w:pPr>
      <w:r>
        <w:rPr>
          <w:rFonts w:ascii="Arial" w:cs="Arial"/>
          <w:sz w:val="22"/>
          <w:szCs w:val="22"/>
          <w:rtl w:val="false"/>
        </w:rPr>
        <w:t xml:space="preserve"/>
      </w:r>
    </w:p>
    <w:p>
      <w:pPr>
        <w:pStyle w:val="Heading2"/>
        <w:bidi w:val="false"/>
        <w:spacing w:after="100" w:line="300"/>
        <w:jc w:val="start"/>
      </w:pPr>
      <w:r>
        <w:rPr>
          <w:rFonts w:ascii="Arial" w:cs="Arial"/>
          <w:b/>
          <w:bCs/>
          <w:color w:val="0A5BD3"/>
          <w:sz w:val="24"/>
          <w:szCs w:val="24"/>
          <w:rtl w:val="false"/>
        </w:rPr>
        <w:t xml:space="preserve">D.2.8 Phasing</w:t>
      </w:r>
    </w:p>
    <w:p>
      <w:pPr>
        <w:bidi w:val="false"/>
        <w:spacing w:after="120" w:line="300"/>
        <w:jc w:val="start"/>
      </w:pPr>
      <w:r>
        <w:rPr>
          <w:rFonts w:ascii="Arial" w:cs="Arial"/>
          <w:sz w:val="22"/>
          <w:szCs w:val="22"/>
          <w:rtl w:val="false"/>
        </w:rPr>
        <w:t xml:space="preserve">A separate module built after phase 3 and enabled by the contract_transport feature flag, with readiness in phase 1: the CONTRACT trip type and the new roles.</w:t>
      </w:r>
    </w:p>
    <w:p>
      <w:pPr>
        <w:pStyle w:val="Heading1"/>
        <w:bidi w:val="false"/>
        <w:spacing w:after="140" w:line="300"/>
        <w:jc w:val="start"/>
      </w:pPr>
      <w:r>
        <w:rPr>
          <w:rFonts w:ascii="Arial" w:cs="Arial"/>
          <w:b/>
          <w:bCs/>
          <w:color w:val="0B1F3F"/>
          <w:sz w:val="30"/>
          <w:szCs w:val="30"/>
          <w:rtl w:val="false"/>
        </w:rPr>
        <w:t xml:space="preserve">D.3 Transit trucks: vehicle data and cargo type</w:t>
      </w:r>
    </w:p>
    <w:p>
      <w:pPr>
        <w:bidi w:val="false"/>
        <w:spacing w:after="120" w:line="300"/>
        <w:jc w:val="start"/>
      </w:pPr>
      <w:r>
        <w:rPr>
          <w:rFonts w:ascii="Arial" w:cs="Arial"/>
          <w:sz w:val="22"/>
          <w:szCs w:val="22"/>
          <w:rtl w:val="false"/>
        </w:rPr>
        <w:t xml:space="preserve">The annex confirms 10.4, 10.9 and 11.4: every detail of the tractor, the trailer, their combination and the driver is recorded, including plate and country of registration, chassis number, make, model, year, axles, weights, licences, inspection, insurance (including the Arab Orange Card where it applies), cross-border permit and tracking device. It adds the following:</w:t>
      </w:r>
    </w:p>
    <w:p>
      <w:pPr>
        <w:pStyle w:val="Heading2"/>
        <w:bidi w:val="false"/>
        <w:spacing w:after="100" w:line="300"/>
        <w:jc w:val="start"/>
      </w:pPr>
      <w:r>
        <w:rPr>
          <w:rFonts w:ascii="Arial" w:cs="Arial"/>
          <w:b/>
          <w:bCs/>
          <w:color w:val="0A5BD3"/>
          <w:sz w:val="24"/>
          <w:szCs w:val="24"/>
          <w:rtl w:val="false"/>
        </w:rPr>
        <w:t xml:space="preserve">D.3.1 Cargo type as additional information</w:t>
      </w:r>
    </w:p>
    <w:tbl>
      <w:tblPr>
        <w:bidiVisual w:val="false"/>
        <w:tblW w:type="dxa" w:w="9026"/>
        <w:tblBorders>
          <w:top w:val="single" w:color="D5DBE3" w:sz="4"/>
          <w:left w:val="single" w:color="D5DBE3" w:sz="4"/>
          <w:bottom w:val="single" w:color="D5DBE3" w:sz="4"/>
          <w:right w:val="single" w:color="D5DBE3" w:sz="4"/>
          <w:insideH w:val="single" w:color="D5DBE3" w:sz="4"/>
          <w:insideV w:val="single" w:color="D5DBE3" w:sz="4"/>
        </w:tblBorders>
      </w:tblPr>
      <w:tblGrid>
        <w:gridCol w:w="2347"/>
        <w:gridCol w:w="3339"/>
        <w:gridCol w:w="3340"/>
      </w:tblGrid>
      <w:tr>
        <w:trPr>
          <w:tblHeader/>
        </w:trPr>
        <w:tc>
          <w:tcPr>
            <w:tcW w:type="dxa" w:w="2347"/>
            <w:shd w:fill="E8EEF8" w:color="auto" w:val="clear"/>
            <w:tcMar>
              <w:top w:type="dxa" w:w="80"/>
              <w:left w:type="dxa" w:w="110"/>
              <w:bottom w:type="dxa" w:w="80"/>
              <w:right w:type="dxa" w:w="110"/>
            </w:tcMar>
          </w:tcPr>
          <w:p>
            <w:pPr>
              <w:bidi w:val="false"/>
              <w:spacing w:after="0" w:line="300"/>
              <w:jc w:val="start"/>
            </w:pPr>
            <w:r>
              <w:rPr>
                <w:rFonts w:ascii="Arial" w:cs="Arial"/>
                <w:b/>
                <w:bCs/>
                <w:color w:val="0B1F3F"/>
                <w:sz w:val="19"/>
                <w:szCs w:val="19"/>
                <w:rtl w:val="false"/>
              </w:rPr>
              <w:t xml:space="preserve">Field</w:t>
            </w:r>
          </w:p>
        </w:tc>
        <w:tc>
          <w:tcPr>
            <w:tcW w:type="dxa" w:w="3339"/>
            <w:shd w:fill="E8EEF8" w:color="auto" w:val="clear"/>
            <w:tcMar>
              <w:top w:type="dxa" w:w="80"/>
              <w:left w:type="dxa" w:w="110"/>
              <w:bottom w:type="dxa" w:w="80"/>
              <w:right w:type="dxa" w:w="110"/>
            </w:tcMar>
          </w:tcPr>
          <w:p>
            <w:pPr>
              <w:bidi w:val="false"/>
              <w:spacing w:after="0" w:line="300"/>
              <w:jc w:val="start"/>
            </w:pPr>
            <w:r>
              <w:rPr>
                <w:rFonts w:ascii="Arial" w:cs="Arial"/>
                <w:b/>
                <w:bCs/>
                <w:color w:val="0B1F3F"/>
                <w:sz w:val="19"/>
                <w:szCs w:val="19"/>
                <w:rtl w:val="false"/>
              </w:rPr>
              <w:t xml:space="preserve">Description</w:t>
            </w:r>
          </w:p>
        </w:tc>
        <w:tc>
          <w:tcPr>
            <w:tcW w:type="dxa" w:w="3340"/>
            <w:shd w:fill="E8EEF8" w:color="auto" w:val="clear"/>
            <w:tcMar>
              <w:top w:type="dxa" w:w="80"/>
              <w:left w:type="dxa" w:w="110"/>
              <w:bottom w:type="dxa" w:w="80"/>
              <w:right w:type="dxa" w:w="110"/>
            </w:tcMar>
          </w:tcPr>
          <w:p>
            <w:pPr>
              <w:bidi w:val="false"/>
              <w:spacing w:after="0" w:line="300"/>
              <w:jc w:val="start"/>
            </w:pPr>
            <w:r>
              <w:rPr>
                <w:rFonts w:ascii="Arial" w:cs="Arial"/>
                <w:b/>
                <w:bCs/>
                <w:color w:val="0B1F3F"/>
                <w:sz w:val="19"/>
                <w:szCs w:val="19"/>
                <w:rtl w:val="false"/>
              </w:rPr>
              <w:t xml:space="preserve">Required for transit</w:t>
            </w:r>
          </w:p>
        </w:tc>
      </w:tr>
      <w:tr>
        <w:tc>
          <w:tcPr>
            <w:tcW w:type="dxa" w:w="2347"/>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cargo_category</w:t>
            </w:r>
          </w:p>
        </w:tc>
        <w:tc>
          <w:tcPr>
            <w:tcW w:type="dxa" w:w="3339"/>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Standard classification: general goods, food, refrigerated, liquids, dangerous goods, livestock, vehicles, containers, other</w:t>
            </w:r>
          </w:p>
        </w:tc>
        <w:tc>
          <w:tcPr>
            <w:tcW w:type="dxa" w:w="3340"/>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Yes</w:t>
            </w:r>
          </w:p>
        </w:tc>
      </w:tr>
      <w:tr>
        <w:tc>
          <w:tcPr>
            <w:tcW w:type="dxa" w:w="2347"/>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cargo_description</w:t>
            </w:r>
          </w:p>
        </w:tc>
        <w:tc>
          <w:tcPr>
            <w:tcW w:type="dxa" w:w="3339"/>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Short free text</w:t>
            </w:r>
          </w:p>
        </w:tc>
        <w:tc>
          <w:tcPr>
            <w:tcW w:type="dxa" w:w="3340"/>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Yes</w:t>
            </w:r>
          </w:p>
        </w:tc>
      </w:tr>
      <w:tr>
        <w:tc>
          <w:tcPr>
            <w:tcW w:type="dxa" w:w="2347"/>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hs_code</w:t>
            </w:r>
          </w:p>
        </w:tc>
        <w:tc>
          <w:tcPr>
            <w:tcW w:type="dxa" w:w="3339"/>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Harmonized System code where available</w:t>
            </w:r>
          </w:p>
        </w:tc>
        <w:tc>
          <w:tcPr>
            <w:tcW w:type="dxa" w:w="3340"/>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No</w:t>
            </w:r>
          </w:p>
        </w:tc>
      </w:tr>
      <w:tr>
        <w:tc>
          <w:tcPr>
            <w:tcW w:type="dxa" w:w="2347"/>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declared_weight_kg, packages</w:t>
            </w:r>
          </w:p>
        </w:tc>
        <w:tc>
          <w:tcPr>
            <w:tcW w:type="dxa" w:w="3339"/>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Declared weight and number of packages</w:t>
            </w:r>
          </w:p>
        </w:tc>
        <w:tc>
          <w:tcPr>
            <w:tcW w:type="dxa" w:w="3340"/>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Yes</w:t>
            </w:r>
          </w:p>
        </w:tc>
      </w:tr>
      <w:tr>
        <w:tc>
          <w:tcPr>
            <w:tcW w:type="dxa" w:w="2347"/>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un_number, adr_class</w:t>
            </w:r>
          </w:p>
        </w:tc>
        <w:tc>
          <w:tcPr>
            <w:tcW w:type="dxa" w:w="3339"/>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UN number and hazard class of the goods themselves</w:t>
            </w:r>
          </w:p>
        </w:tc>
        <w:tc>
          <w:tcPr>
            <w:tcW w:type="dxa" w:w="3340"/>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For dangerous goods</w:t>
            </w:r>
          </w:p>
        </w:tc>
      </w:tr>
      <w:tr>
        <w:tc>
          <w:tcPr>
            <w:tcW w:type="dxa" w:w="2347"/>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temperature_range</w:t>
            </w:r>
          </w:p>
        </w:tc>
        <w:tc>
          <w:tcPr>
            <w:tcW w:type="dxa" w:w="3339"/>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For refrigerated loads</w:t>
            </w:r>
          </w:p>
        </w:tc>
        <w:tc>
          <w:tcPr>
            <w:tcW w:type="dxa" w:w="3340"/>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When needed</w:t>
            </w:r>
          </w:p>
        </w:tc>
      </w:tr>
    </w:tbl>
    <w:p>
      <w:pPr>
        <w:bidi w:val="false"/>
        <w:spacing w:after="80" w:line="300"/>
        <w:jc w:val="start"/>
      </w:pPr>
      <w:r>
        <w:rPr>
          <w:rFonts w:ascii="Arial" w:cs="Arial"/>
          <w:sz w:val="22"/>
          <w:szCs w:val="22"/>
          <w:rtl w:val="false"/>
        </w:rPr>
        <w:t xml:space="preserve"/>
      </w:r>
    </w:p>
    <w:p>
      <w:pPr>
        <w:bidi w:val="false"/>
        <w:spacing w:after="120" w:line="300"/>
        <w:jc w:val="start"/>
      </w:pPr>
      <w:r>
        <w:rPr>
          <w:rFonts w:ascii="Arial" w:cs="Arial"/>
          <w:sz w:val="22"/>
          <w:szCs w:val="22"/>
          <w:rtl w:val="false"/>
        </w:rPr>
        <w:t xml:space="preserve">This data is additional information for the manifest and the authorities, and does not replace the customs declaration. The declared weight is compared with the weighbridge (10.7), with an alert on a difference.</w:t>
      </w:r>
    </w:p>
    <w:p>
      <w:pPr>
        <w:pStyle w:val="Heading2"/>
        <w:bidi w:val="false"/>
        <w:spacing w:after="100" w:line="300"/>
        <w:jc w:val="start"/>
      </w:pPr>
      <w:r>
        <w:rPr>
          <w:rFonts w:ascii="Arial" w:cs="Arial"/>
          <w:b/>
          <w:bCs/>
          <w:color w:val="0A5BD3"/>
          <w:sz w:val="24"/>
          <w:szCs w:val="24"/>
          <w:rtl w:val="false"/>
        </w:rPr>
        <w:t xml:space="preserve">D.3.2 Entities</w:t>
      </w:r>
    </w:p>
    <w:p>
      <w:pPr>
        <w:bidi w:val="false"/>
        <w:spacing w:after="120" w:line="300"/>
        <w:jc w:val="start"/>
      </w:pPr>
      <w:r>
        <w:rPr>
          <w:rFonts w:ascii="Arial" w:cs="Arial"/>
          <w:sz w:val="22"/>
          <w:szCs w:val="22"/>
          <w:rtl w:val="false"/>
        </w:rPr>
        <w:t xml:space="preserve">The fields above are added to freight_request, manifest_cargo and transit_declaration, with a versioned reference table ref.cargo_category.</w:t>
      </w:r>
    </w:p>
    <w:p>
      <w:pPr>
        <w:pStyle w:val="Heading1"/>
        <w:bidi w:val="false"/>
        <w:spacing w:after="140" w:line="300"/>
        <w:jc w:val="start"/>
      </w:pPr>
      <w:r>
        <w:rPr>
          <w:rFonts w:ascii="Arial" w:cs="Arial"/>
          <w:b/>
          <w:bCs/>
          <w:color w:val="0B1F3F"/>
          <w:sz w:val="30"/>
          <w:szCs w:val="30"/>
          <w:rtl w:val="false"/>
        </w:rPr>
        <w:t xml:space="preserve">D.4 Extensibility and additional modules</w:t>
      </w:r>
    </w:p>
    <w:p>
      <w:pPr>
        <w:bidi w:val="false"/>
        <w:spacing w:after="120" w:line="300"/>
        <w:jc w:val="start"/>
      </w:pPr>
      <w:r>
        <w:rPr>
          <w:rFonts w:ascii="Arial" w:cs="Arial"/>
          <w:sz w:val="22"/>
          <w:szCs w:val="22"/>
          <w:rtl w:val="false"/>
        </w:rPr>
        <w:t xml:space="preserve">The annex confirms that the core (2.1, 2.2) is fully extensible: one party entity, one trip entity with types, one pricing engine and ledger, adapters for integration, and the country pack (12.4). This is already applied in the built phase 1: each module in its own folder with its layers, a database split by domain with each company's data isolated, numbered and tracked upgrades, feature flags, and an outbox for notifications.</w:t>
      </w:r>
    </w:p>
    <w:p>
      <w:pPr>
        <w:pStyle w:val="Heading2"/>
        <w:bidi w:val="false"/>
        <w:spacing w:after="100" w:line="300"/>
        <w:jc w:val="start"/>
      </w:pPr>
      <w:r>
        <w:rPr>
          <w:rFonts w:ascii="Arial" w:cs="Arial"/>
          <w:b/>
          <w:bCs/>
          <w:color w:val="0A5BD3"/>
          <w:sz w:val="24"/>
          <w:szCs w:val="24"/>
          <w:rtl w:val="false"/>
        </w:rPr>
        <w:t xml:space="preserve">D.4.1 A common contract for any new module</w:t>
      </w:r>
    </w:p>
    <w:p>
      <w:pPr>
        <w:pStyle w:val="ListParagraph"/>
        <w:numPr>
          <w:ilvl w:val="0"/>
          <w:numId w:val="2"/>
        </w:numPr>
        <w:bidi w:val="false"/>
        <w:spacing w:after="60" w:line="300"/>
        <w:jc w:val="start"/>
      </w:pPr>
      <w:r>
        <w:rPr>
          <w:rFonts w:ascii="Arial" w:cs="Arial"/>
          <w:sz w:val="22"/>
          <w:szCs w:val="22"/>
          <w:rtl w:val="false"/>
        </w:rPr>
        <w:t xml:space="preserve">Uses Party and PartyRole, and creates no party tables of its own.</w:t>
      </w:r>
    </w:p>
    <w:p>
      <w:pPr>
        <w:pStyle w:val="ListParagraph"/>
        <w:numPr>
          <w:ilvl w:val="0"/>
          <w:numId w:val="2"/>
        </w:numPr>
        <w:bidi w:val="false"/>
        <w:spacing w:after="60" w:line="300"/>
        <w:jc w:val="start"/>
      </w:pPr>
      <w:r>
        <w:rPr>
          <w:rFonts w:ascii="Arial" w:cs="Arial"/>
          <w:sz w:val="22"/>
          <w:szCs w:val="22"/>
          <w:rtl w:val="false"/>
        </w:rPr>
        <w:t xml:space="preserve">Uses Trip with a new type if it needs trips, and the shared pricing and ledger for any money.</w:t>
      </w:r>
    </w:p>
    <w:p>
      <w:pPr>
        <w:pStyle w:val="ListParagraph"/>
        <w:numPr>
          <w:ilvl w:val="0"/>
          <w:numId w:val="2"/>
        </w:numPr>
        <w:bidi w:val="false"/>
        <w:spacing w:after="60" w:line="300"/>
        <w:jc w:val="start"/>
      </w:pPr>
      <w:r>
        <w:rPr>
          <w:rFonts w:ascii="Arial" w:cs="Arial"/>
          <w:sz w:val="22"/>
          <w:szCs w:val="22"/>
          <w:rtl w:val="false"/>
        </w:rPr>
        <w:t xml:space="preserve">Has its own database schema, with numbered upgrades applied once that never break existing data.</w:t>
      </w:r>
    </w:p>
    <w:p>
      <w:pPr>
        <w:pStyle w:val="ListParagraph"/>
        <w:numPr>
          <w:ilvl w:val="0"/>
          <w:numId w:val="2"/>
        </w:numPr>
        <w:bidi w:val="false"/>
        <w:spacing w:after="60" w:line="300"/>
        <w:jc w:val="start"/>
      </w:pPr>
      <w:r>
        <w:rPr>
          <w:rFonts w:ascii="Arial" w:cs="Arial"/>
          <w:sz w:val="22"/>
          <w:szCs w:val="22"/>
          <w:rtl w:val="false"/>
        </w:rPr>
        <w:t xml:space="preserve">Isolates company data with row-level policies; new permissions are added to the permission registry.</w:t>
      </w:r>
    </w:p>
    <w:p>
      <w:pPr>
        <w:pStyle w:val="ListParagraph"/>
        <w:numPr>
          <w:ilvl w:val="0"/>
          <w:numId w:val="2"/>
        </w:numPr>
        <w:bidi w:val="false"/>
        <w:spacing w:after="60" w:line="300"/>
        <w:jc w:val="start"/>
      </w:pPr>
      <w:r>
        <w:rPr>
          <w:rFonts w:ascii="Arial" w:cs="Arial"/>
          <w:sz w:val="22"/>
          <w:szCs w:val="22"/>
          <w:rtl w:val="false"/>
        </w:rPr>
        <w:t xml:space="preserve">Has a feature flag to enable and disable it, events through the outbox, and an audit record for every action.</w:t>
      </w:r>
    </w:p>
    <w:p>
      <w:pPr>
        <w:pStyle w:val="ListParagraph"/>
        <w:numPr>
          <w:ilvl w:val="0"/>
          <w:numId w:val="2"/>
        </w:numPr>
        <w:bidi w:val="false"/>
        <w:spacing w:after="60" w:line="300"/>
        <w:jc w:val="start"/>
      </w:pPr>
      <w:r>
        <w:rPr>
          <w:rFonts w:ascii="Arial" w:cs="Arial"/>
          <w:sz w:val="22"/>
          <w:szCs w:val="22"/>
          <w:rtl w:val="false"/>
        </w:rPr>
        <w:t xml:space="preserve">Keeps interface text in the locale files only, in Arabic and English.</w:t>
      </w:r>
    </w:p>
    <w:p>
      <w:pPr>
        <w:pStyle w:val="Heading2"/>
        <w:bidi w:val="false"/>
        <w:spacing w:after="100" w:line="300"/>
        <w:jc w:val="start"/>
      </w:pPr>
      <w:r>
        <w:rPr>
          <w:rFonts w:ascii="Arial" w:cs="Arial"/>
          <w:b/>
          <w:bCs/>
          <w:color w:val="0A5BD3"/>
          <w:sz w:val="24"/>
          <w:szCs w:val="24"/>
          <w:rtl w:val="false"/>
        </w:rPr>
        <w:t xml:space="preserve">D.4.2 Fixed lists become reference tables</w:t>
      </w:r>
    </w:p>
    <w:p>
      <w:pPr>
        <w:bidi w:val="false"/>
        <w:spacing w:after="120" w:line="300"/>
        <w:jc w:val="start"/>
      </w:pPr>
      <w:r>
        <w:rPr>
          <w:rFonts w:ascii="Arial" w:cs="Arial"/>
          <w:sz w:val="22"/>
          <w:szCs w:val="22"/>
          <w:rtl w:val="false"/>
        </w:rPr>
        <w:t xml:space="preserve">Some lists in phase 1 are fixed as database constraints: party roles, trip types, vehicle classes and station subtypes. They become reference tables (ref.party_role_type, ref.trip_type, ref.vehicle_class, ref.station_subtype, ref.cargo_category) with foreign keys, so a new value is added by configuration without programming, while system values stay protected from deletion.</w:t>
      </w:r>
    </w:p>
    <w:p>
      <w:pPr>
        <w:pStyle w:val="Heading2"/>
        <w:bidi w:val="false"/>
        <w:spacing w:after="100" w:line="300"/>
        <w:jc w:val="start"/>
      </w:pPr>
      <w:r>
        <w:rPr>
          <w:rFonts w:ascii="Arial" w:cs="Arial"/>
          <w:b/>
          <w:bCs/>
          <w:color w:val="0A5BD3"/>
          <w:sz w:val="24"/>
          <w:szCs w:val="24"/>
          <w:rtl w:val="false"/>
        </w:rPr>
        <w:t xml:space="preserve">D.4.3 Future modules on the core</w:t>
      </w:r>
    </w:p>
    <w:tbl>
      <w:tblPr>
        <w:bidiVisual w:val="false"/>
        <w:tblW w:type="dxa" w:w="9026"/>
        <w:tblBorders>
          <w:top w:val="single" w:color="D5DBE3" w:sz="4"/>
          <w:left w:val="single" w:color="D5DBE3" w:sz="4"/>
          <w:bottom w:val="single" w:color="D5DBE3" w:sz="4"/>
          <w:right w:val="single" w:color="D5DBE3" w:sz="4"/>
          <w:insideH w:val="single" w:color="D5DBE3" w:sz="4"/>
          <w:insideV w:val="single" w:color="D5DBE3" w:sz="4"/>
        </w:tblBorders>
      </w:tblPr>
      <w:tblGrid>
        <w:gridCol w:w="2347"/>
        <w:gridCol w:w="3339"/>
        <w:gridCol w:w="3340"/>
      </w:tblGrid>
      <w:tr>
        <w:trPr>
          <w:tblHeader/>
        </w:trPr>
        <w:tc>
          <w:tcPr>
            <w:tcW w:type="dxa" w:w="2347"/>
            <w:shd w:fill="E8EEF8" w:color="auto" w:val="clear"/>
            <w:tcMar>
              <w:top w:type="dxa" w:w="80"/>
              <w:left w:type="dxa" w:w="110"/>
              <w:bottom w:type="dxa" w:w="80"/>
              <w:right w:type="dxa" w:w="110"/>
            </w:tcMar>
          </w:tcPr>
          <w:p>
            <w:pPr>
              <w:bidi w:val="false"/>
              <w:spacing w:after="0" w:line="300"/>
              <w:jc w:val="start"/>
            </w:pPr>
            <w:r>
              <w:rPr>
                <w:rFonts w:ascii="Arial" w:cs="Arial"/>
                <w:b/>
                <w:bCs/>
                <w:color w:val="0B1F3F"/>
                <w:sz w:val="19"/>
                <w:szCs w:val="19"/>
                <w:rtl w:val="false"/>
              </w:rPr>
              <w:t xml:space="preserve">Module</w:t>
            </w:r>
          </w:p>
        </w:tc>
        <w:tc>
          <w:tcPr>
            <w:tcW w:type="dxa" w:w="3339"/>
            <w:shd w:fill="E8EEF8" w:color="auto" w:val="clear"/>
            <w:tcMar>
              <w:top w:type="dxa" w:w="80"/>
              <w:left w:type="dxa" w:w="110"/>
              <w:bottom w:type="dxa" w:w="80"/>
              <w:right w:type="dxa" w:w="110"/>
            </w:tcMar>
          </w:tcPr>
          <w:p>
            <w:pPr>
              <w:bidi w:val="false"/>
              <w:spacing w:after="0" w:line="300"/>
              <w:jc w:val="start"/>
            </w:pPr>
            <w:r>
              <w:rPr>
                <w:rFonts w:ascii="Arial" w:cs="Arial"/>
                <w:b/>
                <w:bCs/>
                <w:color w:val="0B1F3F"/>
                <w:sz w:val="19"/>
                <w:szCs w:val="19"/>
                <w:rtl w:val="false"/>
              </w:rPr>
              <w:t xml:space="preserve">Phase</w:t>
            </w:r>
          </w:p>
        </w:tc>
        <w:tc>
          <w:tcPr>
            <w:tcW w:type="dxa" w:w="3340"/>
            <w:shd w:fill="E8EEF8" w:color="auto" w:val="clear"/>
            <w:tcMar>
              <w:top w:type="dxa" w:w="80"/>
              <w:left w:type="dxa" w:w="110"/>
              <w:bottom w:type="dxa" w:w="80"/>
              <w:right w:type="dxa" w:w="110"/>
            </w:tcMar>
          </w:tcPr>
          <w:p>
            <w:pPr>
              <w:bidi w:val="false"/>
              <w:spacing w:after="0" w:line="300"/>
              <w:jc w:val="start"/>
            </w:pPr>
            <w:r>
              <w:rPr>
                <w:rFonts w:ascii="Arial" w:cs="Arial"/>
                <w:b/>
                <w:bCs/>
                <w:color w:val="0B1F3F"/>
                <w:sz w:val="19"/>
                <w:szCs w:val="19"/>
                <w:rtl w:val="false"/>
              </w:rPr>
              <w:t xml:space="preserve">Depends on</w:t>
            </w:r>
          </w:p>
        </w:tc>
      </w:tr>
      <w:tr>
        <w:tc>
          <w:tcPr>
            <w:tcW w:type="dxa" w:w="2347"/>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Passenger transit (D.1)</w:t>
            </w:r>
          </w:p>
        </w:tc>
        <w:tc>
          <w:tcPr>
            <w:tcW w:type="dxa" w:w="3339"/>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4, 6 and 7</w:t>
            </w:r>
          </w:p>
        </w:tc>
        <w:tc>
          <w:tcPr>
            <w:tcW w:type="dxa" w:w="3340"/>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International trips, the manifest and tracking</w:t>
            </w:r>
          </w:p>
        </w:tc>
      </w:tr>
      <w:tr>
        <w:tc>
          <w:tcPr>
            <w:tcW w:type="dxa" w:w="2347"/>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Contracted transport (D.2)</w:t>
            </w:r>
          </w:p>
        </w:tc>
        <w:tc>
          <w:tcPr>
            <w:tcW w:type="dxa" w:w="3339"/>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After 3</w:t>
            </w:r>
          </w:p>
        </w:tc>
        <w:tc>
          <w:tcPr>
            <w:tcW w:type="dxa" w:w="3340"/>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Fleet, trips, the driver app and billing</w:t>
            </w:r>
          </w:p>
        </w:tc>
      </w:tr>
      <w:tr>
        <w:tc>
          <w:tcPr>
            <w:tcW w:type="dxa" w:w="2347"/>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Trucks and transit (10)</w:t>
            </w:r>
          </w:p>
        </w:tc>
        <w:tc>
          <w:tcPr>
            <w:tcW w:type="dxa" w:w="3339"/>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8</w:t>
            </w:r>
          </w:p>
        </w:tc>
        <w:tc>
          <w:tcPr>
            <w:tcW w:type="dxa" w:w="3340"/>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Parties, documents, tracking and the manifest</w:t>
            </w:r>
          </w:p>
        </w:tc>
      </w:tr>
      <w:tr>
        <w:tc>
          <w:tcPr>
            <w:tcW w:type="dxa" w:w="2347"/>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Trains, taxi and car rental</w:t>
            </w:r>
          </w:p>
        </w:tc>
        <w:tc>
          <w:tcPr>
            <w:tcW w:type="dxa" w:w="3339"/>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10 onwards</w:t>
            </w:r>
          </w:p>
        </w:tc>
        <w:tc>
          <w:tcPr>
            <w:tcW w:type="dxa" w:w="3340"/>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The readiness listed in 4.10</w:t>
            </w:r>
          </w:p>
        </w:tc>
      </w:tr>
    </w:tbl>
    <w:p>
      <w:pPr>
        <w:bidi w:val="false"/>
        <w:spacing w:after="80" w:line="300"/>
        <w:jc w:val="start"/>
      </w:pPr>
      <w:r>
        <w:rPr>
          <w:rFonts w:ascii="Arial" w:cs="Arial"/>
          <w:sz w:val="22"/>
          <w:szCs w:val="22"/>
          <w:rtl w:val="false"/>
        </w:rPr>
        <w:t xml:space="preserve"/>
      </w:r>
    </w:p>
    <w:p>
      <w:pPr>
        <w:pStyle w:val="Heading1"/>
        <w:bidi w:val="false"/>
        <w:spacing w:after="140" w:line="300"/>
        <w:jc w:val="start"/>
      </w:pPr>
      <w:r>
        <w:rPr>
          <w:rFonts w:ascii="Arial" w:cs="Arial"/>
          <w:b/>
          <w:bCs/>
          <w:color w:val="0B1F3F"/>
          <w:sz w:val="30"/>
          <w:szCs w:val="30"/>
          <w:rtl w:val="false"/>
        </w:rPr>
        <w:t xml:space="preserve">D.5 Summary of amendments to the study</w:t>
      </w:r>
    </w:p>
    <w:tbl>
      <w:tblPr>
        <w:bidiVisual w:val="false"/>
        <w:tblW w:type="dxa" w:w="9026"/>
        <w:tblBorders>
          <w:top w:val="single" w:color="D5DBE3" w:sz="4"/>
          <w:left w:val="single" w:color="D5DBE3" w:sz="4"/>
          <w:bottom w:val="single" w:color="D5DBE3" w:sz="4"/>
          <w:right w:val="single" w:color="D5DBE3" w:sz="4"/>
          <w:insideH w:val="single" w:color="D5DBE3" w:sz="4"/>
          <w:insideV w:val="single" w:color="D5DBE3" w:sz="4"/>
        </w:tblBorders>
      </w:tblPr>
      <w:tblGrid>
        <w:gridCol w:w="2888"/>
        <w:gridCol w:w="6138"/>
      </w:tblGrid>
      <w:tr>
        <w:trPr>
          <w:tblHeader/>
        </w:trPr>
        <w:tc>
          <w:tcPr>
            <w:tcW w:type="dxa" w:w="2888"/>
            <w:shd w:fill="E8EEF8" w:color="auto" w:val="clear"/>
            <w:tcMar>
              <w:top w:type="dxa" w:w="80"/>
              <w:left w:type="dxa" w:w="110"/>
              <w:bottom w:type="dxa" w:w="80"/>
              <w:right w:type="dxa" w:w="110"/>
            </w:tcMar>
          </w:tcPr>
          <w:p>
            <w:pPr>
              <w:bidi w:val="false"/>
              <w:spacing w:after="0" w:line="300"/>
              <w:jc w:val="start"/>
            </w:pPr>
            <w:r>
              <w:rPr>
                <w:rFonts w:ascii="Arial" w:cs="Arial"/>
                <w:b/>
                <w:bCs/>
                <w:color w:val="0B1F3F"/>
                <w:sz w:val="19"/>
                <w:szCs w:val="19"/>
                <w:rtl w:val="false"/>
              </w:rPr>
              <w:t xml:space="preserve">Section</w:t>
            </w:r>
          </w:p>
        </w:tc>
        <w:tc>
          <w:tcPr>
            <w:tcW w:type="dxa" w:w="6138"/>
            <w:shd w:fill="E8EEF8" w:color="auto" w:val="clear"/>
            <w:tcMar>
              <w:top w:type="dxa" w:w="80"/>
              <w:left w:type="dxa" w:w="110"/>
              <w:bottom w:type="dxa" w:w="80"/>
              <w:right w:type="dxa" w:w="110"/>
            </w:tcMar>
          </w:tcPr>
          <w:p>
            <w:pPr>
              <w:bidi w:val="false"/>
              <w:spacing w:after="0" w:line="300"/>
              <w:jc w:val="start"/>
            </w:pPr>
            <w:r>
              <w:rPr>
                <w:rFonts w:ascii="Arial" w:cs="Arial"/>
                <w:b/>
                <w:bCs/>
                <w:color w:val="0B1F3F"/>
                <w:sz w:val="19"/>
                <w:szCs w:val="19"/>
                <w:rtl w:val="false"/>
              </w:rPr>
              <w:t xml:space="preserve">Amendment</w:t>
            </w:r>
          </w:p>
        </w:tc>
      </w:tr>
      <w:tr>
        <w:tc>
          <w:tcPr>
            <w:tcW w:type="dxa" w:w="288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2.1 and 2.3</w:t>
            </w:r>
          </w:p>
        </w:tc>
        <w:tc>
          <w:tcPr>
            <w:tcW w:type="dxa" w:w="613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The new-module contract and reference tables (D.4)</w:t>
            </w:r>
          </w:p>
        </w:tc>
      </w:tr>
      <w:tr>
        <w:tc>
          <w:tcPr>
            <w:tcW w:type="dxa" w:w="288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3.7</w:t>
            </w:r>
          </w:p>
        </w:tc>
        <w:tc>
          <w:tcPr>
            <w:tcW w:type="dxa" w:w="613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Scope extended to transit; transit passengers may not alight in the country (D.1.2)</w:t>
            </w:r>
          </w:p>
        </w:tc>
      </w:tr>
      <w:tr>
        <w:tc>
          <w:tcPr>
            <w:tcW w:type="dxa" w:w="288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4.10</w:t>
            </w:r>
          </w:p>
        </w:tc>
        <w:tc>
          <w:tcPr>
            <w:tcW w:type="dxa" w:w="613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Readiness added: TRANSIT_PAX, CONTRACT, the new roles and the reference tables</w:t>
            </w:r>
          </w:p>
        </w:tc>
      </w:tr>
      <w:tr>
        <w:tc>
          <w:tcPr>
            <w:tcW w:type="dxa" w:w="288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7.8</w:t>
            </w:r>
          </w:p>
        </w:tc>
        <w:tc>
          <w:tcPr>
            <w:tcW w:type="dxa" w:w="613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Transit alerts and transit time limit (D.1.6)</w:t>
            </w:r>
          </w:p>
        </w:tc>
      </w:tr>
      <w:tr>
        <w:tc>
          <w:tcPr>
            <w:tcW w:type="dxa" w:w="288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10.4 and 10.9</w:t>
            </w:r>
          </w:p>
        </w:tc>
        <w:tc>
          <w:tcPr>
            <w:tcW w:type="dxa" w:w="613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Cargo type and hazard class (D.3)</w:t>
            </w:r>
          </w:p>
        </w:tc>
      </w:tr>
      <w:tr>
        <w:tc>
          <w:tcPr>
            <w:tcW w:type="dxa" w:w="288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11.4, 11.6 and 11.7</w:t>
            </w:r>
          </w:p>
        </w:tc>
        <w:tc>
          <w:tcPr>
            <w:tcW w:type="dxa" w:w="613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Passenger category, Syrian entry and exit points, head-count reconciliation (D.1.5)</w:t>
            </w:r>
          </w:p>
        </w:tc>
      </w:tr>
      <w:tr>
        <w:tc>
          <w:tcPr>
            <w:tcW w:type="dxa" w:w="288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11.9</w:t>
            </w:r>
          </w:p>
        </w:tc>
        <w:tc>
          <w:tcPr>
            <w:tcW w:type="dxa" w:w="613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Transit-country rules (D.1.4)</w:t>
            </w:r>
          </w:p>
        </w:tc>
      </w:tr>
      <w:tr>
        <w:tc>
          <w:tcPr>
            <w:tcW w:type="dxa" w:w="288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12.4</w:t>
            </w:r>
          </w:p>
        </w:tc>
        <w:tc>
          <w:tcPr>
            <w:tcW w:type="dxa" w:w="6138"/>
            <w:tcMar>
              <w:top w:type="dxa" w:w="80"/>
              <w:left w:type="dxa" w:w="110"/>
              <w:bottom w:type="dxa" w:w="80"/>
              <w:right w:type="dxa" w:w="110"/>
            </w:tcMar>
          </w:tcPr>
          <w:p>
            <w:pPr>
              <w:bidi w:val="false"/>
              <w:spacing w:after="0" w:line="300"/>
              <w:jc w:val="start"/>
            </w:pPr>
            <w:r>
              <w:rPr>
                <w:rFonts w:ascii="Arial" w:cs="Arial"/>
                <w:b w:val="false"/>
                <w:sz w:val="19"/>
                <w:szCs w:val="19"/>
                <w:rtl w:val="false"/>
              </w:rPr>
              <w:t xml:space="preserve">Passenger transit rules in the country pack</w:t>
            </w:r>
          </w:p>
        </w:tc>
      </w:tr>
    </w:tbl>
    <w:p>
      <w:pPr>
        <w:bidi w:val="false"/>
        <w:spacing w:after="80" w:line="300"/>
        <w:jc w:val="start"/>
      </w:pPr>
      <w:r>
        <w:rPr>
          <w:rFonts w:ascii="Arial" w:cs="Arial"/>
          <w:sz w:val="22"/>
          <w:szCs w:val="22"/>
          <w:rtl w:val="false"/>
        </w:rPr>
        <w:t xml:space="preserve"/>
      </w:r>
    </w:p>
    <w:p>
      <w:pPr>
        <w:pStyle w:val="Heading1"/>
        <w:bidi w:val="false"/>
        <w:spacing w:after="140" w:line="300"/>
        <w:jc w:val="start"/>
      </w:pPr>
      <w:r>
        <w:rPr>
          <w:rFonts w:ascii="Arial" w:cs="Arial"/>
          <w:b/>
          <w:bCs/>
          <w:color w:val="0B1F3F"/>
          <w:sz w:val="30"/>
          <w:szCs w:val="30"/>
          <w:rtl w:val="false"/>
        </w:rPr>
        <w:t xml:space="preserve">D.6 Decisions proposed for approval</w:t>
      </w:r>
    </w:p>
    <w:p>
      <w:pPr>
        <w:pStyle w:val="ListParagraph"/>
        <w:numPr>
          <w:ilvl w:val="0"/>
          <w:numId w:val="2"/>
        </w:numPr>
        <w:bidi w:val="false"/>
        <w:spacing w:after="60" w:line="300"/>
        <w:jc w:val="start"/>
      </w:pPr>
      <w:r>
        <w:rPr>
          <w:rFonts w:ascii="Arial" w:cs="Arial"/>
          <w:sz w:val="22"/>
          <w:szCs w:val="22"/>
          <w:rtl w:val="false"/>
        </w:rPr>
        <w:t xml:space="preserve">D-1: A passenger transit trip as its own type, the transit passenger category in the manifest, and the amended scope of 3.7.</w:t>
      </w:r>
    </w:p>
    <w:p>
      <w:pPr>
        <w:pStyle w:val="ListParagraph"/>
        <w:numPr>
          <w:ilvl w:val="0"/>
          <w:numId w:val="2"/>
        </w:numPr>
        <w:bidi w:val="false"/>
        <w:spacing w:after="60" w:line="300"/>
        <w:jc w:val="start"/>
      </w:pPr>
      <w:r>
        <w:rPr>
          <w:rFonts w:ascii="Arial" w:cs="Arial"/>
          <w:sz w:val="22"/>
          <w:szCs w:val="22"/>
          <w:rtl w:val="false"/>
        </w:rPr>
        <w:t xml:space="preserve">D-2: Mandatory strict tracking, transit corridor, time limit and head-count reconciliation for passenger transit trips.</w:t>
      </w:r>
    </w:p>
    <w:p>
      <w:pPr>
        <w:pStyle w:val="ListParagraph"/>
        <w:numPr>
          <w:ilvl w:val="0"/>
          <w:numId w:val="2"/>
        </w:numPr>
        <w:bidi w:val="false"/>
        <w:spacing w:after="60" w:line="300"/>
        <w:jc w:val="start"/>
      </w:pPr>
      <w:r>
        <w:rPr>
          <w:rFonts w:ascii="Arial" w:cs="Arial"/>
          <w:sz w:val="22"/>
          <w:szCs w:val="22"/>
          <w:rtl w:val="false"/>
        </w:rPr>
        <w:t xml:space="preserve">D-3: The contracted transport module for schools, universities and employees, with the protection of minors in D.2.4.</w:t>
      </w:r>
    </w:p>
    <w:p>
      <w:pPr>
        <w:pStyle w:val="ListParagraph"/>
        <w:numPr>
          <w:ilvl w:val="0"/>
          <w:numId w:val="2"/>
        </w:numPr>
        <w:bidi w:val="false"/>
        <w:spacing w:after="60" w:line="300"/>
        <w:jc w:val="start"/>
      </w:pPr>
      <w:r>
        <w:rPr>
          <w:rFonts w:ascii="Arial" w:cs="Arial"/>
          <w:sz w:val="22"/>
          <w:szCs w:val="22"/>
          <w:rtl w:val="false"/>
        </w:rPr>
        <w:t xml:space="preserve">D-4: The cargo type classification and hazard class as additional information for transit.</w:t>
      </w:r>
    </w:p>
    <w:p>
      <w:pPr>
        <w:pStyle w:val="ListParagraph"/>
        <w:numPr>
          <w:ilvl w:val="0"/>
          <w:numId w:val="2"/>
        </w:numPr>
        <w:bidi w:val="false"/>
        <w:spacing w:after="60" w:line="300"/>
        <w:jc w:val="start"/>
      </w:pPr>
      <w:r>
        <w:rPr>
          <w:rFonts w:ascii="Arial" w:cs="Arial"/>
          <w:sz w:val="22"/>
          <w:szCs w:val="22"/>
          <w:rtl w:val="false"/>
        </w:rPr>
        <w:t xml:space="preserve">D-5: The common contract for new modules, and fixed lists turned into reference tables.</w:t>
      </w:r>
    </w:p>
    <w:p>
      <w:pPr>
        <w:pStyle w:val="ListParagraph"/>
        <w:numPr>
          <w:ilvl w:val="0"/>
          <w:numId w:val="2"/>
        </w:numPr>
        <w:bidi w:val="false"/>
        <w:spacing w:after="60" w:line="300"/>
        <w:jc w:val="start"/>
      </w:pPr>
      <w:r>
        <w:rPr>
          <w:rFonts w:ascii="Arial" w:cs="Arial"/>
          <w:sz w:val="22"/>
          <w:szCs w:val="22"/>
          <w:rtl w:val="false"/>
        </w:rPr>
        <w:t xml:space="preserve">D-6: Readiness for all of the above built into the database from phase 1 (2.8), kept disabled by feature flags until their phases.</w:t>
      </w:r>
    </w:p>
    <w:p>
      <w:pPr>
        <w:bidi w:val="false"/>
        <w:spacing w:after="120" w:line="300"/>
        <w:jc w:val="start"/>
      </w:pPr>
      <w:r>
        <w:rPr>
          <w:rFonts w:ascii="Arial" w:cs="Arial"/>
          <w:i/>
          <w:iCs/>
          <w:color w:val="4B5565"/>
          <w:sz w:val="20"/>
          <w:szCs w:val="20"/>
          <w:rtl w:val="false"/>
        </w:rPr>
        <w:t xml:space="preserve">The time values and rules in this annex are design values, to be reviewed with the competent authorities (the General Authority for Ports and Customs, the Ministry of Transport and the Ministry of Education) before approval.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0B1F3F"/>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0A5BD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 D: version 2.6 additions to the analysis and design study</dc:title>
  <dc:creator>Masslak</dc:creator>
  <cp:lastModifiedBy>Un-named</cp:lastModifiedBy>
  <cp:revision>1</cp:revision>
  <dcterms:created xsi:type="dcterms:W3CDTF">2026-10-04T14:06:02.160Z</dcterms:created>
  <dcterms:modified xsi:type="dcterms:W3CDTF">2026-10-04T14:06:02.160Z</dcterms:modified>
</cp:coreProperties>
</file>

<file path=docProps/custom.xml><?xml version="1.0" encoding="utf-8"?>
<Properties xmlns="http://schemas.openxmlformats.org/officeDocument/2006/custom-properties" xmlns:vt="http://schemas.openxmlformats.org/officeDocument/2006/docPropsVTypes"/>
</file>