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2.2 (يحل محل 2.1)</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ملفات قاعدة البيانات حتى 1132 (145 ملفاً)، و904 فحصاً للقاعدة و758 اختباراً للخادم ناجحة؛ والخادم مكتوب بـ Python 3.12 مع FastAPI، والموقع بـ React والتطبيقات بـ React Native (الدراسة 2.9)؛ ولم يُعدَّل الموقع ولا التطبيقات بطلب من المالك</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دراسة التحليل والتصميم 3.9؛ تصميم القاعدة 3.16؛ مسودات تقييم الأثر والمسؤوليات والتحميل والتدريب 0.2؛ مراجعة تصميم شاشات محطات الصعود 1.0</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2.2: صف الاختبارات الآلية (د2) كان ما زال يحمل أرقام إصدار قديم (706 فحوص و691 اختباراً و10 متخطاة) بينما ترويسة السجل تحمل 904 و758، كما لاحظ أحد المقيّمين. صار الصف يقرأ أرقامه من تشغيل التحقق نفسه الذي تقرأ منه الترويسة وتصميم القاعدة، ويذكر الالتزام الذي جرى عنده.</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2.1: بعد مراجعة خبير الأنظمة للدراسة 3.8 (تشرين الأول 2026). دراسة التحليل والتصميم 3.9 (أ1) بقسمين جديدين: طبقة التطبيق كما بُنيت (2.9) والرد على المراجعة بنداً بنداً (16.44)، وفيه أن ثغرة تخطّي فحوص الإنتاج في وضع sandbox مغلقة في الشيفرة منذ الإصدار 1.50.0. وتصميم القاعدة 3.16 (ج2): كان جدول المخططات يعدّ 23 مخططاً فغابت عنه sch وrpt وgis ‏(16 جدولاً)، فبلغ مجموعه 544؛ وصار يعدّ المخططات الـ26 مع صف مجموع (560 جدولاً). وصارت أرقام هذا السجل في ج2 وج3 وج4 وحالة النظام تُقرأ من البناء وآخر تشغيل للتحقق وخط أساس الواجهات، فلا تختلف عن تصميم القاعدة. ولم يتغيّر شيء في القاعدة ولا في الشيفرة.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2.0: دراسة التحليل والتصميم 3.8 بالعربية والإنجليزية (أ1) حتى ملف القاعدة 1132، بأربعة أقسام جديدة (7.25 و7.26 و22.9 و30.15) وثمانية وعشرين رمز خطأ جديداً؛ والجدول الزمني للتنفيذ 3.2 (و1) بما أُنجز حتى 18 تشرين الأول 2026؛ وما بُني بعد الإصدار 1.9: نواة نقل البضائع والحاويات بالشاحنات داخل سوريا ومن الميناء وإليه وبالترانزيت وعبر الحدود، مع بوالص الشحن وبوالص الوكلاء والحاويات والإرساليات وأسعار أصحاب الشاحنات وحركة الشاحنات وفواتير النقل لكل بوليصة أو حاوية، ومذكرة الشحن وبيان TCN اللذين تصدرهما المنصة؛ وحجز أموال الرحلة الفائتة في الرحلات غير المباشرة حتى تنتهي مهلة التعديل، وبه أُغلق قرار المالك في القسم 22.8. ولم يُعدَّل الموقع بطلب من المالك. وأُضيفت للمالك تسع مسائل في نقل البضائع (22.9).</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1.9: دراسة التحليل والتصميم 3.7 بالعربية والإنجليزية (أ1) حتى ملف القاعدة 1130، بأربعة أقسام جديدة (7.24 و22.8 و30.14 و32.11) وثلاثة عشر رمز خطأ جديداً؛ والجدول الزمني للتنفيذ 3.1 (و1) بما أُنجز حتى 17 تشرين الأول 2026؛ وما بُني بعد الإصدار 1.8: الرحلات غير المباشرة عبر عدة ناقلين حيث لا توجد رحلة مباشرة، مع الموافقة على المخاطر والرحلات اللاحقة المرنة وسياسة كل ناقل في الرحلة الفائتة وتعديل الحجز إلى رحلة أخرى. وأُضيف قرار للمالك: الرحلة الفائتة بعد أن يُتمّها الناقل (22.8).</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1.8: دراسة التحليل والتصميم 3.6 بالعربية والإنجليزية (أ1) حتى ملف القاعدة 1129، باثني عشر قسماً جديداً ومئة رمز خطأ جديد؛ والجدول الزمني للتنفيذ 3.0 (و1) بما أُنجز حتى 15 تشرين الأول 2026؛ وما بُني بعد الإصدار 1.7: اعرف عميلك للشركات، والرحلات المنتظمة، وأرقام الرحلات الرباعية، وأنماط الحجز والمجموعات واختيار المقاعد في كل رحلة، والاستئجار مع العربون وتسمية المركبات والمسافرين، وشاشات المغادرة والوصول مع المواقف والناقلين والربط برمز قصير وتنبيه الشاشة غير المرئية، والتقسيم الإداري لسوريا مع المسح الميداني والحدود والأسماء المصحّحة وخريطة المنطقة، وشاشات إعدادات الصورة. ولم يتغيّر ما ينتظر المالك: المدخلات والعقود وبيئة التجريب وبوابات الإطلاق واختبار الاختراق وحسابات المتاجر ومزود الدفع والإدارة الضريبية.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1.7: نُفّذت قرارات المالك في شاشات المحطات (ج6، الملفان 1114 و1115): يصعد السائق المسافر برقم التذكرة ومرجع الحجز بعد التحقق من الهوية، متصلاً أو دون اتصال؛ وتتناوب الشاشة العملاقة بين العربية والإنجليزية كل عشر ثوانٍ وتظهر الرحلة الملغاة بالأحمر؛ وتخصّص إدارة المحطة المواقف، موقفاً دائماً لكل ناقل أو موقفاً لكل رحلة؛ ويظهر شعار الشركة بجانب اسمها وفق مواصفة؛ ويقرأ المسافر رقم رحلة قصيراً مثل DC 101 يتكرر للرحلة نفسها كل يوم، ويبقى الرقم الطويل مرجعاً للرحلة.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docs/Masslak_Analysis_and_Design_EN_v3.9.docx والنسخة العربية 3.9؛ تغطي حتى ملف القاعدة 1132: ما في 3.9 (طبقة التطبيق كما بُنيت باللغات والأطر وحجم الشيفرة وضوابط الجودة، والرد بنداً بنداً على مراجعة خبير الأنظمة للإصدار 3.8)، وما في 3.8 (نقل البضائع والحاويات بالشاحنات مع بوالص الشحن والإرساليات وفواتير النقل ومذكرة الشحن وبيان TCN، وحجز أموال الرحلة الفائتة حتى تنتهي مهلة التعديل)، وما في 3.7 (الرحلات غير المباشرة عبر عدة ناقلين مع الموافقة على المخاطر وتعديل الحجز)، وما في 3.6 (اعرف عميلك للشركات، والشعارات وأرقام الرحلات، والرحلات المنتظمة، وأنماط الحجز والمجموعات والمقاعد في كل رحلة، والاستئجار مع العربون، وشاشات المغادرة والوصول وربطها برمز قصير، والتقسيم الإداري لسوريا مع المسح الميداني والحدود والأسماء المصحّحة والخريطة، وشاشات إعدادات الصورة)، وما في 3.5</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docs/database/Masslak_Database_Design_and_ERD_v3.16.docx: حتى ملف القاعدة 1132، 26 مخطط قاعدة (schema) و560 جدولاً و1,667 مفتاحاً أجنبياً و49 مخطط ERD للوحدات، مع أدلة تحقق من بناء جديد؛ ويعدّ جدول المخططات فيه كل المخططات مع صف مجموع</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560 جدولاً و5,920 عموداً في 26 مخططاً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587 عملية للموقع والتطبيقات و34 في الواجهة العامة v1 للشركاء</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ونُفّذت قرارات المالك بعدها (الملفان 1114 و1115): الصعود برقم التذكرة ومرجع الحجز، وتناوب العربية والإنجليزية على الشاشة، وتخصيص المواقف من إدارة المحطة، وشعارات الشركات، وأرقام الرحلات القصيرة (TRIP_NUMBERS.md)؛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904 فحصاً؛ backend/tests: 758 اختباراً ناجحاً (تشغيل التحقق عند الالتزام 840b3dc، كما في تصميم القاعدة 3.16)؛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docs/plan/Masslak_Implementation_Timeline_v3.2 (HTML وPDF) والنسخة العربية: ما أُنجز حتى ملف القاعدة 1132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3.9 (أ1) للخدمات والأدوار والقواعد، وطبقة التطبيق في القسم 2.9.</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3.16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2.2</dc:title>
  <dc:creator>Masslak</dc:creator>
  <cp:lastModifiedBy>Un-named</cp:lastModifiedBy>
  <cp:revision>1</cp:revision>
  <dcterms:created xsi:type="dcterms:W3CDTF">2026-10-18T09:55:22.516Z</dcterms:created>
  <dcterms:modified xsi:type="dcterms:W3CDTF">2026-10-18T09:55:22.519Z</dcterms:modified>
</cp:coreProperties>
</file>

<file path=docProps/custom.xml><?xml version="1.0" encoding="utf-8"?>
<Properties xmlns="http://schemas.openxmlformats.org/officeDocument/2006/custom-properties" xmlns:vt="http://schemas.openxmlformats.org/officeDocument/2006/docPropsVTypes"/>
</file>