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مسجّل للتطوير اللاحق، كما طلب المالك («ان لم يتم تصميمها وفقا لها يتم تخزينها لتعديلات لاحقة»):</w:t>
            </w:r>
            <w:r>
              <w:rPr>
                <w:rFonts w:ascii="Arial" w:cs="Arial" w:eastAsia="Arial" w:hAnsi="Arial"/>
                <w:b w:val="false"/>
                <w:bCs w:val="false"/>
                <w:sz w:val="18"/>
                <w:szCs w:val="18"/>
                <w:rtl/>
              </w:rPr>
              <w:t xml:space="preserve"> رقم عام للطلب حسب القسم يبقى ثابتًا، ورقم الشركة بعد الإصدار النهائي، وسجل مراجع للطلب (ERP، رقم الاعتماد من البنك، مرجع البنك، مرجع بنك المستفيد)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2026-10-26T12:50:53.207Z</dcterms:created>
  <dcterms:modified xsi:type="dcterms:W3CDTF">2026-10-26T12:50:53.207Z</dcterms:modified>
</cp:coreProperties>
</file>

<file path=docProps/custom.xml><?xml version="1.0" encoding="utf-8"?>
<Properties xmlns="http://schemas.openxmlformats.org/officeDocument/2006/custom-properties" xmlns:vt="http://schemas.openxmlformats.org/officeDocument/2006/docPropsVTypes"/>
</file>