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pPr>
      <w:r>
        <w:rPr>
          <w:rFonts w:ascii="Arial" w:cs="Arial" w:eastAsia="Arial" w:hAnsi="Arial"/>
          <w:b/>
          <w:bCs/>
          <w:color w:val="1F3A5F"/>
          <w:sz w:val="48"/>
          <w:szCs w:val="48"/>
          <w:rtl/>
        </w:rPr>
        <w:t xml:space="preserve">تطبيق الهوية البصرية على الموقع (الصف 58 في </w:t>
      </w:r>
      <w:r>
        <w:rPr>
          <w:rFonts w:ascii="Courier New" w:cs="Courier New" w:eastAsia="Courier New" w:hAnsi="Courier New"/>
          <w:b/>
          <w:bCs/>
          <w:color w:val="1F2937"/>
          <w:sz w:val="40"/>
          <w:szCs w:val="40"/>
          <w:rtl/>
        </w:rPr>
        <w:t xml:space="preserve">‎docs/31‎</w:t>
      </w:r>
      <w:r>
        <w:rPr>
          <w:rFonts w:ascii="Arial" w:cs="Arial" w:eastAsia="Arial" w:hAnsi="Arial"/>
          <w:b/>
          <w:bCs/>
          <w:color w:val="1F3A5F"/>
          <w:sz w:val="48"/>
          <w:szCs w:val="48"/>
          <w:rtl/>
        </w:rPr>
        <w:t xml:space="preserve">)</w:t>
      </w:r>
    </w:p>
    <w:p>
      <w:pPr>
        <w:bidi/>
        <w:spacing w:after="110" w:before="0" w:line="312"/>
      </w:pPr>
      <w:r>
        <w:rPr>
          <w:rFonts w:ascii="Arial" w:cs="Arial" w:eastAsia="Arial" w:hAnsi="Arial"/>
          <w:b w:val="false"/>
          <w:bCs w:val="false"/>
          <w:sz w:val="21"/>
          <w:szCs w:val="21"/>
          <w:rtl/>
        </w:rPr>
        <w:t xml:space="preserve">التاريخ: 2026-10-25. كتبه وكيل ذكاء اصطناعي.</w:t>
      </w:r>
    </w:p>
    <w:p>
      <w:pPr>
        <w:pStyle w:val="Heading1"/>
        <w:bidi/>
      </w:pPr>
      <w:bookmarkStart w:name="_sec1" w:id="1"/>
      <w:r>
        <w:rPr>
          <w:rFonts w:ascii="Arial" w:cs="Arial" w:eastAsia="Arial" w:hAnsi="Arial"/>
          <w:b/>
          <w:bCs/>
          <w:color w:val="1F3A5F"/>
          <w:sz w:val="32"/>
          <w:szCs w:val="32"/>
          <w:rtl/>
        </w:rPr>
        <w:t xml:space="preserve">1. ما طلبه المالك</w:t>
      </w:r>
      <w:bookmarkEnd w:id="1"/>
    </w:p>
    <w:p>
      <w:pPr>
        <w:bidi/>
        <w:spacing w:after="110" w:before="0" w:line="312"/>
      </w:pPr>
      <w:r>
        <w:rPr>
          <w:rFonts w:ascii="Arial" w:cs="Arial" w:eastAsia="Arial" w:hAnsi="Arial"/>
          <w:b w:val="false"/>
          <w:bCs w:val="false"/>
          <w:sz w:val="21"/>
          <w:szCs w:val="21"/>
          <w:rtl/>
        </w:rPr>
        <w:t xml:space="preserve">«في تصميم الموقع اعتمد الهوية البصرية المرفقة»، ثم «الان اعمل التصميم كاملا للموقع اذا كانت المعمارية و النظام جاهزا للاطلاق التجريبي».</w:t>
      </w:r>
    </w:p>
    <w:p>
      <w:pPr>
        <w:bidi/>
        <w:spacing w:after="110" w:before="0" w:line="312"/>
      </w:pPr>
      <w:r>
        <w:rPr>
          <w:rFonts w:ascii="Arial" w:cs="Arial" w:eastAsia="Arial" w:hAnsi="Arial"/>
          <w:b w:val="false"/>
          <w:bCs w:val="false"/>
          <w:sz w:val="21"/>
          <w:szCs w:val="21"/>
          <w:rtl/>
        </w:rPr>
        <w:t xml:space="preserve">النظام جاهز للتشغيل التجريبي: كل الاختبارات ناجحة محليًا وعلى GitHub، وصورتا النشر تعملان (</w:t>
      </w:r>
      <w:r>
        <w:rPr>
          <w:rFonts w:ascii="Courier New" w:cs="Courier New" w:eastAsia="Courier New" w:hAnsi="Courier New"/>
          <w:b w:val="false"/>
          <w:bCs w:val="false"/>
          <w:color w:val="1F2937"/>
          <w:sz w:val="18"/>
          <w:szCs w:val="18"/>
          <w:shd w:fill="F1F3F5" w:color="auto" w:val="clear"/>
          <w:rtl/>
        </w:rPr>
        <w:t xml:space="preserve">‎docs/53‎</w:t>
      </w:r>
      <w:r>
        <w:rPr>
          <w:rFonts w:ascii="Arial" w:cs="Arial" w:eastAsia="Arial" w:hAnsi="Arial"/>
          <w:b w:val="false"/>
          <w:bCs w:val="false"/>
          <w:sz w:val="21"/>
          <w:szCs w:val="21"/>
          <w:rtl/>
        </w:rPr>
        <w:t xml:space="preserve">)، ودليل النشر جاهز (</w:t>
      </w:r>
      <w:r>
        <w:rPr>
          <w:rFonts w:ascii="Courier New" w:cs="Courier New" w:eastAsia="Courier New" w:hAnsi="Courier New"/>
          <w:b w:val="false"/>
          <w:bCs w:val="false"/>
          <w:color w:val="1F2937"/>
          <w:sz w:val="18"/>
          <w:szCs w:val="18"/>
          <w:shd w:fill="F1F3F5" w:color="auto" w:val="clear"/>
          <w:rtl/>
        </w:rPr>
        <w:t xml:space="preserve">‎docs/54‎</w:t>
      </w:r>
      <w:r>
        <w:rPr>
          <w:rFonts w:ascii="Arial" w:cs="Arial" w:eastAsia="Arial" w:hAnsi="Arial"/>
          <w:b w:val="false"/>
          <w:bCs w:val="false"/>
          <w:sz w:val="21"/>
          <w:szCs w:val="21"/>
          <w:rtl/>
        </w:rPr>
        <w:t xml:space="preserve">). لذلك نُفّذ التصميم كاملًا على دليل الهوية البصرية، الإصدار 2.0، أكتوبر 2026.</w:t>
      </w:r>
    </w:p>
    <w:p>
      <w:pPr>
        <w:pStyle w:val="Heading1"/>
        <w:bidi/>
      </w:pPr>
      <w:bookmarkStart w:name="_sec2" w:id="2"/>
      <w:r>
        <w:rPr>
          <w:rFonts w:ascii="Arial" w:cs="Arial" w:eastAsia="Arial" w:hAnsi="Arial"/>
          <w:b/>
          <w:bCs/>
          <w:color w:val="1F3A5F"/>
          <w:sz w:val="32"/>
          <w:szCs w:val="32"/>
          <w:rtl/>
        </w:rPr>
        <w:t xml:space="preserve">2. ما نُقل من الدليل إلى الموقع</w:t>
      </w:r>
      <w:bookmarkEnd w:id="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424"/>
        <w:gridCol w:w="6440"/>
      </w:tblGrid>
      <w:tr>
        <w:trPr>
          <w:cantSplit/>
          <w:tblHeader/>
        </w:trPr>
        <w:tc>
          <w:tcPr>
            <w:tcW w:type="dxa" w:w="342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الدليل</w:t>
            </w:r>
          </w:p>
        </w:tc>
        <w:tc>
          <w:tcPr>
            <w:tcW w:type="dxa" w:w="64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في الموقع</w:t>
            </w:r>
          </w:p>
        </w:tc>
      </w:tr>
      <w:tr>
        <w:trPr>
          <w:cantSplit/>
        </w:trPr>
        <w:tc>
          <w:tcPr>
            <w:tcW w:type="dxa" w:w="3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الشعار ونسخه (ص 5–8)</w:t>
            </w:r>
          </w:p>
        </w:tc>
        <w:tc>
          <w:tcPr>
            <w:tcW w:type="dxa" w:w="64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رُسم الرمز من قياساته الهندسية (ص 6). وحُوّل اسم BANKFAS بخط Sekuya إلى أشكال، فلا يحمّل الموقع خط الشعار. النسخة الملونة على الفاتح، والمعكوسة على أخضر الخزنة. والرمز وحده أيقونة المتصفح</w:t>
            </w:r>
          </w:p>
        </w:tc>
      </w:tr>
      <w:tr>
        <w:trPr>
          <w:cantSplit/>
        </w:trPr>
        <w:tc>
          <w:tcPr>
            <w:tcW w:type="dxa" w:w="3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ألوان العلامة (ص 11)</w:t>
            </w:r>
          </w:p>
        </w:tc>
        <w:tc>
          <w:tcPr>
            <w:tcW w:type="dxa" w:w="64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أخضر الخزنة ‎#062A22‎، والزمردي ‎#00A97F‎، والنعناعي ‎#37DDB1‎ على الداكن فقط، والعاجي ‎#F4F7F5‎ أرضية الصفحات</w:t>
            </w:r>
          </w:p>
        </w:tc>
      </w:tr>
      <w:tr>
        <w:trPr>
          <w:cantSplit/>
        </w:trPr>
        <w:tc>
          <w:tcPr>
            <w:tcW w:type="dxa" w:w="3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ألوان المنصة (ص 13)</w:t>
            </w:r>
          </w:p>
        </w:tc>
        <w:tc>
          <w:tcPr>
            <w:tcW w:type="dxa" w:w="64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زر الإجراء الرئيسي ‎#007A5C‎، والنص ‎#11211D‎، والنص الثانوي ‎#4E6660‎، والفواصل ‎#DCE5E1‎، والبطاقات بيضاء</w:t>
            </w:r>
          </w:p>
        </w:tc>
      </w:tr>
      <w:tr>
        <w:trPr>
          <w:cantSplit/>
        </w:trPr>
        <w:tc>
          <w:tcPr>
            <w:tcW w:type="dxa" w:w="3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ألوان الحالات (ص 13)</w:t>
            </w:r>
          </w:p>
        </w:tc>
        <w:tc>
          <w:tcPr>
            <w:tcW w:type="dxa" w:w="64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حالة لون ورمز وكلمة: ○ مسودة، ◇ قيد الدراسة، ◆ في اللجنة، ● معتمد أو فعّال، ✕ مرفوض أو متوقف</w:t>
            </w:r>
          </w:p>
        </w:tc>
      </w:tr>
      <w:tr>
        <w:trPr>
          <w:cantSplit/>
        </w:trPr>
        <w:tc>
          <w:tcPr>
            <w:tcW w:type="dxa" w:w="3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الخطوط (ص 16–17)</w:t>
            </w:r>
          </w:p>
        </w:tc>
        <w:tc>
          <w:tcPr>
            <w:tcW w:type="dxa" w:w="64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IBM Plex Sans Arabic للعربية، وIBM Plex Sans للإنجليزية، وIBM Plex Mono للمبالغ والأرقام المرجعية في الجداول. الخطوط مضمّنة في الموقع نفسه، ولا تُطلب من أي جهة خارجية</w:t>
            </w:r>
          </w:p>
        </w:tc>
      </w:tr>
      <w:tr>
        <w:trPr>
          <w:cantSplit/>
        </w:trPr>
        <w:tc>
          <w:tcPr>
            <w:tcW w:type="dxa" w:w="3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الشق المائل (ص 18)</w:t>
            </w:r>
          </w:p>
        </w:tc>
        <w:tc>
          <w:tcPr>
            <w:tcW w:type="dxa" w:w="64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نمط صفوف الشقوق على صفحة الدخول، فيه شقّان بالنعناعي. ومؤشر قائمة المهام في الصفحة الأولى شقّ مائل</w:t>
            </w:r>
          </w:p>
        </w:tc>
      </w:tr>
      <w:tr>
        <w:trPr>
          <w:cantSplit/>
        </w:trPr>
        <w:tc>
          <w:tcPr>
            <w:tcW w:type="dxa" w:w="3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لوحة التسهيلات (ص 23)</w:t>
            </w:r>
          </w:p>
        </w:tc>
        <w:tc>
          <w:tcPr>
            <w:tcW w:type="dxa" w:w="64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شريط جانبي بأخضر الخزنة، فيه الشعار المعكوس، والصفحة الحالية بالنعناعي. وشريط علوي أبيض، وبطاقات بيضاء على أرضية عاجية</w:t>
            </w:r>
          </w:p>
        </w:tc>
      </w:tr>
      <w:tr>
        <w:trPr>
          <w:cantSplit/>
        </w:trPr>
        <w:tc>
          <w:tcPr>
            <w:tcW w:type="dxa" w:w="3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عناصر الواجهة (ص 20)</w:t>
            </w:r>
          </w:p>
        </w:tc>
        <w:tc>
          <w:tcPr>
            <w:tcW w:type="dxa" w:w="64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الأزرار: رئيسي ممتلئ، وثانوي بإطار، وزر الرفض بإطار أحمر. والحقول بحواف مستديرة وإطار زمردي عند الكتابة. ورأس الجدول رمادي فاتح</w:t>
            </w:r>
          </w:p>
        </w:tc>
      </w:tr>
    </w:tbl>
    <w:p>
      <w:pPr>
        <w:bidi/>
        <w:spacing w:after="120" w:before="0"/>
      </w:pPr>
    </w:p>
    <w:p>
      <w:pPr>
        <w:pBdr>
          <w:bottom w:val="single" w:color="1F3A5F" w:sz="8" w:space="4"/>
        </w:pBdr>
        <w:bidi/>
        <w:spacing w:after="100" w:before="280"/>
      </w:pPr>
      <w:r>
        <w:rPr>
          <w:rFonts w:ascii="Arial" w:cs="Arial" w:eastAsia="Arial" w:hAnsi="Arial"/>
          <w:b/>
          <w:bCs/>
          <w:color w:val="1F3A5F"/>
          <w:sz w:val="32"/>
          <w:szCs w:val="32"/>
          <w:rtl/>
        </w:rPr>
        <w:t xml:space="preserve">المحتويات</w:t>
      </w:r>
    </w:p>
    <w:p>
      <w:pPr>
        <w:bidi/>
        <w:spacing w:after="50" w:before="0"/>
        <w:ind w:left="0"/>
      </w:pPr>
      <w:hyperlink w:history="1" w:anchor="_sec1">
        <w:r>
          <w:rPr>
            <w:rFonts w:ascii="Arial" w:cs="Arial" w:eastAsia="Arial" w:hAnsi="Arial"/>
            <w:b/>
            <w:bCs/>
            <w:color w:val="1F3A5F"/>
            <w:sz w:val="20"/>
            <w:szCs w:val="20"/>
            <w:rtl/>
          </w:rPr>
          <w:t xml:space="preserve">1. ما طلبه المالك</w:t>
        </w:r>
      </w:hyperlink>
    </w:p>
    <w:p>
      <w:pPr>
        <w:bidi/>
        <w:spacing w:after="50" w:before="0"/>
        <w:ind w:left="0"/>
      </w:pPr>
      <w:hyperlink w:history="1" w:anchor="_sec2">
        <w:r>
          <w:rPr>
            <w:rFonts w:ascii="Arial" w:cs="Arial" w:eastAsia="Arial" w:hAnsi="Arial"/>
            <w:b/>
            <w:bCs/>
            <w:color w:val="1F3A5F"/>
            <w:sz w:val="20"/>
            <w:szCs w:val="20"/>
            <w:rtl/>
          </w:rPr>
          <w:t xml:space="preserve">2. ما نُقل من الدليل إلى الموقع</w:t>
        </w:r>
      </w:hyperlink>
    </w:p>
    <w:p>
      <w:pPr>
        <w:bidi/>
        <w:spacing w:after="50" w:before="0"/>
        <w:ind w:left="0"/>
      </w:pPr>
      <w:hyperlink w:history="1" w:anchor="_sec3">
        <w:r>
          <w:rPr>
            <w:rFonts w:ascii="Arial" w:cs="Arial" w:eastAsia="Arial" w:hAnsi="Arial"/>
            <w:b/>
            <w:bCs/>
            <w:color w:val="1F3A5F"/>
            <w:sz w:val="20"/>
            <w:szCs w:val="20"/>
            <w:rtl/>
          </w:rPr>
          <w:t xml:space="preserve">3. الشاشات</w:t>
        </w:r>
      </w:hyperlink>
    </w:p>
    <w:p>
      <w:pPr>
        <w:bidi/>
        <w:spacing w:after="50" w:before="0"/>
        <w:ind w:left="0"/>
      </w:pPr>
      <w:hyperlink w:history="1" w:anchor="_sec4">
        <w:r>
          <w:rPr>
            <w:rFonts w:ascii="Arial" w:cs="Arial" w:eastAsia="Arial" w:hAnsi="Arial"/>
            <w:b/>
            <w:bCs/>
            <w:color w:val="1F3A5F"/>
            <w:sz w:val="20"/>
            <w:szCs w:val="20"/>
            <w:rtl/>
          </w:rPr>
          <w:t xml:space="preserve">4. ما تغيّر في الكود</w:t>
        </w:r>
      </w:hyperlink>
    </w:p>
    <w:p>
      <w:pPr>
        <w:bidi/>
        <w:spacing w:after="50" w:before="0"/>
        <w:ind w:left="0"/>
      </w:pPr>
      <w:hyperlink w:history="1" w:anchor="_sec5">
        <w:r>
          <w:rPr>
            <w:rFonts w:ascii="Arial" w:cs="Arial" w:eastAsia="Arial" w:hAnsi="Arial"/>
            <w:b/>
            <w:bCs/>
            <w:color w:val="1F3A5F"/>
            <w:sz w:val="20"/>
            <w:szCs w:val="20"/>
            <w:rtl/>
          </w:rPr>
          <w:t xml:space="preserve">5. المطبوعات والبريد (الدفعة الثانية)</w:t>
        </w:r>
      </w:hyperlink>
    </w:p>
    <w:p>
      <w:pPr>
        <w:bidi/>
        <w:spacing w:after="50" w:before="0"/>
        <w:ind w:left="0"/>
      </w:pPr>
      <w:hyperlink w:history="1" w:anchor="_sec6">
        <w:r>
          <w:rPr>
            <w:rFonts w:ascii="Arial" w:cs="Arial" w:eastAsia="Arial" w:hAnsi="Arial"/>
            <w:b/>
            <w:bCs/>
            <w:color w:val="1F3A5F"/>
            <w:sz w:val="20"/>
            <w:szCs w:val="20"/>
            <w:rtl/>
          </w:rPr>
          <w:t xml:space="preserve">6. القائمة حسب الوحدات (الصف 59 في docs/31)</w:t>
        </w:r>
      </w:hyperlink>
    </w:p>
    <w:p>
      <w:pPr>
        <w:bidi/>
        <w:spacing w:after="50" w:before="0"/>
        <w:ind w:left="0"/>
      </w:pPr>
      <w:hyperlink w:history="1" w:anchor="_sec7">
        <w:r>
          <w:rPr>
            <w:rFonts w:ascii="Arial" w:cs="Arial" w:eastAsia="Arial" w:hAnsi="Arial"/>
            <w:b/>
            <w:bCs/>
            <w:color w:val="1F3A5F"/>
            <w:sz w:val="20"/>
            <w:szCs w:val="20"/>
            <w:rtl/>
          </w:rPr>
          <w:t xml:space="preserve">7. تقرير التقييم الائتماني المطبوع (الصف 61 في docs/31)</w:t>
        </w:r>
      </w:hyperlink>
    </w:p>
    <w:p>
      <w:pPr>
        <w:bidi/>
        <w:spacing w:after="50" w:before="0"/>
        <w:ind w:left="0"/>
      </w:pPr>
      <w:hyperlink w:history="1" w:anchor="_sec8">
        <w:r>
          <w:rPr>
            <w:rFonts w:ascii="Arial" w:cs="Arial" w:eastAsia="Arial" w:hAnsi="Arial"/>
            <w:b/>
            <w:bCs/>
            <w:color w:val="1F3A5F"/>
            <w:sz w:val="20"/>
            <w:szCs w:val="20"/>
            <w:rtl/>
          </w:rPr>
          <w:t xml:space="preserve">8. ما بقي</w:t>
        </w:r>
      </w:hyperlink>
    </w:p>
    <w:p>
      <w:r>
        <w:br w:type="page"/>
      </w:r>
    </w:p>
    <w:p>
      <w:pPr>
        <w:pStyle w:val="Heading1"/>
        <w:bidi/>
      </w:pPr>
      <w:bookmarkStart w:name="_sec3" w:id="3"/>
      <w:r>
        <w:rPr>
          <w:rFonts w:ascii="Arial" w:cs="Arial" w:eastAsia="Arial" w:hAnsi="Arial"/>
          <w:b/>
          <w:bCs/>
          <w:color w:val="1F3A5F"/>
          <w:sz w:val="32"/>
          <w:szCs w:val="32"/>
          <w:rtl/>
        </w:rPr>
        <w:t xml:space="preserve">3. الشاشات</w:t>
      </w:r>
      <w:bookmarkEnd w:id="3"/>
    </w:p>
    <w:p>
      <w:pPr>
        <w:bidi/>
        <w:spacing w:after="110" w:before="0" w:line="312"/>
      </w:pPr>
      <w:r>
        <w:rPr>
          <w:rFonts w:ascii="Arial" w:cs="Arial" w:eastAsia="Arial" w:hAnsi="Arial"/>
          <w:b w:val="false"/>
          <w:bCs w:val="false"/>
          <w:sz w:val="21"/>
          <w:szCs w:val="21"/>
          <w:rtl/>
        </w:rPr>
        <w:t xml:space="preserve">صفحة الدخول بالعربية: لوحة العلامة في جهة بداية القراءة (اليمين)، والنموذج بجانبها.</w:t>
      </w:r>
    </w:p>
    <w:p>
      <w:pPr>
        <w:keepNext/>
        <w:bidi/>
        <w:spacing w:after="60" w:before="160"/>
        <w:jc w:val="center"/>
      </w:pPr>
      <w:r>
        <w:drawing>
          <wp:inline distT="0" distB="0" distL="0" distR="0">
            <wp:extent cx="6096000" cy="3657600"/>
            <wp:effectExtent t="0" r="0" b="0" l="0"/>
            <wp:docPr id="1" name="diagrams/brand/login-ar.png" descr="صفحة الدخول" title="صفحة الدخو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657600"/>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صفحة الدخول</w:t>
      </w:r>
    </w:p>
    <w:p>
      <w:pPr>
        <w:bidi/>
        <w:spacing w:after="110" w:before="0" w:line="312"/>
      </w:pPr>
      <w:r>
        <w:rPr>
          <w:rFonts w:ascii="Arial" w:cs="Arial" w:eastAsia="Arial" w:hAnsi="Arial"/>
          <w:b w:val="false"/>
          <w:bCs w:val="false"/>
          <w:sz w:val="21"/>
          <w:szCs w:val="21"/>
          <w:rtl/>
        </w:rPr>
        <w:t xml:space="preserve">شاشة المستخدمين: الشريط الجانبي، والحالات بلونها ورمزها.</w:t>
      </w:r>
    </w:p>
    <w:p>
      <w:pPr>
        <w:keepNext/>
        <w:bidi/>
        <w:spacing w:after="60" w:before="160"/>
        <w:jc w:val="center"/>
      </w:pPr>
      <w:r>
        <w:drawing>
          <wp:inline distT="0" distB="0" distL="0" distR="0">
            <wp:extent cx="6096000" cy="3657600"/>
            <wp:effectExtent t="0" r="0" b="0" l="0"/>
            <wp:docPr id="1" name="diagrams/brand/users-ar.png" descr="المستخدمون بالعربية" title="المستخدمون بالعربي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657600"/>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المستخدمون بالعربية</w:t>
      </w:r>
    </w:p>
    <w:p>
      <w:pPr>
        <w:bidi/>
        <w:spacing w:after="110" w:before="0" w:line="312"/>
      </w:pPr>
      <w:r>
        <w:rPr>
          <w:rFonts w:ascii="Arial" w:cs="Arial" w:eastAsia="Arial" w:hAnsi="Arial"/>
          <w:b w:val="false"/>
          <w:bCs w:val="false"/>
          <w:sz w:val="21"/>
          <w:szCs w:val="21"/>
          <w:rtl/>
        </w:rPr>
        <w:t xml:space="preserve">الشاشة نفسها بالإنجليزية. اتجاه الصفحة ينقلب وحده.</w:t>
      </w:r>
    </w:p>
    <w:p>
      <w:pPr>
        <w:keepNext/>
        <w:bidi/>
        <w:spacing w:after="60" w:before="160"/>
        <w:jc w:val="center"/>
      </w:pPr>
      <w:r>
        <w:drawing>
          <wp:inline distT="0" distB="0" distL="0" distR="0">
            <wp:extent cx="6096000" cy="3657600"/>
            <wp:effectExtent t="0" r="0" b="0" l="0"/>
            <wp:docPr id="1" name="diagrams/brand/users-en.png" descr="المستخدمون بالإنجليزية" title="المستخدمون بالإنجليزي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657600"/>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المستخدمون بالإنجليزية</w:t>
      </w:r>
    </w:p>
    <w:p>
      <w:pPr>
        <w:bidi/>
        <w:spacing w:after="110" w:before="0" w:line="312"/>
      </w:pPr>
      <w:r>
        <w:rPr>
          <w:rFonts w:ascii="Arial" w:cs="Arial" w:eastAsia="Arial" w:hAnsi="Arial"/>
          <w:b w:val="false"/>
          <w:bCs w:val="false"/>
          <w:sz w:val="21"/>
          <w:szCs w:val="21"/>
          <w:rtl/>
        </w:rPr>
        <w:t xml:space="preserve">على الجوال: الشريط الجانبي يصير شريطًا أفقيًا يُمرَّر فوق الصفحة.</w:t>
      </w:r>
    </w:p>
    <w:p>
      <w:pPr>
        <w:keepNext/>
        <w:bidi/>
        <w:spacing w:after="60" w:before="160"/>
        <w:jc w:val="center"/>
      </w:pPr>
      <w:r>
        <w:drawing>
          <wp:inline distT="0" distB="0" distL="0" distR="0">
            <wp:extent cx="3895725" cy="8191500"/>
            <wp:effectExtent t="0" r="0" b="0" l="0"/>
            <wp:docPr id="1" name="diagrams/brand/mobile-home-ar.png" descr="الجوال" title="الجوا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95725" cy="8191500"/>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الجوال</w:t>
      </w:r>
    </w:p>
    <w:p>
      <w:pPr>
        <w:bidi/>
        <w:spacing w:after="110" w:before="0" w:line="312"/>
      </w:pPr>
      <w:r>
        <w:rPr>
          <w:rFonts w:ascii="Arial" w:cs="Arial" w:eastAsia="Arial" w:hAnsi="Arial"/>
          <w:b w:val="false"/>
          <w:bCs w:val="false"/>
          <w:sz w:val="21"/>
          <w:szCs w:val="21"/>
          <w:rtl/>
        </w:rPr>
        <w:t xml:space="preserve">البيانات في الصور توضيحية.</w:t>
      </w:r>
    </w:p>
    <w:p>
      <w:pPr>
        <w:pStyle w:val="Heading1"/>
        <w:bidi/>
      </w:pPr>
      <w:bookmarkStart w:name="_sec4" w:id="4"/>
      <w:r>
        <w:rPr>
          <w:rFonts w:ascii="Arial" w:cs="Arial" w:eastAsia="Arial" w:hAnsi="Arial"/>
          <w:b/>
          <w:bCs/>
          <w:color w:val="1F3A5F"/>
          <w:sz w:val="32"/>
          <w:szCs w:val="32"/>
          <w:rtl/>
        </w:rPr>
        <w:t xml:space="preserve">4. ما تغيّر في الكود</w:t>
      </w:r>
      <w:bookmarkEnd w:id="4"/>
    </w:p>
    <w:p>
      <w:pPr>
        <w:pStyle w:val="ListParagraph"/>
        <w:numPr>
          <w:ilvl w:val="0"/>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‎app/web/src/brand/‎</w:t>
      </w:r>
      <w:r>
        <w:rPr>
          <w:rFonts w:ascii="Arial" w:cs="Arial" w:eastAsia="Arial" w:hAnsi="Arial"/>
          <w:b w:val="false"/>
          <w:bCs w:val="false"/>
          <w:sz w:val="21"/>
          <w:szCs w:val="21"/>
          <w:rtl/>
        </w:rPr>
        <w:t xml:space="preserve">: ملفات الشعار الثلاثة (الرمز، والملون، والمعكوس). يولّدها </w:t>
      </w:r>
      <w:r>
        <w:rPr>
          <w:rFonts w:ascii="Courier New" w:cs="Courier New" w:eastAsia="Courier New" w:hAnsi="Courier New"/>
          <w:b w:val="false"/>
          <w:bCs w:val="false"/>
          <w:color w:val="1F2937"/>
          <w:sz w:val="18"/>
          <w:szCs w:val="18"/>
          <w:shd w:fill="F1F3F5" w:color="auto" w:val="clear"/>
          <w:rtl/>
        </w:rPr>
        <w:t xml:space="preserve">‎tools/brand/logo.js‎</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‎app/web/src/brand.tsx‎</w:t>
      </w:r>
      <w:r>
        <w:rPr>
          <w:rFonts w:ascii="Arial" w:cs="Arial" w:eastAsia="Arial" w:hAnsi="Arial"/>
          <w:b w:val="false"/>
          <w:bCs w:val="false"/>
          <w:sz w:val="21"/>
          <w:szCs w:val="21"/>
          <w:rtl/>
        </w:rPr>
        <w:t xml:space="preserve">: الشعار، وشارة الحالة </w:t>
      </w:r>
      <w:r>
        <w:rPr>
          <w:rFonts w:ascii="Courier New" w:cs="Courier New" w:eastAsia="Courier New" w:hAnsi="Courier New"/>
          <w:b w:val="false"/>
          <w:bCs w:val="false"/>
          <w:color w:val="1F2937"/>
          <w:sz w:val="18"/>
          <w:szCs w:val="18"/>
          <w:shd w:fill="F1F3F5" w:color="auto" w:val="clear"/>
          <w:rtl/>
        </w:rPr>
        <w:t xml:space="preserve">‎Chip‎</w:t>
      </w:r>
      <w:r>
        <w:rPr>
          <w:rFonts w:ascii="Arial" w:cs="Arial" w:eastAsia="Arial" w:hAnsi="Arial"/>
          <w:b w:val="false"/>
          <w:bCs w:val="false"/>
          <w:sz w:val="21"/>
          <w:szCs w:val="21"/>
          <w:rtl/>
        </w:rPr>
        <w:t xml:space="preserve">، وتخطيط صفحات الدخول.</w:t>
      </w:r>
    </w:p>
    <w:p>
      <w:pPr>
        <w:pStyle w:val="ListParagraph"/>
        <w:numPr>
          <w:ilvl w:val="0"/>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‎app/web/src/styles.css‎</w:t>
      </w:r>
      <w:r>
        <w:rPr>
          <w:rFonts w:ascii="Arial" w:cs="Arial" w:eastAsia="Arial" w:hAnsi="Arial"/>
          <w:b w:val="false"/>
          <w:bCs w:val="false"/>
          <w:sz w:val="21"/>
          <w:szCs w:val="21"/>
          <w:rtl/>
        </w:rPr>
        <w:t xml:space="preserve">: ملف التصميم كاملًا، وفيه الألوان والخطوط والمقاسات والمكونات.</w:t>
      </w:r>
    </w:p>
    <w:p>
      <w:pPr>
        <w:pStyle w:val="ListParagraph"/>
        <w:numPr>
          <w:ilvl w:val="0"/>
          <w:numId w:val="2"/>
        </w:numPr>
        <w:bidi/>
        <w:spacing w:after="70" w:before="0" w:line="300"/>
      </w:pPr>
      <w:r>
        <w:rPr>
          <w:rFonts w:ascii="Arial" w:cs="Arial" w:eastAsia="Arial" w:hAnsi="Arial"/>
          <w:b w:val="false"/>
          <w:bCs w:val="false"/>
          <w:sz w:val="21"/>
          <w:szCs w:val="21"/>
          <w:rtl/>
        </w:rPr>
        <w:t xml:space="preserve">الشاشات: الشريط الجانبي في البوابة ولوحة المشغّل، وصفحات الدخول والتسجيل، وخلايا «الحالة» في 54 جدولًا.</w:t>
      </w:r>
    </w:p>
    <w:p>
      <w:pPr>
        <w:pStyle w:val="ListParagraph"/>
        <w:numPr>
          <w:ilvl w:val="0"/>
          <w:numId w:val="2"/>
        </w:numPr>
        <w:bidi/>
        <w:spacing w:after="70" w:before="0" w:line="300"/>
      </w:pPr>
      <w:r>
        <w:rPr>
          <w:rFonts w:ascii="Arial" w:cs="Arial" w:eastAsia="Arial" w:hAnsi="Arial"/>
          <w:b w:val="false"/>
          <w:bCs w:val="false"/>
          <w:sz w:val="21"/>
          <w:szCs w:val="21"/>
          <w:rtl/>
        </w:rPr>
        <w:t xml:space="preserve">اختبار جديد </w:t>
      </w:r>
      <w:r>
        <w:rPr>
          <w:rFonts w:ascii="Courier New" w:cs="Courier New" w:eastAsia="Courier New" w:hAnsi="Courier New"/>
          <w:b w:val="false"/>
          <w:bCs w:val="false"/>
          <w:color w:val="1F2937"/>
          <w:sz w:val="18"/>
          <w:szCs w:val="18"/>
          <w:shd w:fill="F1F3F5" w:color="auto" w:val="clear"/>
          <w:rtl/>
        </w:rPr>
        <w:t xml:space="preserve">‎brand.test.tsx‎</w:t>
      </w:r>
      <w:r>
        <w:rPr>
          <w:rFonts w:ascii="Arial" w:cs="Arial" w:eastAsia="Arial" w:hAnsi="Arial"/>
          <w:b w:val="false"/>
          <w:bCs w:val="false"/>
          <w:sz w:val="21"/>
          <w:szCs w:val="21"/>
          <w:rtl/>
        </w:rPr>
        <w:t xml:space="preserve"> يتحقق من ألوان الحالات. ولم يتغير شيء في الخادم أو قاعدة البيانات.</w:t>
      </w:r>
    </w:p>
    <w:p>
      <w:pPr>
        <w:pStyle w:val="ListParagraph"/>
        <w:numPr>
          <w:ilvl w:val="0"/>
          <w:numId w:val="2"/>
        </w:numPr>
        <w:bidi/>
        <w:spacing w:after="70" w:before="0" w:line="300"/>
      </w:pPr>
      <w:r>
        <w:rPr>
          <w:rFonts w:ascii="Arial" w:cs="Arial" w:eastAsia="Arial" w:hAnsi="Arial"/>
          <w:b w:val="false"/>
          <w:bCs w:val="false"/>
          <w:sz w:val="21"/>
          <w:szCs w:val="21"/>
          <w:rtl/>
        </w:rPr>
        <w:t xml:space="preserve">القرار مكتوب في ADR 0055.</w:t>
      </w:r>
    </w:p>
    <w:p>
      <w:pPr>
        <w:bidi/>
        <w:spacing w:after="60" w:before="0"/>
      </w:pPr>
    </w:p>
    <w:p>
      <w:pPr>
        <w:pStyle w:val="Heading1"/>
        <w:bidi/>
      </w:pPr>
      <w:bookmarkStart w:name="_sec5" w:id="5"/>
      <w:r>
        <w:rPr>
          <w:rFonts w:ascii="Arial" w:cs="Arial" w:eastAsia="Arial" w:hAnsi="Arial"/>
          <w:b/>
          <w:bCs/>
          <w:color w:val="1F3A5F"/>
          <w:sz w:val="32"/>
          <w:szCs w:val="32"/>
          <w:rtl/>
        </w:rPr>
        <w:t xml:space="preserve">5. المطبوعات والبريد (الدفعة الثانية)</w:t>
      </w:r>
      <w:bookmarkEnd w:id="5"/>
    </w:p>
    <w:p>
      <w:pPr>
        <w:pStyle w:val="ListParagraph"/>
        <w:numPr>
          <w:ilvl w:val="0"/>
          <w:numId w:val="2"/>
        </w:numPr>
        <w:bidi/>
        <w:spacing w:after="70" w:before="0" w:line="300"/>
      </w:pPr>
      <w:r>
        <w:rPr>
          <w:rFonts w:ascii="Arial" w:cs="Arial" w:eastAsia="Arial" w:hAnsi="Arial"/>
          <w:b/>
          <w:bCs/>
          <w:sz w:val="21"/>
          <w:szCs w:val="21"/>
          <w:rtl/>
        </w:rPr>
        <w:t xml:space="preserve">المطبوعات:</w:t>
      </w:r>
      <w:r>
        <w:rPr>
          <w:rFonts w:ascii="Arial" w:cs="Arial" w:eastAsia="Arial" w:hAnsi="Arial"/>
          <w:b w:val="false"/>
          <w:bCs w:val="false"/>
          <w:sz w:val="21"/>
          <w:szCs w:val="21"/>
          <w:rtl/>
        </w:rPr>
        <w:t xml:space="preserve"> شروط الاعتماد، والفاتورة المبدئية، وطباعة الطلب، والتقارير بصيغتيها HTML وPDF. صارت كلها بخطوط Plex، والعناوين بأخضر الخزنة فوق خط زمردي، ورؤوس الجداول بالرمادي الفاتح، والأرقام بخط Mono. التنسيق مشترك في ملف واحد: </w:t>
      </w:r>
      <w:r>
        <w:rPr>
          <w:rFonts w:ascii="Courier New" w:cs="Courier New" w:eastAsia="Courier New" w:hAnsi="Courier New"/>
          <w:b w:val="false"/>
          <w:bCs w:val="false"/>
          <w:color w:val="1F2937"/>
          <w:sz w:val="18"/>
          <w:szCs w:val="18"/>
          <w:shd w:fill="F1F3F5" w:color="auto" w:val="clear"/>
          <w:rtl/>
        </w:rPr>
        <w:t xml:space="preserve">‎PrintStyle‎</w:t>
      </w:r>
      <w:r>
        <w:rPr>
          <w:rFonts w:ascii="Arial" w:cs="Arial" w:eastAsia="Arial" w:hAnsi="Arial"/>
          <w:b w:val="false"/>
          <w:bCs w:val="false"/>
          <w:sz w:val="21"/>
          <w:szCs w:val="21"/>
          <w:rtl/>
        </w:rPr>
        <w:t xml:space="preserve"> في </w:t>
      </w:r>
      <w:r>
        <w:rPr>
          <w:rFonts w:ascii="Courier New" w:cs="Courier New" w:eastAsia="Courier New" w:hAnsi="Courier New"/>
          <w:b w:val="false"/>
          <w:bCs w:val="false"/>
          <w:color w:val="1F2937"/>
          <w:sz w:val="18"/>
          <w:szCs w:val="18"/>
          <w:shd w:fill="F1F3F5" w:color="auto" w:val="clear"/>
          <w:rtl/>
        </w:rPr>
        <w:t xml:space="preserve">‎BankFas.Data‎</w:t>
      </w:r>
      <w:r>
        <w:rPr>
          <w:rFonts w:ascii="Arial" w:cs="Arial" w:eastAsia="Arial" w:hAnsi="Arial"/>
          <w:b w:val="false"/>
          <w:bCs w:val="false"/>
          <w:sz w:val="21"/>
          <w:szCs w:val="21"/>
          <w:rtl/>
        </w:rPr>
        <w:t xml:space="preserve">. صورة النشر تثبّت الخطوط نفسها ليستعملها Chromium عند إخراج PDF، والمتصفح يجلبها من </w:t>
      </w:r>
      <w:r>
        <w:rPr>
          <w:rFonts w:ascii="Courier New" w:cs="Courier New" w:eastAsia="Courier New" w:hAnsi="Courier New"/>
          <w:b w:val="false"/>
          <w:bCs w:val="false"/>
          <w:color w:val="1F2937"/>
          <w:sz w:val="18"/>
          <w:szCs w:val="18"/>
          <w:shd w:fill="F1F3F5" w:color="auto" w:val="clear"/>
          <w:rtl/>
        </w:rPr>
        <w:t xml:space="preserve">‎/fonts‎</w:t>
      </w:r>
      <w:r>
        <w:rPr>
          <w:rFonts w:ascii="Arial" w:cs="Arial" w:eastAsia="Arial" w:hAnsi="Arial"/>
          <w:b w:val="false"/>
          <w:bCs w:val="false"/>
          <w:sz w:val="21"/>
          <w:szCs w:val="21"/>
          <w:rtl/>
        </w:rPr>
        <w:t xml:space="preserve"> في الموقع.</w:t>
      </w:r>
    </w:p>
    <w:p>
      <w:pPr>
        <w:pStyle w:val="ListParagraph"/>
        <w:numPr>
          <w:ilvl w:val="0"/>
          <w:numId w:val="2"/>
        </w:numPr>
        <w:bidi/>
        <w:spacing w:after="70" w:before="0" w:line="300"/>
      </w:pPr>
      <w:r>
        <w:rPr>
          <w:rFonts w:ascii="Arial" w:cs="Arial" w:eastAsia="Arial" w:hAnsi="Arial"/>
          <w:b/>
          <w:bCs/>
          <w:sz w:val="21"/>
          <w:szCs w:val="21"/>
          <w:rtl/>
        </w:rPr>
        <w:t xml:space="preserve">الفاتورة المبدئية</w:t>
      </w:r>
      <w:r>
        <w:rPr>
          <w:rFonts w:ascii="Arial" w:cs="Arial" w:eastAsia="Arial" w:hAnsi="Arial"/>
          <w:b w:val="false"/>
          <w:bCs w:val="false"/>
          <w:sz w:val="21"/>
          <w:szCs w:val="21"/>
          <w:rtl/>
        </w:rPr>
        <w:t xml:space="preserve"> مستند الشركة المشتركة إلى عميلها. لذلك أخذت الخطوط والألوان فقط، وليس عليها شعار BankFas.</w:t>
      </w:r>
    </w:p>
    <w:p>
      <w:pPr>
        <w:pStyle w:val="ListParagraph"/>
        <w:numPr>
          <w:ilvl w:val="0"/>
          <w:numId w:val="2"/>
        </w:numPr>
        <w:bidi/>
        <w:spacing w:after="70" w:before="0" w:line="300"/>
      </w:pPr>
      <w:r>
        <w:rPr>
          <w:rFonts w:ascii="Arial" w:cs="Arial" w:eastAsia="Arial" w:hAnsi="Arial"/>
          <w:b/>
          <w:bCs/>
          <w:sz w:val="21"/>
          <w:szCs w:val="21"/>
          <w:rtl/>
        </w:rPr>
        <w:t xml:space="preserve">البريد الإلكتروني:</w:t>
      </w:r>
      <w:r>
        <w:rPr>
          <w:rFonts w:ascii="Arial" w:cs="Arial" w:eastAsia="Arial" w:hAnsi="Arial"/>
          <w:b w:val="false"/>
          <w:bCs w:val="false"/>
          <w:sz w:val="21"/>
          <w:szCs w:val="21"/>
          <w:rtl/>
        </w:rPr>
        <w:t xml:space="preserve"> كل رسالة صار لها نسخة HTML بجانب النص: شريط أخضر الخزنة فيه اسم BANKFAS نصًا لا صورة، فيظهر حتى إن حجب البريد الصور. ثم النص، ثم الرابط زرًا، ثم تذييل العلامة. والاتجاه يُحدَّد من لغة الرسالة. وتبقى النسخة النصية لمن لا يعرض HTML.</w:t>
      </w:r>
    </w:p>
    <w:p>
      <w:pPr>
        <w:bidi/>
        <w:spacing w:after="60" w:before="0"/>
      </w:pPr>
    </w:p>
    <w:p>
      <w:pPr>
        <w:keepNext/>
        <w:bidi/>
        <w:spacing w:after="60" w:before="160"/>
        <w:jc w:val="center"/>
      </w:pPr>
      <w:r>
        <w:drawing>
          <wp:inline distT="0" distB="0" distL="0" distR="0">
            <wp:extent cx="6096000" cy="4610100"/>
            <wp:effectExtent t="0" r="0" b="0" l="0"/>
            <wp:docPr id="1" name="diagrams/brand/print-ar.png" descr="طباعة الشروط" title="طباعة الشرو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4610100"/>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طباعة الشروط</w:t>
      </w:r>
    </w:p>
    <w:p>
      <w:pPr>
        <w:keepNext/>
        <w:bidi/>
        <w:spacing w:after="60" w:before="160"/>
        <w:jc w:val="center"/>
      </w:pPr>
      <w:r>
        <w:drawing>
          <wp:inline distT="0" distB="0" distL="0" distR="0">
            <wp:extent cx="6096000" cy="4876800"/>
            <wp:effectExtent t="0" r="0" b="0" l="0"/>
            <wp:docPr id="1" name="diagrams/brand/mail-ar.png" descr="رسالة دعوة" title="رسالة دعو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4876800"/>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رسالة دعوة</w:t>
      </w:r>
    </w:p>
    <w:p>
      <w:pPr>
        <w:pStyle w:val="Heading1"/>
        <w:bidi/>
      </w:pPr>
      <w:bookmarkStart w:name="_sec6" w:id="6"/>
      <w:r>
        <w:rPr>
          <w:rFonts w:ascii="Arial" w:cs="Arial" w:eastAsia="Arial" w:hAnsi="Arial"/>
          <w:b/>
          <w:bCs/>
          <w:color w:val="1F3A5F"/>
          <w:sz w:val="32"/>
          <w:szCs w:val="32"/>
          <w:rtl/>
        </w:rPr>
        <w:t xml:space="preserve">6. القائمة حسب الوحدات (الصف 59 في </w:t>
      </w:r>
      <w:r>
        <w:rPr>
          <w:rFonts w:ascii="Courier New" w:cs="Courier New" w:eastAsia="Courier New" w:hAnsi="Courier New"/>
          <w:b/>
          <w:bCs/>
          <w:color w:val="1F2937"/>
          <w:sz w:val="28"/>
          <w:szCs w:val="28"/>
          <w:rtl/>
        </w:rPr>
        <w:t xml:space="preserve">‎docs/31‎</w:t>
      </w:r>
      <w:r>
        <w:rPr>
          <w:rFonts w:ascii="Arial" w:cs="Arial" w:eastAsia="Arial" w:hAnsi="Arial"/>
          <w:b/>
          <w:bCs/>
          <w:color w:val="1F3A5F"/>
          <w:sz w:val="32"/>
          <w:szCs w:val="32"/>
          <w:rtl/>
        </w:rPr>
        <w:t xml:space="preserve">)</w:t>
      </w:r>
      <w:bookmarkEnd w:id="6"/>
    </w:p>
    <w:p>
      <w:pPr>
        <w:bidi/>
        <w:spacing w:after="110" w:before="0" w:line="312"/>
      </w:pPr>
      <w:r>
        <w:rPr>
          <w:rFonts w:ascii="Arial" w:cs="Arial" w:eastAsia="Arial" w:hAnsi="Arial"/>
          <w:b w:val="false"/>
          <w:bCs w:val="false"/>
          <w:sz w:val="21"/>
          <w:szCs w:val="21"/>
          <w:rtl/>
        </w:rPr>
        <w:t xml:space="preserve">ملاحظة المالك: القائمة يجب أن تُنظَّم حسب الوحدة، وتُفتح فيها شاشات كل نظام. ثم طلب: «اعطني افضل اجراء باعتبارك خبير انظمة».</w:t>
      </w:r>
    </w:p>
    <w:p>
      <w:pPr>
        <w:bidi/>
        <w:spacing w:after="110" w:before="0" w:line="312"/>
      </w:pPr>
      <w:r>
        <w:rPr>
          <w:rFonts w:ascii="Arial" w:cs="Arial" w:eastAsia="Arial" w:hAnsi="Arial"/>
          <w:b/>
          <w:bCs/>
          <w:sz w:val="21"/>
          <w:szCs w:val="21"/>
          <w:rtl/>
        </w:rPr>
        <w:t xml:space="preserve">التنظيم المعتمد:</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190"/>
        <w:gridCol w:w="3128"/>
        <w:gridCol w:w="4546"/>
      </w:tblGrid>
      <w:tr>
        <w:trPr>
          <w:cantSplit/>
          <w:tblHeader/>
        </w:trPr>
        <w:tc>
          <w:tcPr>
            <w:tcW w:type="dxa" w:w="219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الموضع</w:t>
            </w:r>
          </w:p>
        </w:tc>
        <w:tc>
          <w:tcPr>
            <w:tcW w:type="dxa" w:w="31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المجموعة</w:t>
            </w:r>
          </w:p>
        </w:tc>
        <w:tc>
          <w:tcPr>
            <w:tcW w:type="dxa" w:w="454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الشاشات</w:t>
            </w:r>
          </w:p>
        </w:tc>
      </w:tr>
      <w:tr>
        <w:trPr>
          <w:cantSplit/>
        </w:trPr>
        <w:tc>
          <w:tcPr>
            <w:tcW w:type="dxa" w:w="21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أعلى القائمة</w:t>
            </w:r>
          </w:p>
        </w:tc>
        <w:tc>
          <w:tcPr>
            <w:tcW w:type="dxa" w:w="31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العمل اليومي</w:t>
            </w:r>
          </w:p>
        </w:tc>
        <w:tc>
          <w:tcPr>
            <w:tcW w:type="dxa" w:w="45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الرئيسية، صندوق المهام، لوحات المتابعة، الإشعارات</w:t>
            </w:r>
          </w:p>
        </w:tc>
      </w:tr>
      <w:tr>
        <w:trPr>
          <w:cantSplit/>
        </w:trPr>
        <w:tc>
          <w:tcPr>
            <w:tcW w:type="dxa" w:w="21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31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التسهيلات الائتمانية</w:t>
            </w:r>
          </w:p>
        </w:tc>
        <w:tc>
          <w:tcPr>
            <w:tcW w:type="dxa" w:w="45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التسهيلات، جداول التعرفة، الضمانات، الخروقات، مقارنة الشروط، الالتزام على مستوى المجموعة</w:t>
            </w:r>
          </w:p>
        </w:tc>
      </w:tr>
      <w:tr>
        <w:trPr>
          <w:cantSplit/>
        </w:trPr>
        <w:tc>
          <w:tcPr>
            <w:tcW w:type="dxa" w:w="21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31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طلبات الخزينة</w:t>
            </w:r>
          </w:p>
        </w:tc>
        <w:tc>
          <w:tcPr>
            <w:tcW w:type="dxa" w:w="45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الطلبات، الاعتمادات المستندية، الفواتير المبدئية، الاعتمادات الواردة، نماذج البنوك، التفويضات، التقارير</w:t>
            </w:r>
          </w:p>
        </w:tc>
      </w:tr>
      <w:tr>
        <w:trPr>
          <w:cantSplit/>
        </w:trPr>
        <w:tc>
          <w:tcPr>
            <w:tcW w:type="dxa" w:w="21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31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الائتمان والمخاطر</w:t>
            </w:r>
          </w:p>
        </w:tc>
        <w:tc>
          <w:tcPr>
            <w:tcW w:type="dxa" w:w="45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القوائم المالية، الأرصدة الشهرية، التقييمات الذاتية، خطوط المنتجات، تصنيفات جهات التمويل، مصفوفة المخصصات، خروقات القوائم، مكتبة الصيغ، نسخ العرض</w:t>
            </w:r>
          </w:p>
        </w:tc>
      </w:tr>
      <w:tr>
        <w:trPr>
          <w:cantSplit/>
        </w:trPr>
        <w:tc>
          <w:tcPr>
            <w:tcW w:type="dxa" w:w="21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31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الشركات والجهات</w:t>
            </w:r>
          </w:p>
        </w:tc>
        <w:tc>
          <w:tcPr>
            <w:tcW w:type="dxa" w:w="45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الشركات، مستندات الشركات، الأقسام، فحص الملكية، سلامة الهيكل، تعارضات الحوكمة، الأشخاص والجهات، المكررات المحتملة، الحقول المخصصة</w:t>
            </w:r>
          </w:p>
        </w:tc>
      </w:tr>
      <w:tr>
        <w:trPr>
          <w:cantSplit/>
        </w:trPr>
        <w:tc>
          <w:tcPr>
            <w:tcW w:type="dxa" w:w="21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31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البنوك والحسابات</w:t>
            </w:r>
          </w:p>
        </w:tc>
        <w:tc>
          <w:tcPr>
            <w:tcW w:type="dxa" w:w="45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البنوك وجهات التمويل، الحسابات البنكية، أسعار الأساس</w:t>
            </w:r>
          </w:p>
        </w:tc>
      </w:tr>
      <w:tr>
        <w:trPr>
          <w:cantSplit/>
        </w:trPr>
        <w:tc>
          <w:tcPr>
            <w:tcW w:type="dxa" w:w="21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31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الموظفون والصلاحيات</w:t>
            </w:r>
          </w:p>
        </w:tc>
        <w:tc>
          <w:tcPr>
            <w:tcW w:type="dxa" w:w="45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المستخدمون، الأدوار، وصول الدعم</w:t>
            </w:r>
          </w:p>
        </w:tc>
      </w:tr>
      <w:tr>
        <w:trPr>
          <w:cantSplit/>
        </w:trPr>
        <w:tc>
          <w:tcPr>
            <w:tcW w:type="dxa" w:w="21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31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الإعدادات</w:t>
            </w:r>
          </w:p>
        </w:tc>
        <w:tc>
          <w:tcPr>
            <w:tcW w:type="dxa" w:w="45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الإعدادات العامة، الترقيم، أيام العطل، الكتالوجات، إعدادات الإشعارات، سجل التدقيق، المهام الخلفية، تصدير البيانات</w:t>
            </w:r>
          </w:p>
        </w:tc>
      </w:tr>
      <w:tr>
        <w:trPr>
          <w:cantSplit/>
        </w:trPr>
        <w:tc>
          <w:tcPr>
            <w:tcW w:type="dxa" w:w="21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أسفل القائمة</w:t>
            </w:r>
          </w:p>
        </w:tc>
        <w:tc>
          <w:tcPr>
            <w:tcW w:type="dxa" w:w="31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45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ملفي</w:t>
            </w:r>
          </w:p>
        </w:tc>
      </w:tr>
    </w:tbl>
    <w:p>
      <w:pPr>
        <w:bidi/>
        <w:spacing w:after="120" w:before="0"/>
      </w:pPr>
    </w:p>
    <w:p>
      <w:pPr>
        <w:bidi/>
        <w:spacing w:after="110" w:before="0" w:line="312"/>
      </w:pPr>
      <w:r>
        <w:rPr>
          <w:rFonts w:ascii="Arial" w:cs="Arial" w:eastAsia="Arial" w:hAnsi="Arial"/>
          <w:b/>
          <w:bCs/>
          <w:sz w:val="21"/>
          <w:szCs w:val="21"/>
          <w:rtl/>
        </w:rPr>
        <w:t xml:space="preserve">لماذا هذا التنظيم:</w:t>
      </w:r>
    </w:p>
    <w:p>
      <w:pPr>
        <w:pStyle w:val="ListParagraph"/>
        <w:numPr>
          <w:ilvl w:val="0"/>
          <w:numId w:val="2"/>
        </w:numPr>
        <w:bidi/>
        <w:spacing w:after="70" w:before="0" w:line="300"/>
      </w:pPr>
      <w:r>
        <w:rPr>
          <w:rFonts w:ascii="Arial" w:cs="Arial" w:eastAsia="Arial" w:hAnsi="Arial"/>
          <w:b/>
          <w:bCs/>
          <w:sz w:val="21"/>
          <w:szCs w:val="21"/>
          <w:rtl/>
        </w:rPr>
        <w:t xml:space="preserve">العمل اليومي في الأعلى:</w:t>
      </w:r>
      <w:r>
        <w:rPr>
          <w:rFonts w:ascii="Arial" w:cs="Arial" w:eastAsia="Arial" w:hAnsi="Arial"/>
          <w:b w:val="false"/>
          <w:bCs w:val="false"/>
          <w:sz w:val="21"/>
          <w:szCs w:val="21"/>
          <w:rtl/>
        </w:rPr>
        <w:t xml:space="preserve"> صندوق المهام والإشعارات يحتاجهما كل مستخدم كل يوم، أيًّا كانت الوحدة.</w:t>
      </w:r>
    </w:p>
    <w:p>
      <w:pPr>
        <w:pStyle w:val="ListParagraph"/>
        <w:numPr>
          <w:ilvl w:val="0"/>
          <w:numId w:val="2"/>
        </w:numPr>
        <w:bidi/>
        <w:spacing w:after="70" w:before="0" w:line="300"/>
      </w:pPr>
      <w:r>
        <w:rPr>
          <w:rFonts w:ascii="Arial" w:cs="Arial" w:eastAsia="Arial" w:hAnsi="Arial"/>
          <w:b/>
          <w:bCs/>
          <w:sz w:val="21"/>
          <w:szCs w:val="21"/>
          <w:rtl/>
        </w:rPr>
        <w:t xml:space="preserve">ترتيب المالك محفوظ:</w:t>
      </w:r>
      <w:r>
        <w:rPr>
          <w:rFonts w:ascii="Arial" w:cs="Arial" w:eastAsia="Arial" w:hAnsi="Arial"/>
          <w:b w:val="false"/>
          <w:bCs w:val="false"/>
          <w:sz w:val="21"/>
          <w:szCs w:val="21"/>
          <w:rtl/>
        </w:rPr>
        <w:t xml:space="preserve"> التسهيلات، ثم الطلبات، ثم الائتمان، ثم الشركات، ثم الموظفون، ثم الإعدادات.</w:t>
      </w:r>
    </w:p>
    <w:p>
      <w:pPr>
        <w:pStyle w:val="ListParagraph"/>
        <w:numPr>
          <w:ilvl w:val="0"/>
          <w:numId w:val="2"/>
        </w:numPr>
        <w:bidi/>
        <w:spacing w:after="70" w:before="0" w:line="300"/>
      </w:pPr>
      <w:r>
        <w:rPr>
          <w:rFonts w:ascii="Arial" w:cs="Arial" w:eastAsia="Arial" w:hAnsi="Arial"/>
          <w:b/>
          <w:bCs/>
          <w:sz w:val="21"/>
          <w:szCs w:val="21"/>
          <w:rtl/>
        </w:rPr>
        <w:t xml:space="preserve">مجموعة مستقلة للبنوك والحسابات:</w:t>
      </w:r>
      <w:r>
        <w:rPr>
          <w:rFonts w:ascii="Arial" w:cs="Arial" w:eastAsia="Arial" w:hAnsi="Arial"/>
          <w:b w:val="false"/>
          <w:bCs w:val="false"/>
          <w:sz w:val="21"/>
          <w:szCs w:val="21"/>
          <w:rtl/>
        </w:rPr>
        <w:t xml:space="preserve"> البنوك تخدم التسهيلات والطلبات معًا، فلا تُدفن تحت أحدهما.</w:t>
      </w:r>
    </w:p>
    <w:p>
      <w:pPr>
        <w:pStyle w:val="ListParagraph"/>
        <w:numPr>
          <w:ilvl w:val="0"/>
          <w:numId w:val="2"/>
        </w:numPr>
        <w:bidi/>
        <w:spacing w:after="70" w:before="0" w:line="300"/>
      </w:pPr>
      <w:r>
        <w:rPr>
          <w:rFonts w:ascii="Arial" w:cs="Arial" w:eastAsia="Arial" w:hAnsi="Arial"/>
          <w:b/>
          <w:bCs/>
          <w:sz w:val="21"/>
          <w:szCs w:val="21"/>
          <w:rtl/>
        </w:rPr>
        <w:t xml:space="preserve">الصلاحيات تحكم ما يظهر:</w:t>
      </w:r>
      <w:r>
        <w:rPr>
          <w:rFonts w:ascii="Arial" w:cs="Arial" w:eastAsia="Arial" w:hAnsi="Arial"/>
          <w:b w:val="false"/>
          <w:bCs w:val="false"/>
          <w:sz w:val="21"/>
          <w:szCs w:val="21"/>
          <w:rtl/>
        </w:rPr>
        <w:t xml:space="preserve"> المستخدم يرى في كل مجموعة الشاشات التي له صلاحية عليها فقط. والمجموعة التي لا شاشة له فيها لا تظهر أصلًا، فيرى المحلل المالي مثلًا «الائتمان والمخاطر» وحده تقريبًا.</w:t>
      </w:r>
    </w:p>
    <w:p>
      <w:pPr>
        <w:pStyle w:val="ListParagraph"/>
        <w:numPr>
          <w:ilvl w:val="0"/>
          <w:numId w:val="2"/>
        </w:numPr>
        <w:bidi/>
        <w:spacing w:after="70" w:before="0" w:line="300"/>
      </w:pPr>
      <w:r>
        <w:rPr>
          <w:rFonts w:ascii="Arial" w:cs="Arial" w:eastAsia="Arial" w:hAnsi="Arial"/>
          <w:b/>
          <w:bCs/>
          <w:sz w:val="21"/>
          <w:szCs w:val="21"/>
          <w:rtl/>
        </w:rPr>
        <w:t xml:space="preserve">فتح وإغلاق المجموعات:</w:t>
      </w:r>
      <w:r>
        <w:rPr>
          <w:rFonts w:ascii="Arial" w:cs="Arial" w:eastAsia="Arial" w:hAnsi="Arial"/>
          <w:b w:val="false"/>
          <w:bCs w:val="false"/>
          <w:sz w:val="21"/>
          <w:szCs w:val="21"/>
          <w:rtl/>
        </w:rPr>
        <w:t xml:space="preserve"> تُفتح المجموعة بنقرة. والمجموعة التي فيها الصفحة الحالية تُفتح وحدها. ويتذكر المتصفح ما فتحه المستخدم أو أغلقه، وبجانب كل مجموعة عدد شاشاتها.</w:t>
      </w:r>
    </w:p>
    <w:p>
      <w:pPr>
        <w:bidi/>
        <w:spacing w:after="60" w:before="0"/>
      </w:pPr>
    </w:p>
    <w:p>
      <w:pPr>
        <w:keepNext/>
        <w:bidi/>
        <w:spacing w:after="60" w:before="160"/>
        <w:jc w:val="center"/>
      </w:pPr>
      <w:r>
        <w:drawing>
          <wp:inline distT="0" distB="0" distL="0" distR="0">
            <wp:extent cx="6096000" cy="4019550"/>
            <wp:effectExtent t="0" r="0" b="0" l="0"/>
            <wp:docPr id="1" name="diagrams/brand/menu-ar.png" descr="القائمة حسب الوحدات" title="القائمة حسب الوحدا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4019550"/>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القائمة حسب الوحدات</w:t>
      </w:r>
    </w:p>
    <w:p>
      <w:pPr>
        <w:pStyle w:val="Heading1"/>
        <w:bidi/>
      </w:pPr>
      <w:bookmarkStart w:name="_sec7" w:id="7"/>
      <w:r>
        <w:rPr>
          <w:rFonts w:ascii="Arial" w:cs="Arial" w:eastAsia="Arial" w:hAnsi="Arial"/>
          <w:b/>
          <w:bCs/>
          <w:color w:val="1F3A5F"/>
          <w:sz w:val="32"/>
          <w:szCs w:val="32"/>
          <w:rtl/>
        </w:rPr>
        <w:t xml:space="preserve">7. تقرير التقييم الائتماني المطبوع (الصف 61 في </w:t>
      </w:r>
      <w:r>
        <w:rPr>
          <w:rFonts w:ascii="Courier New" w:cs="Courier New" w:eastAsia="Courier New" w:hAnsi="Courier New"/>
          <w:b/>
          <w:bCs/>
          <w:color w:val="1F2937"/>
          <w:sz w:val="28"/>
          <w:szCs w:val="28"/>
          <w:rtl/>
        </w:rPr>
        <w:t xml:space="preserve">‎docs/31‎</w:t>
      </w:r>
      <w:r>
        <w:rPr>
          <w:rFonts w:ascii="Arial" w:cs="Arial" w:eastAsia="Arial" w:hAnsi="Arial"/>
          <w:b/>
          <w:bCs/>
          <w:color w:val="1F3A5F"/>
          <w:sz w:val="32"/>
          <w:szCs w:val="32"/>
          <w:rtl/>
        </w:rPr>
        <w:t xml:space="preserve">)</w:t>
      </w:r>
      <w:bookmarkEnd w:id="7"/>
    </w:p>
    <w:p>
      <w:pPr>
        <w:bidi/>
        <w:spacing w:after="110" w:before="0" w:line="312"/>
      </w:pPr>
      <w:r>
        <w:rPr>
          <w:rFonts w:ascii="Arial" w:cs="Arial" w:eastAsia="Arial" w:hAnsi="Arial"/>
          <w:b w:val="false"/>
          <w:bCs w:val="false"/>
          <w:sz w:val="21"/>
          <w:szCs w:val="21"/>
          <w:rtl/>
        </w:rPr>
        <w:t xml:space="preserve">طلب المالك: «اكمل غلاف تقرير التقييم الائتماني». بُني التقرير كاملًا على ص 24 من الدليل، بغلاف وصفحات داخلية.</w:t>
      </w:r>
    </w:p>
    <w:p>
      <w:pPr>
        <w:pStyle w:val="ListParagraph"/>
        <w:numPr>
          <w:ilvl w:val="0"/>
          <w:numId w:val="2"/>
        </w:numPr>
        <w:bidi/>
        <w:spacing w:after="70" w:before="0" w:line="300"/>
      </w:pPr>
      <w:r>
        <w:rPr>
          <w:rFonts w:ascii="Arial" w:cs="Arial" w:eastAsia="Arial" w:hAnsi="Arial"/>
          <w:b/>
          <w:bCs/>
          <w:sz w:val="21"/>
          <w:szCs w:val="21"/>
          <w:rtl/>
        </w:rPr>
        <w:t xml:space="preserve">الغلاف:</w:t>
      </w:r>
    </w:p>
    <w:p>
      <w:pPr>
        <w:pStyle w:val="ListParagraph"/>
        <w:numPr>
          <w:ilvl w:val="1"/>
          <w:numId w:val="2"/>
        </w:numPr>
        <w:bidi/>
        <w:spacing w:after="70" w:before="0" w:line="300"/>
      </w:pPr>
      <w:r>
        <w:rPr>
          <w:rFonts w:ascii="Arial" w:cs="Arial" w:eastAsia="Arial" w:hAnsi="Arial"/>
          <w:b w:val="false"/>
          <w:bCs w:val="false"/>
          <w:sz w:val="21"/>
          <w:szCs w:val="21"/>
          <w:rtl/>
        </w:rPr>
        <w:t xml:space="preserve">خلفية بأخضر الخزنة، وعليها الشعار المعكوس ونمط الشقوق المائلة، وفيه شقّان بالنعناعي.</w:t>
      </w:r>
    </w:p>
    <w:p>
      <w:pPr>
        <w:pStyle w:val="ListParagraph"/>
        <w:numPr>
          <w:ilvl w:val="1"/>
          <w:numId w:val="2"/>
        </w:numPr>
        <w:bidi/>
        <w:spacing w:after="70" w:before="0" w:line="300"/>
      </w:pPr>
      <w:r>
        <w:rPr>
          <w:rFonts w:ascii="Arial" w:cs="Arial" w:eastAsia="Arial" w:hAnsi="Arial"/>
          <w:b w:val="false"/>
          <w:bCs w:val="false"/>
          <w:sz w:val="21"/>
          <w:szCs w:val="21"/>
          <w:rtl/>
        </w:rPr>
        <w:t xml:space="preserve">عنوان «تقرير تقييم ائتماني» واسم الشركة عنوانًا كبيرًا.</w:t>
      </w:r>
    </w:p>
    <w:p>
      <w:pPr>
        <w:pStyle w:val="ListParagraph"/>
        <w:numPr>
          <w:ilvl w:val="1"/>
          <w:numId w:val="2"/>
        </w:numPr>
        <w:bidi/>
        <w:spacing w:after="70" w:before="0" w:line="300"/>
      </w:pPr>
      <w:r>
        <w:rPr>
          <w:rFonts w:ascii="Arial" w:cs="Arial" w:eastAsia="Arial" w:hAnsi="Arial"/>
          <w:b w:val="false"/>
          <w:bCs w:val="false"/>
          <w:sz w:val="21"/>
          <w:szCs w:val="21"/>
          <w:rtl/>
        </w:rPr>
        <w:t xml:space="preserve">سنة القوائم المالية وتاريخها، ومرجع التقرير بخط Mono، وتاريخ التقييم ونموذجه.</w:t>
      </w:r>
    </w:p>
    <w:p>
      <w:pPr>
        <w:pStyle w:val="ListParagraph"/>
        <w:numPr>
          <w:ilvl w:val="1"/>
          <w:numId w:val="2"/>
        </w:numPr>
        <w:bidi/>
        <w:spacing w:after="70" w:before="0" w:line="300"/>
      </w:pPr>
      <w:r>
        <w:rPr>
          <w:rFonts w:ascii="Arial" w:cs="Arial" w:eastAsia="Arial" w:hAnsi="Arial"/>
          <w:b w:val="false"/>
          <w:bCs w:val="false"/>
          <w:sz w:val="21"/>
          <w:szCs w:val="21"/>
          <w:rtl/>
        </w:rPr>
        <w:t xml:space="preserve">الدرجة النهائية بحجم كبير، وبجانبها حالة التقييم ودرجة المخاطر والنظرة.</w:t>
      </w:r>
    </w:p>
    <w:p>
      <w:pPr>
        <w:pStyle w:val="ListParagraph"/>
        <w:numPr>
          <w:ilvl w:val="1"/>
          <w:numId w:val="2"/>
        </w:numPr>
        <w:bidi/>
        <w:spacing w:after="70" w:before="0" w:line="300"/>
      </w:pPr>
      <w:r>
        <w:rPr>
          <w:rFonts w:ascii="Arial" w:cs="Arial" w:eastAsia="Arial" w:hAnsi="Arial"/>
          <w:b w:val="false"/>
          <w:bCs w:val="false"/>
          <w:sz w:val="21"/>
          <w:szCs w:val="21"/>
          <w:rtl/>
        </w:rPr>
        <w:t xml:space="preserve">في الأسفل نطاق الاستعمال: «للاستخدام الداخلي في الشركة»، أو «معتمد للعرض على جهات التمويل» إن صادق عليه المعتمد.</w:t>
      </w:r>
    </w:p>
    <w:p>
      <w:pPr>
        <w:pStyle w:val="ListParagraph"/>
        <w:numPr>
          <w:ilvl w:val="0"/>
          <w:numId w:val="2"/>
        </w:numPr>
        <w:bidi/>
        <w:spacing w:after="70" w:before="0" w:line="300"/>
      </w:pPr>
      <w:r>
        <w:rPr>
          <w:rFonts w:ascii="Arial" w:cs="Arial" w:eastAsia="Arial" w:hAnsi="Arial"/>
          <w:b/>
          <w:bCs/>
          <w:sz w:val="21"/>
          <w:szCs w:val="21"/>
          <w:rtl/>
        </w:rPr>
        <w:t xml:space="preserve">صفحة الملخص:</w:t>
      </w:r>
    </w:p>
    <w:p>
      <w:pPr>
        <w:pStyle w:val="ListParagraph"/>
        <w:numPr>
          <w:ilvl w:val="1"/>
          <w:numId w:val="2"/>
        </w:numPr>
        <w:bidi/>
        <w:spacing w:after="70" w:before="0" w:line="300"/>
      </w:pPr>
      <w:r>
        <w:rPr>
          <w:rFonts w:ascii="Arial" w:cs="Arial" w:eastAsia="Arial" w:hAnsi="Arial"/>
          <w:b w:val="false"/>
          <w:bCs w:val="false"/>
          <w:sz w:val="21"/>
          <w:szCs w:val="21"/>
          <w:rtl/>
        </w:rPr>
        <w:t xml:space="preserve">تدرّج الدرجة في خمس خانات: المالية، ثم المؤشرة، ثم المستقلة، ثم النهائية مميّزة بأخضر الخزنة، ثم درجة التسهيل.</w:t>
      </w:r>
    </w:p>
    <w:p>
      <w:pPr>
        <w:pStyle w:val="ListParagraph"/>
        <w:numPr>
          <w:ilvl w:val="1"/>
          <w:numId w:val="2"/>
        </w:numPr>
        <w:bidi/>
        <w:spacing w:after="70" w:before="0" w:line="300"/>
      </w:pPr>
      <w:r>
        <w:rPr>
          <w:rFonts w:ascii="Arial" w:cs="Arial" w:eastAsia="Arial" w:hAnsi="Arial"/>
          <w:b w:val="false"/>
          <w:bCs w:val="false"/>
          <w:sz w:val="21"/>
          <w:szCs w:val="21"/>
          <w:rtl/>
        </w:rPr>
        <w:t xml:space="preserve">التوصية في صندوق بلون درجة المخاطر: أخضر للمنخفضة والمعتدلة، وكهرماني للملحوظة، وأحمر للمرتفعة.</w:t>
      </w:r>
    </w:p>
    <w:p>
      <w:pPr>
        <w:pStyle w:val="ListParagraph"/>
        <w:numPr>
          <w:ilvl w:val="1"/>
          <w:numId w:val="2"/>
        </w:numPr>
        <w:bidi/>
        <w:spacing w:after="70" w:before="0" w:line="300"/>
      </w:pPr>
      <w:r>
        <w:rPr>
          <w:rFonts w:ascii="Arial" w:cs="Arial" w:eastAsia="Arial" w:hAnsi="Arial"/>
          <w:b w:val="false"/>
          <w:bCs w:val="false"/>
          <w:sz w:val="21"/>
          <w:szCs w:val="21"/>
          <w:rtl/>
        </w:rPr>
        <w:t xml:space="preserve">نص الملخص، والحقائق الرئيسية: السيولة، والنظرة، والقطاع، والتغطية، والاكتمال، ودرجة التأكيد، والمراجع.</w:t>
      </w:r>
    </w:p>
    <w:p>
      <w:pPr>
        <w:pStyle w:val="ListParagraph"/>
        <w:numPr>
          <w:ilvl w:val="1"/>
          <w:numId w:val="2"/>
        </w:numPr>
        <w:bidi/>
        <w:spacing w:after="70" w:before="0" w:line="300"/>
      </w:pPr>
      <w:r>
        <w:rPr>
          <w:rFonts w:ascii="Arial" w:cs="Arial" w:eastAsia="Arial" w:hAnsi="Arial"/>
          <w:b w:val="false"/>
          <w:bCs w:val="false"/>
          <w:sz w:val="21"/>
          <w:szCs w:val="21"/>
          <w:rtl/>
        </w:rPr>
        <w:t xml:space="preserve">عدد النتائج من كل نوع.</w:t>
      </w:r>
    </w:p>
    <w:p>
      <w:pPr>
        <w:pStyle w:val="ListParagraph"/>
        <w:numPr>
          <w:ilvl w:val="0"/>
          <w:numId w:val="2"/>
        </w:numPr>
        <w:bidi/>
        <w:spacing w:after="70" w:before="0" w:line="300"/>
      </w:pPr>
      <w:r>
        <w:rPr>
          <w:rFonts w:ascii="Arial" w:cs="Arial" w:eastAsia="Arial" w:hAnsi="Arial"/>
          <w:b/>
          <w:bCs/>
          <w:sz w:val="21"/>
          <w:szCs w:val="21"/>
          <w:rtl/>
        </w:rPr>
        <w:t xml:space="preserve">صفحة العوامل والنتائج:</w:t>
      </w:r>
      <w:r>
        <w:rPr>
          <w:rFonts w:ascii="Arial" w:cs="Arial" w:eastAsia="Arial" w:hAnsi="Arial"/>
          <w:b w:val="false"/>
          <w:bCs w:val="false"/>
          <w:sz w:val="21"/>
          <w:szCs w:val="21"/>
          <w:rtl/>
        </w:rPr>
        <w:t xml:space="preserve"> جدول العوامل بقيمها ودرجاتها وأوزانها بخط Mono، ثم النتائج مجمّعة حسب نوعها في عمودين، ثم تنبيه المنهجية.</w:t>
      </w:r>
    </w:p>
    <w:p>
      <w:pPr>
        <w:pStyle w:val="ListParagraph"/>
        <w:numPr>
          <w:ilvl w:val="0"/>
          <w:numId w:val="2"/>
        </w:numPr>
        <w:bidi/>
        <w:spacing w:after="70" w:before="0" w:line="300"/>
      </w:pPr>
      <w:r>
        <w:rPr>
          <w:rFonts w:ascii="Arial" w:cs="Arial" w:eastAsia="Arial" w:hAnsi="Arial"/>
          <w:b/>
          <w:bCs/>
          <w:sz w:val="21"/>
          <w:szCs w:val="21"/>
          <w:rtl/>
        </w:rPr>
        <w:t xml:space="preserve">الحماية:</w:t>
      </w:r>
    </w:p>
    <w:p>
      <w:pPr>
        <w:pStyle w:val="ListParagraph"/>
        <w:numPr>
          <w:ilvl w:val="1"/>
          <w:numId w:val="2"/>
        </w:numPr>
        <w:bidi/>
        <w:spacing w:after="70" w:before="0" w:line="300"/>
      </w:pPr>
      <w:r>
        <w:rPr>
          <w:rFonts w:ascii="Arial" w:cs="Arial" w:eastAsia="Arial" w:hAnsi="Arial"/>
          <w:b w:val="false"/>
          <w:bCs w:val="false"/>
          <w:sz w:val="21"/>
          <w:szCs w:val="21"/>
          <w:rtl/>
        </w:rPr>
        <w:t xml:space="preserve">التقييم غير المعتمد أو التجريبي يحمل على كل صفحة علامة «مسودة — غير معتمد» أو «تجريبي — غير معتمد».</w:t>
      </w:r>
    </w:p>
    <w:p>
      <w:pPr>
        <w:pStyle w:val="ListParagraph"/>
        <w:numPr>
          <w:ilvl w:val="1"/>
          <w:numId w:val="2"/>
        </w:numPr>
        <w:bidi/>
        <w:spacing w:after="70" w:before="0" w:line="300"/>
      </w:pPr>
      <w:r>
        <w:rPr>
          <w:rFonts w:ascii="Arial" w:cs="Arial" w:eastAsia="Arial" w:hAnsi="Arial"/>
          <w:b w:val="false"/>
          <w:bCs w:val="false"/>
          <w:sz w:val="21"/>
          <w:szCs w:val="21"/>
          <w:rtl/>
        </w:rPr>
        <w:t xml:space="preserve">كل طباعة تُسجَّل في سجل التدقيق (CREDIT_REPORT_PRINTED).</w:t>
      </w:r>
    </w:p>
    <w:p>
      <w:pPr>
        <w:pStyle w:val="ListParagraph"/>
        <w:numPr>
          <w:ilvl w:val="1"/>
          <w:numId w:val="2"/>
        </w:numPr>
        <w:bidi/>
        <w:spacing w:after="70" w:before="0" w:line="300"/>
      </w:pPr>
      <w:r>
        <w:rPr>
          <w:rFonts w:ascii="Arial" w:cs="Arial" w:eastAsia="Arial" w:hAnsi="Arial"/>
          <w:b w:val="false"/>
          <w:bCs w:val="false"/>
          <w:sz w:val="21"/>
          <w:szCs w:val="21"/>
          <w:rtl/>
        </w:rPr>
        <w:t xml:space="preserve">القيم كلها مرمَّزة، ولا شيفرة في الصفحة.</w:t>
      </w:r>
    </w:p>
    <w:p>
      <w:pPr>
        <w:pStyle w:val="ListParagraph"/>
        <w:numPr>
          <w:ilvl w:val="0"/>
          <w:numId w:val="2"/>
        </w:numPr>
        <w:bidi/>
        <w:spacing w:after="70" w:before="0" w:line="300"/>
      </w:pPr>
      <w:r>
        <w:rPr>
          <w:rFonts w:ascii="Arial" w:cs="Arial" w:eastAsia="Arial" w:hAnsi="Arial"/>
          <w:b/>
          <w:bCs/>
          <w:sz w:val="21"/>
          <w:szCs w:val="21"/>
          <w:rtl/>
        </w:rPr>
        <w:t xml:space="preserve">من أين يُفتح:</w:t>
      </w:r>
      <w:r>
        <w:rPr>
          <w:rFonts w:ascii="Arial" w:cs="Arial" w:eastAsia="Arial" w:hAnsi="Arial"/>
          <w:b w:val="false"/>
          <w:bCs w:val="false"/>
          <w:sz w:val="21"/>
          <w:szCs w:val="21"/>
          <w:rtl/>
        </w:rPr>
        <w:t xml:space="preserve"> في شاشة التقييم الائتماني رابطان: «طباعة التقرير» يفتحه في المتصفح، و«تنزيل PDF» ينزّله ملفًا. وكلاهما بالعربية أو الإنجليزية حسب لغة المستخدم.</w:t>
      </w:r>
    </w:p>
    <w:p>
      <w:pPr>
        <w:bidi/>
        <w:spacing w:after="60" w:before="0"/>
      </w:pPr>
    </w:p>
    <w:p>
      <w:pPr>
        <w:keepNext/>
        <w:bidi/>
        <w:spacing w:after="60" w:before="160"/>
        <w:jc w:val="center"/>
      </w:pPr>
      <w:r>
        <w:drawing>
          <wp:inline distT="0" distB="0" distL="0" distR="0">
            <wp:extent cx="6096000" cy="4276725"/>
            <wp:effectExtent t="0" r="0" b="0" l="0"/>
            <wp:docPr id="1" name="diagrams/brand/credit-report-ar.png" descr="غلاف التقرير وصفحة الملخص" title="غلاف التقرير وصفحة الملخ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4276725"/>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غلاف التقرير وصفحة الملخص</w:t>
      </w:r>
    </w:p>
    <w:p>
      <w:pPr>
        <w:bidi/>
        <w:spacing w:after="110" w:before="0" w:line="312"/>
      </w:pPr>
      <w:r>
        <w:rPr>
          <w:rFonts w:ascii="Arial" w:cs="Arial" w:eastAsia="Arial" w:hAnsi="Arial"/>
          <w:b w:val="false"/>
          <w:bCs w:val="false"/>
          <w:sz w:val="21"/>
          <w:szCs w:val="21"/>
          <w:rtl/>
        </w:rPr>
        <w:t xml:space="preserve">الصورة من مثال الاختبار (docs/35 §14)، والبيانات فيه توضيحية.</w:t>
      </w:r>
    </w:p>
    <w:p>
      <w:pPr>
        <w:pStyle w:val="Heading1"/>
        <w:bidi/>
      </w:pPr>
      <w:bookmarkStart w:name="_sec8" w:id="8"/>
      <w:r>
        <w:rPr>
          <w:rFonts w:ascii="Arial" w:cs="Arial" w:eastAsia="Arial" w:hAnsi="Arial"/>
          <w:b/>
          <w:bCs/>
          <w:color w:val="1F3A5F"/>
          <w:sz w:val="32"/>
          <w:szCs w:val="32"/>
          <w:rtl/>
        </w:rPr>
        <w:t xml:space="preserve">8. ما بقي</w:t>
      </w:r>
      <w:bookmarkEnd w:id="8"/>
    </w:p>
    <w:p>
      <w:pPr>
        <w:pStyle w:val="ListParagraph"/>
        <w:numPr>
          <w:ilvl w:val="0"/>
          <w:numId w:val="2"/>
        </w:numPr>
        <w:bidi/>
        <w:spacing w:after="70" w:before="0" w:line="300"/>
      </w:pPr>
      <w:r>
        <w:rPr>
          <w:rFonts w:ascii="Arial" w:cs="Arial" w:eastAsia="Arial" w:hAnsi="Arial"/>
          <w:b/>
          <w:bCs/>
          <w:sz w:val="21"/>
          <w:szCs w:val="21"/>
          <w:rtl/>
        </w:rPr>
        <w:t xml:space="preserve">ملف SVG الرسمي للشعار</w:t>
      </w:r>
      <w:r>
        <w:rPr>
          <w:rFonts w:ascii="Arial" w:cs="Arial" w:eastAsia="Arial" w:hAnsi="Arial"/>
          <w:b w:val="false"/>
          <w:bCs w:val="false"/>
          <w:sz w:val="21"/>
          <w:szCs w:val="21"/>
          <w:rtl/>
        </w:rPr>
        <w:t xml:space="preserve">: الشعار مرسوم من قياسات الدليل. إن وُجد ملف SVG معتمد من المصمم، يوضع مكانه في </w:t>
      </w:r>
      <w:r>
        <w:rPr>
          <w:rFonts w:ascii="Courier New" w:cs="Courier New" w:eastAsia="Courier New" w:hAnsi="Courier New"/>
          <w:b w:val="false"/>
          <w:bCs w:val="false"/>
          <w:color w:val="1F2937"/>
          <w:sz w:val="18"/>
          <w:szCs w:val="18"/>
          <w:shd w:fill="F1F3F5" w:color="auto" w:val="clear"/>
          <w:rtl/>
        </w:rPr>
        <w:t xml:space="preserve">‎app/web/src/brand/‎</w:t>
      </w:r>
      <w:r>
        <w:rPr>
          <w:rFonts w:ascii="Arial" w:cs="Arial" w:eastAsia="Arial" w:hAnsi="Arial"/>
          <w:b w:val="false"/>
          <w:bCs w:val="false"/>
          <w:sz w:val="21"/>
          <w:szCs w:val="21"/>
          <w:rtl/>
        </w:rPr>
        <w:t xml:space="preserve"> دون أي تغيير آخر.</w:t>
      </w:r>
    </w:p>
    <w:p>
      <w:pPr>
        <w:bidi/>
        <w:spacing w:after="60" w:before="0"/>
      </w:pPr>
    </w:p>
    <w:sectPr>
      <w:headerReference w:type="default" r:id="rId7"/>
      <w:footerReference w:type="default" r:id="rId8"/>
      <w:pgSz w:w="11906" w:h="16838" w:orient="portrait"/>
      <w:pgMar w:top="1134" w:right="1021" w:bottom="1134" w:left="1021" w:header="500" w:footer="500"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B6670"/>
        <w:sz w:val="17"/>
        <w:szCs w:val="17"/>
        <w:rtl/>
      </w:rPr>
      <w:t xml:space="preserve">صفحة </w:t>
    </w:r>
    <w:r>
      <w:rPr>
        <w:rFonts w:ascii="Arial" w:cs="Arial" w:eastAsia="Arial" w:hAnsi="Arial"/>
        <w:color w:val="5B6670"/>
        <w:sz w:val="17"/>
        <w:szCs w:val="17"/>
        <w:rtl/>
      </w:rPr>
      <w:fldChar w:fldCharType="begin"/>
      <w:instrText xml:space="preserve">PAGE</w:instrText>
      <w:fldChar w:fldCharType="separate"/>
      <w:fldChar w:fldCharType="end"/>
    </w:r>
    <w:r>
      <w:rPr>
        <w:rFonts w:ascii="Arial" w:cs="Arial" w:eastAsia="Arial" w:hAnsi="Arial"/>
        <w:color w:val="5B6670"/>
        <w:sz w:val="17"/>
        <w:szCs w:val="17"/>
        <w:rtl/>
      </w:rPr>
      <w:t xml:space="preserve"> من </w:t>
    </w:r>
    <w:r>
      <w:rPr>
        <w:rFonts w:ascii="Arial" w:cs="Arial" w:eastAsia="Arial" w:hAnsi="Arial"/>
        <w:color w:val="5B6670"/>
        <w:sz w:val="17"/>
        <w:szCs w:val="17"/>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6" w:sz="4" w:space="4"/>
      </w:pBdr>
      <w:bidi/>
      <w:spacing w:after="0"/>
    </w:pPr>
    <w:r>
      <w:rPr>
        <w:rFonts w:ascii="Arial" w:cs="Arial" w:eastAsia="Arial" w:hAnsi="Arial"/>
        <w:color w:val="5B6670"/>
        <w:sz w:val="17"/>
        <w:szCs w:val="17"/>
        <w:rtl/>
      </w:rPr>
      <w:t xml:space="preserve">الهوية البصرية · BankFas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4" w:hanging="284"/>
      </w:pPr>
    </w:lvl>
    <w:lvl w:ilvl="1" w15:tentative="1">
      <w:start w:val="1"/>
      <w:numFmt w:val="bullet"/>
      <w:lvlText w:val="–"/>
      <w:lvlJc w:val="left"/>
      <w:pPr>
        <w:ind w:left="1028" w:hanging="284"/>
      </w:pPr>
    </w:lvl>
    <w:lvl w:ilvl="2" w15:tentative="1">
      <w:start w:val="1"/>
      <w:numFmt w:val="bullet"/>
      <w:lvlText w:val="·"/>
      <w:lvlJc w:val="left"/>
      <w:pPr>
        <w:ind w:left="1482" w:hanging="284"/>
      </w:pPr>
    </w:lvl>
    <w:lvl w:ilvl="3" w15:tentative="1">
      <w:start w:val="1"/>
      <w:numFmt w:val="bullet"/>
      <w:lvlText w:val="·"/>
      <w:lvlJc w:val="left"/>
      <w:pPr>
        <w:ind w:left="1936" w:hanging="28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tl/>
        <w:lang w:val="ar-SA" w:bidi="ar-SA"/>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bidi/>
      <w:spacing w:after="160" w:before="0"/>
    </w:pPr>
    <w:rPr>
      <w:b/>
      <w:bCs/>
      <w:color w:val="1F3A5F"/>
      <w:sz w:val="48"/>
      <w:szCs w:val="48"/>
    </w:rPr>
  </w:style>
  <w:style w:type="paragraph" w:styleId="Heading1">
    <w:name w:val="heading 1"/>
    <w:basedOn w:val="Normal"/>
    <w:next w:val="Normal"/>
    <w:qFormat/>
    <w:pPr>
      <w:keepNext/>
      <w:pBdr>
        <w:bottom w:val="single" w:color="1F3A5F" w:sz="8" w:space="3"/>
      </w:pBdr>
      <w:bidi/>
      <w:spacing w:after="140" w:before="380"/>
      <w:outlineLvl w:val="0"/>
    </w:pPr>
    <w:rPr>
      <w:b/>
      <w:bCs/>
      <w:color w:val="1F3A5F"/>
      <w:sz w:val="32"/>
      <w:szCs w:val="32"/>
    </w:rPr>
  </w:style>
  <w:style w:type="paragraph" w:styleId="Heading2">
    <w:name w:val="heading 2"/>
    <w:basedOn w:val="Normal"/>
    <w:next w:val="Normal"/>
    <w:qFormat/>
    <w:pPr>
      <w:keepNext/>
      <w:bidi/>
      <w:spacing w:after="100" w:before="260"/>
      <w:outlineLvl w:val="1"/>
    </w:pPr>
    <w:rPr>
      <w:b/>
      <w:bCs/>
      <w:color w:val="2B5C8A"/>
      <w:sz w:val="26"/>
      <w:szCs w:val="26"/>
    </w:rPr>
  </w:style>
  <w:style w:type="paragraph" w:styleId="Heading3">
    <w:name w:val="heading 3"/>
    <w:basedOn w:val="Normal"/>
    <w:next w:val="Normal"/>
    <w:qFormat/>
    <w:pPr>
      <w:keepNext/>
      <w:bidi/>
      <w:spacing w:after="80" w:before="200"/>
      <w:outlineLvl w:val="2"/>
    </w:pPr>
    <w:rPr>
      <w:b/>
      <w:bCs/>
      <w:color w:val="2B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34b3b4561bd36a7a37b4f088ebfc3ac587a53b8.png"/><Relationship Id="rId10" Type="http://schemas.openxmlformats.org/officeDocument/2006/relationships/image" Target="media/7a40f03bb3f719042f45dba12bc81ab38d2b0ed2.png"/><Relationship Id="rId11" Type="http://schemas.openxmlformats.org/officeDocument/2006/relationships/image" Target="media/ca94491bdc38339af772b9551ea5d6ca228d99d5.png"/><Relationship Id="rId12" Type="http://schemas.openxmlformats.org/officeDocument/2006/relationships/image" Target="media/2975129e9d2976d0a814e1368457333f76c89e3b.png"/><Relationship Id="rId13" Type="http://schemas.openxmlformats.org/officeDocument/2006/relationships/image" Target="media/b9ee666d9de26ed9ad35e7405807e2aef612bcac.png"/><Relationship Id="rId14" Type="http://schemas.openxmlformats.org/officeDocument/2006/relationships/image" Target="media/2c767df61a775e1cdedaea187536d506c2d0486c.png"/><Relationship Id="rId15" Type="http://schemas.openxmlformats.org/officeDocument/2006/relationships/image" Target="media/a90de03ce522e59b43a8ef87ba738c0b19d93265.png"/><Relationship Id="rId16" Type="http://schemas.openxmlformats.org/officeDocument/2006/relationships/image" Target="media/4d9c7c2b41b9ab0e4aa937fc24d440235bdd8b61.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تطبيق الهوية البصرية على الموقع (الصف 58 في docs/31)</dc:title>
  <dc:creator>Claude</dc:creator>
  <dc:description>BankFas database design document</dc:description>
  <cp:lastModifiedBy>Un-named</cp:lastModifiedBy>
  <cp:revision>1</cp:revision>
  <dcterms:created xsi:type="dcterms:W3CDTF">2026-10-25T20:49:38.012Z</dcterms:created>
  <dcterms:modified xsi:type="dcterms:W3CDTF">2026-10-25T20:49:38.013Z</dcterms:modified>
</cp:coreProperties>
</file>

<file path=docProps/custom.xml><?xml version="1.0" encoding="utf-8"?>
<Properties xmlns="http://schemas.openxmlformats.org/officeDocument/2006/custom-properties" xmlns:vt="http://schemas.openxmlformats.org/officeDocument/2006/docPropsVTypes"/>
</file>