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247 tables · 20 schemas · 912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247 tables in 20 schemas; 912 foreign keys; 650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247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52</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wfl</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fin</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ref</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90 diagrams cover 247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31</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34</w:t>
            </w:r>
          </w:p>
        </w:tc>
        <w:tc>
          <w:tcPr>
            <w:tcW w:type="dxa" w:w="2268"/>
          </w:tcPr>
          <w:p>
            <w:pPr>
              <w:spacing w:after="0" w:before="0"/>
            </w:pPr>
            <w:r/>
            <w:r>
              <w:rPr>
                <w:rFonts w:ascii="Arial" w:hAnsi="Arial"/>
                <w:b w:val="0"/>
                <w:sz w:val="17"/>
              </w:rPr>
              <w:t>89</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7463873"/>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7463873"/>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BaseCurrencyId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org.CompanyTaxRate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ParentDepartmentId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HeadUserId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HolderPartyId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IntermediatePartyId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411730" cy="5334915"/>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411730" cy="5334915"/>
                    </a:xfrm>
                    <a:prstGeom prst="rect"/>
                  </pic:spPr>
                </pic:pic>
              </a:graphicData>
            </a:graphic>
          </wp:inline>
        </w:drawing>
      </w:r>
    </w:p>
    <w:p>
      <w:pPr>
        <w:spacing w:after="120"/>
        <w:jc w:val="center"/>
      </w:pPr>
      <w:r>
        <w:rPr>
          <w:rFonts w:ascii="Arial" w:hAnsi="Arial"/>
          <w:b w:val="0"/>
          <w:i/>
          <w:color w:val="6B7280"/>
          <w:sz w:val="16"/>
        </w:rPr>
        <w:t>Figure 31  Global references (shared, read-only)  ·  5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ref.Industry</w:t>
            </w:r>
          </w:p>
        </w:tc>
        <w:tc>
          <w:tcPr>
            <w:tcW w:type="dxa" w:w="6690"/>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2948"/>
            <w:shd w:val="clear" w:color="auto" w:fill="E8EEF6"/>
          </w:tcPr>
          <w:p>
            <w:pPr>
              <w:spacing w:after="0" w:before="0"/>
            </w:pPr>
            <w:r/>
            <w:r>
              <w:rPr>
                <w:rFonts w:ascii="Arial" w:hAnsi="Arial"/>
                <w:b w:val="0"/>
                <w:sz w:val="15"/>
              </w:rPr>
              <w:t>IndustryId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ref.UcpArticle</w:t>
            </w:r>
          </w:p>
        </w:tc>
        <w:tc>
          <w:tcPr>
            <w:tcW w:type="dxa" w:w="6690"/>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tcPr>
          <w:p>
            <w:pPr>
              <w:spacing w:after="0" w:before="0"/>
            </w:pPr>
            <w:r/>
            <w:r>
              <w:rPr>
                <w:rFonts w:ascii="Arial" w:hAnsi="Arial"/>
                <w:b w:val="0"/>
                <w:sz w:val="15"/>
              </w:rPr>
              <w:t>UcpArticleId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ParentId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7909469"/>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7909469"/>
                    </a:xfrm>
                    <a:prstGeom prst="rect"/>
                  </pic:spPr>
                </pic:pic>
              </a:graphicData>
            </a:graphic>
          </wp:inline>
        </w:drawing>
      </w:r>
    </w:p>
    <w:p>
      <w:pPr>
        <w:spacing w:after="120"/>
        <w:jc w:val="center"/>
      </w:pPr>
      <w:r>
        <w:rPr>
          <w:rFonts w:ascii="Arial" w:hAnsi="Arial"/>
          <w:b w:val="0"/>
          <w:i/>
          <w:color w:val="6B7280"/>
          <w:sz w:val="16"/>
        </w:rPr>
        <w:t>Figure 32  Facilities and revisions (part 1 of 2)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w:t>
            </w:r>
          </w:p>
        </w:tc>
        <w:tc>
          <w:tcPr>
            <w:tcW w:type="dxa" w:w="6690"/>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shd w:val="clear" w:color="auto" w:fill="E8EEF6"/>
          </w:tcPr>
          <w:p>
            <w:pPr>
              <w:spacing w:after="0" w:before="0"/>
            </w:pPr>
            <w:r/>
            <w:r>
              <w:rPr>
                <w:rFonts w:ascii="Arial" w:hAnsi="Arial"/>
                <w:b w:val="0"/>
                <w:sz w:val="15"/>
              </w:rPr>
              <w:t>FacilityLenderId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 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RootId, FacilityLenderId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63590" cy="6150328"/>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63590" cy="6150328"/>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fac.OutstandingSnapshot</w:t>
            </w:r>
          </w:p>
        </w:tc>
        <w:tc>
          <w:tcPr>
            <w:tcW w:type="dxa" w:w="6690"/>
          </w:tcPr>
          <w:p>
            <w:pPr>
              <w:spacing w:after="0" w:before="0"/>
            </w:pPr>
            <w:r/>
            <w:r>
              <w:rPr>
                <w:rFonts w:ascii="Arial" w:hAnsi="Arial"/>
                <w:b w:val="0"/>
                <w:sz w:val="15"/>
              </w:rPr>
              <w:t>Snapshot of the recognised outstanding balance (FR-FAC-009, BR-FAC-017); PctOfLimit is derived and not stored</w:t>
            </w:r>
          </w:p>
        </w:tc>
        <w:tc>
          <w:tcPr>
            <w:tcW w:type="dxa" w:w="2948"/>
          </w:tcPr>
          <w:p>
            <w:pPr>
              <w:spacing w:after="0" w:before="0"/>
            </w:pPr>
            <w:r/>
            <w:r>
              <w:rPr>
                <w:rFonts w:ascii="Arial" w:hAnsi="Arial"/>
                <w:b w:val="0"/>
                <w:sz w:val="15"/>
              </w:rPr>
              <w:t>OutstandingSnapshotId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fac.FacilityLenderDecision</w:t>
            </w:r>
          </w:p>
        </w:tc>
        <w:tc>
          <w:tcPr>
            <w:tcW w:type="dxa" w:w="6690"/>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948"/>
            <w:shd w:val="clear" w:color="auto" w:fill="E8EEF6"/>
          </w:tcPr>
          <w:p>
            <w:pPr>
              <w:spacing w:after="0" w:before="0"/>
            </w:pPr>
            <w:r/>
            <w:r>
              <w:rPr>
                <w:rFonts w:ascii="Arial" w:hAnsi="Arial"/>
                <w:b w:val="0"/>
                <w:sz w:val="15"/>
              </w:rPr>
              <w:t>FacilityLenderDecisionId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CandidateASourceDocumentId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CandidateBSourceDocumentId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ResolvedBy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2114763"/>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2114763"/>
                    </a:xfrm>
                    <a:prstGeom prst="rect"/>
                  </pic:spPr>
                </pic:pic>
              </a:graphicData>
            </a:graphic>
          </wp:inline>
        </w:drawing>
      </w:r>
    </w:p>
    <w:p>
      <w:pPr>
        <w:spacing w:after="120"/>
        <w:jc w:val="center"/>
      </w:pPr>
      <w:r>
        <w:rPr>
          <w:rFonts w:ascii="Arial" w:hAnsi="Arial"/>
          <w:b w:val="0"/>
          <w:i/>
          <w:color w:val="6B7280"/>
          <w:sz w:val="16"/>
        </w:rPr>
        <w:t>Figure 48  Financial statements and balances (part 1 of 18)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691987"/>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154420" cy="7691987"/>
                    </a:xfrm>
                    <a:prstGeom prst="rect"/>
                  </pic:spPr>
                </pic:pic>
              </a:graphicData>
            </a:graphic>
          </wp:inline>
        </w:drawing>
      </w:r>
    </w:p>
    <w:p>
      <w:pPr>
        <w:spacing w:after="120"/>
        <w:jc w:val="center"/>
      </w:pPr>
      <w:r>
        <w:rPr>
          <w:rFonts w:ascii="Arial" w:hAnsi="Arial"/>
          <w:b w:val="0"/>
          <w:i/>
          <w:color w:val="6B7280"/>
          <w:sz w:val="16"/>
        </w:rPr>
        <w:t>Figure 49  Financial statements and balances (part 2 of 18)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3532669"/>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786880" cy="3532669"/>
                    </a:xfrm>
                    <a:prstGeom prst="rect"/>
                  </pic:spPr>
                </pic:pic>
              </a:graphicData>
            </a:graphic>
          </wp:inline>
        </w:drawing>
      </w:r>
    </w:p>
    <w:p>
      <w:pPr>
        <w:spacing w:after="120"/>
        <w:jc w:val="center"/>
      </w:pPr>
      <w:r>
        <w:rPr>
          <w:rFonts w:ascii="Arial" w:hAnsi="Arial"/>
          <w:b w:val="0"/>
          <w:i/>
          <w:color w:val="6B7280"/>
          <w:sz w:val="16"/>
        </w:rPr>
        <w:t>Figure 50  Financial statements and balances (part 3 of 18)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fin.CompanyProductLine</w:t>
            </w:r>
          </w:p>
        </w:tc>
        <w:tc>
          <w:tcPr>
            <w:tcW w:type="dxa" w:w="6690"/>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2948"/>
          </w:tcPr>
          <w:p>
            <w:pPr>
              <w:spacing w:after="0" w:before="0"/>
            </w:pPr>
            <w:r/>
            <w:r>
              <w:rPr>
                <w:rFonts w:ascii="Arial" w:hAnsi="Arial"/>
                <w:b w:val="0"/>
                <w:sz w:val="15"/>
              </w:rPr>
              <w:t>CompanyProductLineId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fin.ConsolidationMember</w:t>
            </w:r>
          </w:p>
        </w:tc>
        <w:tc>
          <w:tcPr>
            <w:tcW w:type="dxa" w:w="6690"/>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shd w:val="clear" w:color="auto" w:fill="E8EEF6"/>
          </w:tcPr>
          <w:p>
            <w:pPr>
              <w:spacing w:after="0" w:before="0"/>
            </w:pPr>
            <w:r/>
            <w:r>
              <w:rPr>
                <w:rFonts w:ascii="Arial" w:hAnsi="Arial"/>
                <w:b w:val="0"/>
                <w:sz w:val="15"/>
              </w:rPr>
              <w:t>ConsolidationMemberId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fin.CompanyProductLine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fin.CompanyProductLine</w:t>
            </w:r>
          </w:p>
        </w:tc>
        <w:tc>
          <w:tcPr>
            <w:tcW w:type="dxa" w:w="2948"/>
            <w:shd w:val="clear" w:color="auto" w:fill="E8EEF6"/>
          </w:tcPr>
          <w:p>
            <w:pPr>
              <w:spacing w:after="0" w:before="0"/>
            </w:pPr>
            <w:r/>
            <w:r>
              <w:rPr>
                <w:rFonts w:ascii="Arial" w:hAnsi="Arial"/>
                <w:b w:val="0"/>
                <w:sz w:val="15"/>
              </w:rPr>
              <w:t>ProductCategoryId</w:t>
            </w:r>
          </w:p>
        </w:tc>
        <w:tc>
          <w:tcPr>
            <w:tcW w:type="dxa" w:w="2721"/>
            <w:shd w:val="clear" w:color="auto" w:fill="E8EEF6"/>
          </w:tcPr>
          <w:p>
            <w:pPr>
              <w:spacing w:after="0" w:before="0"/>
            </w:pPr>
            <w:r/>
            <w:r>
              <w:rPr>
                <w:rFonts w:ascii="Arial" w:hAnsi="Arial"/>
                <w:b w:val="0"/>
                <w:sz w:val="15"/>
              </w:rPr>
              <w:t>fin.ProductCategory</w:t>
            </w:r>
          </w:p>
        </w:tc>
        <w:tc>
          <w:tcPr>
            <w:tcW w:type="dxa" w:w="2948"/>
            <w:shd w:val="clear" w:color="auto" w:fill="E8EEF6"/>
          </w:tcPr>
          <w:p>
            <w:pPr>
              <w:spacing w:after="0" w:before="0"/>
            </w:pPr>
            <w:r/>
            <w:r>
              <w:rPr>
                <w:rFonts w:ascii="Arial" w:hAnsi="Arial"/>
                <w:b w:val="0"/>
                <w:sz w:val="15"/>
              </w:rPr>
              <w:t>ProductCategoryId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781408"/>
            <wp:docPr id="51" name="Picture 51"/>
            <wp:cNvGraphicFramePr>
              <a:graphicFrameLocks noChangeAspect="1"/>
            </wp:cNvGraphicFramePr>
            <a:graphic>
              <a:graphicData uri="http://schemas.openxmlformats.org/drawingml/2006/picture">
                <pic:pic>
                  <pic:nvPicPr>
                    <pic:cNvPr id="0" name="m5_financials_4.png"/>
                    <pic:cNvPicPr/>
                  </pic:nvPicPr>
                  <pic:blipFill>
                    <a:blip r:embed="rId61"/>
                    <a:stretch>
                      <a:fillRect/>
                    </a:stretch>
                  </pic:blipFill>
                  <pic:spPr>
                    <a:xfrm>
                      <a:off x="0" y="0"/>
                      <a:ext cx="6015990" cy="2781408"/>
                    </a:xfrm>
                    <a:prstGeom prst="rect"/>
                  </pic:spPr>
                </pic:pic>
              </a:graphicData>
            </a:graphic>
          </wp:inline>
        </w:drawing>
      </w:r>
    </w:p>
    <w:p>
      <w:pPr>
        <w:spacing w:after="120"/>
        <w:jc w:val="center"/>
      </w:pPr>
      <w:r>
        <w:rPr>
          <w:rFonts w:ascii="Arial" w:hAnsi="Arial"/>
          <w:b w:val="0"/>
          <w:i/>
          <w:color w:val="6B7280"/>
          <w:sz w:val="16"/>
        </w:rPr>
        <w:t>Figure 51  Financial statements and balances (part 4 of 18)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fin.CountryRegion</w:t>
            </w:r>
          </w:p>
        </w:tc>
        <w:tc>
          <w:tcPr>
            <w:tcW w:type="dxa" w:w="6690"/>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2948"/>
          </w:tcPr>
          <w:p>
            <w:pPr>
              <w:spacing w:after="0" w:before="0"/>
            </w:pPr>
            <w:r/>
            <w:r>
              <w:rPr>
                <w:rFonts w:ascii="Arial" w:hAnsi="Arial"/>
                <w:b w:val="0"/>
                <w:sz w:val="15"/>
              </w:rPr>
              <w:t>CountryRegionId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fin.CountryRiskProfile</w:t>
            </w:r>
          </w:p>
        </w:tc>
        <w:tc>
          <w:tcPr>
            <w:tcW w:type="dxa" w:w="6690"/>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948"/>
            <w:shd w:val="clear" w:color="auto" w:fill="E8EEF6"/>
          </w:tcPr>
          <w:p>
            <w:pPr>
              <w:spacing w:after="0" w:before="0"/>
            </w:pPr>
            <w:r/>
            <w:r>
              <w:rPr>
                <w:rFonts w:ascii="Arial" w:hAnsi="Arial"/>
                <w:b w:val="0"/>
                <w:sz w:val="15"/>
              </w:rPr>
              <w:t>CountryRiskProfileId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fin.CountryRegion</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SovereignRatingGradeId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24270" cy="7217328"/>
            <wp:docPr id="52" name="Picture 52"/>
            <wp:cNvGraphicFramePr>
              <a:graphicFrameLocks noChangeAspect="1"/>
            </wp:cNvGraphicFramePr>
            <a:graphic>
              <a:graphicData uri="http://schemas.openxmlformats.org/drawingml/2006/picture">
                <pic:pic>
                  <pic:nvPicPr>
                    <pic:cNvPr id="0" name="m5_financials_5.png"/>
                    <pic:cNvPicPr/>
                  </pic:nvPicPr>
                  <pic:blipFill>
                    <a:blip r:embed="rId62"/>
                    <a:stretch>
                      <a:fillRect/>
                    </a:stretch>
                  </pic:blipFill>
                  <pic:spPr>
                    <a:xfrm>
                      <a:off x="0" y="0"/>
                      <a:ext cx="6224270" cy="7217328"/>
                    </a:xfrm>
                    <a:prstGeom prst="rect"/>
                  </pic:spPr>
                </pic:pic>
              </a:graphicData>
            </a:graphic>
          </wp:inline>
        </w:drawing>
      </w:r>
    </w:p>
    <w:p>
      <w:pPr>
        <w:spacing w:after="120"/>
        <w:jc w:val="center"/>
      </w:pPr>
      <w:r>
        <w:rPr>
          <w:rFonts w:ascii="Arial" w:hAnsi="Arial"/>
          <w:b w:val="0"/>
          <w:i/>
          <w:color w:val="6B7280"/>
          <w:sz w:val="16"/>
        </w:rPr>
        <w:t>Figure 52  Financial statements and balances (part 5 of 18)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w:t>
            </w:r>
          </w:p>
        </w:tc>
        <w:tc>
          <w:tcPr>
            <w:tcW w:type="dxa" w:w="6690"/>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948"/>
          </w:tcPr>
          <w:p>
            <w:pPr>
              <w:spacing w:after="0" w:before="0"/>
            </w:pPr>
            <w:r/>
            <w:r>
              <w:rPr>
                <w:rFonts w:ascii="Arial" w:hAnsi="Arial"/>
                <w:b w:val="0"/>
                <w:sz w:val="15"/>
              </w:rPr>
              <w:t>CreditAssessmentId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CompanyId, 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CompanyId, 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UsedPriorStatementId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FinancialGradeId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IndicatedGradeId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StandaloneGradeId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FacilityGradeId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IndustryId</w:t>
            </w:r>
          </w:p>
        </w:tc>
        <w:tc>
          <w:tcPr>
            <w:tcW w:type="dxa" w:w="2721"/>
            <w:shd w:val="clear" w:color="auto" w:fill="E8EEF6"/>
          </w:tcPr>
          <w:p>
            <w:pPr>
              <w:spacing w:after="0" w:before="0"/>
            </w:pPr>
            <w:r/>
            <w:r>
              <w:rPr>
                <w:rFonts w:ascii="Arial" w:hAnsi="Arial"/>
                <w:b w:val="0"/>
                <w:sz w:val="15"/>
              </w:rPr>
              <w:t>ref.Industry</w:t>
            </w:r>
          </w:p>
        </w:tc>
        <w:tc>
          <w:tcPr>
            <w:tcW w:type="dxa" w:w="2948"/>
            <w:shd w:val="clear" w:color="auto" w:fill="E8EEF6"/>
          </w:tcPr>
          <w:p>
            <w:pPr>
              <w:spacing w:after="0" w:before="0"/>
            </w:pPr>
            <w:r/>
            <w:r>
              <w:rPr>
                <w:rFonts w:ascii="Arial" w:hAnsi="Arial"/>
                <w:b w:val="0"/>
                <w:sz w:val="15"/>
              </w:rPr>
              <w:t>IndustryId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MarketCountryId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AnchorGradeId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CountryCeilingGradeId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6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83020" cy="2115207"/>
            <wp:docPr id="53" name="Picture 53"/>
            <wp:cNvGraphicFramePr>
              <a:graphicFrameLocks noChangeAspect="1"/>
            </wp:cNvGraphicFramePr>
            <a:graphic>
              <a:graphicData uri="http://schemas.openxmlformats.org/drawingml/2006/picture">
                <pic:pic>
                  <pic:nvPicPr>
                    <pic:cNvPr id="0" name="m5_financials_6.png"/>
                    <pic:cNvPicPr/>
                  </pic:nvPicPr>
                  <pic:blipFill>
                    <a:blip r:embed="rId63"/>
                    <a:stretch>
                      <a:fillRect/>
                    </a:stretch>
                  </pic:blipFill>
                  <pic:spPr>
                    <a:xfrm>
                      <a:off x="0" y="0"/>
                      <a:ext cx="6383020" cy="2115207"/>
                    </a:xfrm>
                    <a:prstGeom prst="rect"/>
                  </pic:spPr>
                </pic:pic>
              </a:graphicData>
            </a:graphic>
          </wp:inline>
        </w:drawing>
      </w:r>
    </w:p>
    <w:p>
      <w:pPr>
        <w:spacing w:after="120"/>
        <w:jc w:val="center"/>
      </w:pPr>
      <w:r>
        <w:rPr>
          <w:rFonts w:ascii="Arial" w:hAnsi="Arial"/>
          <w:b w:val="0"/>
          <w:i/>
          <w:color w:val="6B7280"/>
          <w:sz w:val="16"/>
        </w:rPr>
        <w:t>Figure 53  Financial statements and balances (part 6 of 18)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fin.CreditAssessmentBureau</w:t>
            </w:r>
          </w:p>
        </w:tc>
        <w:tc>
          <w:tcPr>
            <w:tcW w:type="dxa" w:w="6690"/>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2948"/>
          </w:tcPr>
          <w:p>
            <w:pPr>
              <w:spacing w:after="0" w:before="0"/>
            </w:pPr>
            <w:r/>
            <w:r>
              <w:rPr>
                <w:rFonts w:ascii="Arial" w:hAnsi="Arial"/>
                <w:b w:val="0"/>
                <w:sz w:val="15"/>
              </w:rPr>
              <w:t>CreditAssessmentBureauId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fin.CreditAssessmentBureau</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fin.CreditAssessmentBureau</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7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68440" cy="6651585"/>
            <wp:docPr id="54" name="Picture 54"/>
            <wp:cNvGraphicFramePr>
              <a:graphicFrameLocks noChangeAspect="1"/>
            </wp:cNvGraphicFramePr>
            <a:graphic>
              <a:graphicData uri="http://schemas.openxmlformats.org/drawingml/2006/picture">
                <pic:pic>
                  <pic:nvPicPr>
                    <pic:cNvPr id="0" name="m5_financials_7.png"/>
                    <pic:cNvPicPr/>
                  </pic:nvPicPr>
                  <pic:blipFill>
                    <a:blip r:embed="rId64"/>
                    <a:stretch>
                      <a:fillRect/>
                    </a:stretch>
                  </pic:blipFill>
                  <pic:spPr>
                    <a:xfrm>
                      <a:off x="0" y="0"/>
                      <a:ext cx="6568440" cy="6651585"/>
                    </a:xfrm>
                    <a:prstGeom prst="rect"/>
                  </pic:spPr>
                </pic:pic>
              </a:graphicData>
            </a:graphic>
          </wp:inline>
        </w:drawing>
      </w:r>
    </w:p>
    <w:p>
      <w:pPr>
        <w:spacing w:after="120"/>
        <w:jc w:val="center"/>
      </w:pPr>
      <w:r>
        <w:rPr>
          <w:rFonts w:ascii="Arial" w:hAnsi="Arial"/>
          <w:b w:val="0"/>
          <w:i/>
          <w:color w:val="6B7280"/>
          <w:sz w:val="16"/>
        </w:rPr>
        <w:t>Figure 54  Financial statements and balances (part 7 of 18)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fin.CreditAssessmentFacility</w:t>
            </w:r>
          </w:p>
        </w:tc>
        <w:tc>
          <w:tcPr>
            <w:tcW w:type="dxa" w:w="6690"/>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2948"/>
          </w:tcPr>
          <w:p>
            <w:pPr>
              <w:spacing w:after="0" w:before="0"/>
            </w:pPr>
            <w:r/>
            <w:r>
              <w:rPr>
                <w:rFonts w:ascii="Arial" w:hAnsi="Arial"/>
                <w:b w:val="0"/>
                <w:sz w:val="15"/>
              </w:rPr>
              <w:t>CreditAssessmentFacilityId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fin.CreditAssessmentFactor</w:t>
            </w:r>
          </w:p>
        </w:tc>
        <w:tc>
          <w:tcPr>
            <w:tcW w:type="dxa" w:w="6690"/>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2948"/>
            <w:shd w:val="clear" w:color="auto" w:fill="E8EEF6"/>
          </w:tcPr>
          <w:p>
            <w:pPr>
              <w:spacing w:after="0" w:before="0"/>
            </w:pPr>
            <w:r/>
            <w:r>
              <w:rPr>
                <w:rFonts w:ascii="Arial" w:hAnsi="Arial"/>
                <w:b w:val="0"/>
                <w:sz w:val="15"/>
              </w:rPr>
              <w:t>CreditAssessmentFactorId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LenderDecisionId</w:t>
            </w:r>
          </w:p>
        </w:tc>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FacilityLenderDecisionId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8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12559" cy="3590843"/>
            <wp:docPr id="55" name="Picture 55"/>
            <wp:cNvGraphicFramePr>
              <a:graphicFrameLocks noChangeAspect="1"/>
            </wp:cNvGraphicFramePr>
            <a:graphic>
              <a:graphicData uri="http://schemas.openxmlformats.org/drawingml/2006/picture">
                <pic:pic>
                  <pic:nvPicPr>
                    <pic:cNvPr id="0" name="m5_financials_8.png"/>
                    <pic:cNvPicPr/>
                  </pic:nvPicPr>
                  <pic:blipFill>
                    <a:blip r:embed="rId65"/>
                    <a:stretch>
                      <a:fillRect/>
                    </a:stretch>
                  </pic:blipFill>
                  <pic:spPr>
                    <a:xfrm>
                      <a:off x="0" y="0"/>
                      <a:ext cx="6512559" cy="3590843"/>
                    </a:xfrm>
                    <a:prstGeom prst="rect"/>
                  </pic:spPr>
                </pic:pic>
              </a:graphicData>
            </a:graphic>
          </wp:inline>
        </w:drawing>
      </w:r>
    </w:p>
    <w:p>
      <w:pPr>
        <w:spacing w:after="120"/>
        <w:jc w:val="center"/>
      </w:pPr>
      <w:r>
        <w:rPr>
          <w:rFonts w:ascii="Arial" w:hAnsi="Arial"/>
          <w:b w:val="0"/>
          <w:i/>
          <w:color w:val="6B7280"/>
          <w:sz w:val="16"/>
        </w:rPr>
        <w:t>Figure 55  Financial statements and balances (part 8 of 18)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fin.CreditAssessmentFinding</w:t>
            </w:r>
          </w:p>
        </w:tc>
        <w:tc>
          <w:tcPr>
            <w:tcW w:type="dxa" w:w="6690"/>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948"/>
          </w:tcPr>
          <w:p>
            <w:pPr>
              <w:spacing w:after="0" w:before="0"/>
            </w:pPr>
            <w:r/>
            <w:r>
              <w:rPr>
                <w:rFonts w:ascii="Arial" w:hAnsi="Arial"/>
                <w:b w:val="0"/>
                <w:sz w:val="15"/>
              </w:rPr>
              <w:t>CreditAssessmentFindingId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fin.CreditAssessmentGuarantor</w:t>
            </w:r>
          </w:p>
        </w:tc>
        <w:tc>
          <w:tcPr>
            <w:tcW w:type="dxa" w:w="6690"/>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2948"/>
            <w:shd w:val="clear" w:color="auto" w:fill="E8EEF6"/>
          </w:tcPr>
          <w:p>
            <w:pPr>
              <w:spacing w:after="0" w:before="0"/>
            </w:pPr>
            <w:r/>
            <w:r>
              <w:rPr>
                <w:rFonts w:ascii="Arial" w:hAnsi="Arial"/>
                <w:b w:val="0"/>
                <w:sz w:val="15"/>
              </w:rPr>
              <w:t>CreditAssessmentGuarantorId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fin.CreditAssessmentFinding</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9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55080" cy="7614458"/>
            <wp:docPr id="56" name="Picture 56"/>
            <wp:cNvGraphicFramePr>
              <a:graphicFrameLocks noChangeAspect="1"/>
            </wp:cNvGraphicFramePr>
            <a:graphic>
              <a:graphicData uri="http://schemas.openxmlformats.org/drawingml/2006/picture">
                <pic:pic>
                  <pic:nvPicPr>
                    <pic:cNvPr id="0" name="m5_financials_9.png"/>
                    <pic:cNvPicPr/>
                  </pic:nvPicPr>
                  <pic:blipFill>
                    <a:blip r:embed="rId66"/>
                    <a:stretch>
                      <a:fillRect/>
                    </a:stretch>
                  </pic:blipFill>
                  <pic:spPr>
                    <a:xfrm>
                      <a:off x="0" y="0"/>
                      <a:ext cx="6355080" cy="7614458"/>
                    </a:xfrm>
                    <a:prstGeom prst="rect"/>
                  </pic:spPr>
                </pic:pic>
              </a:graphicData>
            </a:graphic>
          </wp:inline>
        </w:drawing>
      </w:r>
    </w:p>
    <w:p>
      <w:pPr>
        <w:spacing w:after="120"/>
        <w:jc w:val="center"/>
      </w:pPr>
      <w:r>
        <w:rPr>
          <w:rFonts w:ascii="Arial" w:hAnsi="Arial"/>
          <w:b w:val="0"/>
          <w:i/>
          <w:color w:val="6B7280"/>
          <w:sz w:val="16"/>
        </w:rPr>
        <w:t>Figure 56  Financial statements and balances (part 9 of 18)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fin.CreditAssessmentInput</w:t>
            </w:r>
          </w:p>
        </w:tc>
        <w:tc>
          <w:tcPr>
            <w:tcW w:type="dxa" w:w="6690"/>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2948"/>
          </w:tcPr>
          <w:p>
            <w:pPr>
              <w:spacing w:after="0" w:before="0"/>
            </w:pPr>
            <w:r/>
            <w:r>
              <w:rPr>
                <w:rFonts w:ascii="Arial" w:hAnsi="Arial"/>
                <w:b w:val="0"/>
                <w:sz w:val="15"/>
              </w:rPr>
              <w:t>CreditAssessmentInputId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fin.CreditAssessmentPlan</w:t>
            </w:r>
          </w:p>
        </w:tc>
        <w:tc>
          <w:tcPr>
            <w:tcW w:type="dxa" w:w="6690"/>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2948"/>
            <w:shd w:val="clear" w:color="auto" w:fill="E8EEF6"/>
          </w:tcPr>
          <w:p>
            <w:pPr>
              <w:spacing w:after="0" w:before="0"/>
            </w:pPr>
            <w:r/>
            <w:r>
              <w:rPr>
                <w:rFonts w:ascii="Arial" w:hAnsi="Arial"/>
                <w:b w:val="0"/>
                <w:sz w:val="15"/>
              </w:rPr>
              <w:t>CreditAssessmentPlanId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SubfactorId</w:t>
            </w:r>
          </w:p>
        </w:tc>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ScorecardSubfactorId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ParentAssessmentId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FinalGradeId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10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79540" cy="4043997"/>
            <wp:docPr id="57" name="Picture 57"/>
            <wp:cNvGraphicFramePr>
              <a:graphicFrameLocks noChangeAspect="1"/>
            </wp:cNvGraphicFramePr>
            <a:graphic>
              <a:graphicData uri="http://schemas.openxmlformats.org/drawingml/2006/picture">
                <pic:pic>
                  <pic:nvPicPr>
                    <pic:cNvPr id="0" name="m5_financials_10.png"/>
                    <pic:cNvPicPr/>
                  </pic:nvPicPr>
                  <pic:blipFill>
                    <a:blip r:embed="rId67"/>
                    <a:stretch>
                      <a:fillRect/>
                    </a:stretch>
                  </pic:blipFill>
                  <pic:spPr>
                    <a:xfrm>
                      <a:off x="0" y="0"/>
                      <a:ext cx="6479540" cy="4043997"/>
                    </a:xfrm>
                    <a:prstGeom prst="rect"/>
                  </pic:spPr>
                </pic:pic>
              </a:graphicData>
            </a:graphic>
          </wp:inline>
        </w:drawing>
      </w:r>
    </w:p>
    <w:p>
      <w:pPr>
        <w:spacing w:after="120"/>
        <w:jc w:val="center"/>
      </w:pPr>
      <w:r>
        <w:rPr>
          <w:rFonts w:ascii="Arial" w:hAnsi="Arial"/>
          <w:b w:val="0"/>
          <w:i/>
          <w:color w:val="6B7280"/>
          <w:sz w:val="16"/>
        </w:rPr>
        <w:t>Figure 57  Financial statements and balances (part 10 of 18)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fin.CreditAssessmentPlanStep</w:t>
            </w:r>
          </w:p>
        </w:tc>
        <w:tc>
          <w:tcPr>
            <w:tcW w:type="dxa" w:w="6690"/>
          </w:tcPr>
          <w:p>
            <w:pPr>
              <w:spacing w:after="0" w:before="0"/>
            </w:pPr>
            <w:r/>
            <w:r>
              <w:rPr>
                <w:rFonts w:ascii="Arial" w:hAnsi="Arial"/>
                <w:b w:val="0"/>
                <w:sz w:val="15"/>
              </w:rPr>
              <w:t>A step of a strengthening plan: the remedy applied, the amount it moved and the grade after it</w:t>
            </w:r>
          </w:p>
        </w:tc>
        <w:tc>
          <w:tcPr>
            <w:tcW w:type="dxa" w:w="2948"/>
          </w:tcPr>
          <w:p>
            <w:pPr>
              <w:spacing w:after="0" w:before="0"/>
            </w:pPr>
            <w:r/>
            <w:r>
              <w:rPr>
                <w:rFonts w:ascii="Arial" w:hAnsi="Arial"/>
                <w:b w:val="0"/>
                <w:sz w:val="15"/>
              </w:rPr>
              <w:t>CreditAssessmentPlanStepId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fin.CreditAssessmentReclass</w:t>
            </w:r>
          </w:p>
        </w:tc>
        <w:tc>
          <w:tcPr>
            <w:tcW w:type="dxa" w:w="6690"/>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2948"/>
            <w:shd w:val="clear" w:color="auto" w:fill="E8EEF6"/>
          </w:tcPr>
          <w:p>
            <w:pPr>
              <w:spacing w:after="0" w:before="0"/>
            </w:pPr>
            <w:r/>
            <w:r>
              <w:rPr>
                <w:rFonts w:ascii="Arial" w:hAnsi="Arial"/>
                <w:b w:val="0"/>
                <w:sz w:val="15"/>
              </w:rPr>
              <w:t>CreditAssessmentReclassId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fin.CreditAssessmentReclass</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11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6680" cy="7042896"/>
            <wp:docPr id="58" name="Picture 58"/>
            <wp:cNvGraphicFramePr>
              <a:graphicFrameLocks noChangeAspect="1"/>
            </wp:cNvGraphicFramePr>
            <a:graphic>
              <a:graphicData uri="http://schemas.openxmlformats.org/drawingml/2006/picture">
                <pic:pic>
                  <pic:nvPicPr>
                    <pic:cNvPr id="0" name="m5_financials_11.png"/>
                    <pic:cNvPicPr/>
                  </pic:nvPicPr>
                  <pic:blipFill>
                    <a:blip r:embed="rId68"/>
                    <a:stretch>
                      <a:fillRect/>
                    </a:stretch>
                  </pic:blipFill>
                  <pic:spPr>
                    <a:xfrm>
                      <a:off x="0" y="0"/>
                      <a:ext cx="6456680" cy="7042896"/>
                    </a:xfrm>
                    <a:prstGeom prst="rect"/>
                  </pic:spPr>
                </pic:pic>
              </a:graphicData>
            </a:graphic>
          </wp:inline>
        </w:drawing>
      </w:r>
    </w:p>
    <w:p>
      <w:pPr>
        <w:spacing w:after="120"/>
        <w:jc w:val="center"/>
      </w:pPr>
      <w:r>
        <w:rPr>
          <w:rFonts w:ascii="Arial" w:hAnsi="Arial"/>
          <w:b w:val="0"/>
          <w:i/>
          <w:color w:val="6B7280"/>
          <w:sz w:val="16"/>
        </w:rPr>
        <w:t>Figure 58  Financial statements and balances (part 11 of 18)  ·  8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fin.CreditAssessmentRemedy</w:t>
            </w:r>
          </w:p>
        </w:tc>
        <w:tc>
          <w:tcPr>
            <w:tcW w:type="dxa" w:w="6690"/>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2948"/>
          </w:tcPr>
          <w:p>
            <w:pPr>
              <w:spacing w:after="0" w:before="0"/>
            </w:pPr>
            <w:r/>
            <w:r>
              <w:rPr>
                <w:rFonts w:ascii="Arial" w:hAnsi="Arial"/>
                <w:b w:val="0"/>
                <w:sz w:val="15"/>
              </w:rPr>
              <w:t>CreditAssessmentRemedyId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fin.CreditAssessmentScenario</w:t>
            </w:r>
          </w:p>
        </w:tc>
        <w:tc>
          <w:tcPr>
            <w:tcW w:type="dxa" w:w="6690"/>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2948"/>
            <w:shd w:val="clear" w:color="auto" w:fill="E8EEF6"/>
          </w:tcPr>
          <w:p>
            <w:pPr>
              <w:spacing w:after="0" w:before="0"/>
            </w:pPr>
            <w:r/>
            <w:r>
              <w:rPr>
                <w:rFonts w:ascii="Arial" w:hAnsi="Arial"/>
                <w:b w:val="0"/>
                <w:sz w:val="15"/>
              </w:rPr>
              <w:t>CreditAssessmentScenarioId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fin.CreditAssessmentTrigger</w:t>
            </w:r>
          </w:p>
        </w:tc>
        <w:tc>
          <w:tcPr>
            <w:tcW w:type="dxa" w:w="6690"/>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2948"/>
          </w:tcPr>
          <w:p>
            <w:pPr>
              <w:spacing w:after="0" w:before="0"/>
            </w:pPr>
            <w:r/>
            <w:r>
              <w:rPr>
                <w:rFonts w:ascii="Arial" w:hAnsi="Arial"/>
                <w:b w:val="0"/>
                <w:sz w:val="15"/>
              </w:rPr>
              <w:t>CreditAssessmentTriggerId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fin.CreditMetric</w:t>
            </w:r>
          </w:p>
        </w:tc>
        <w:tc>
          <w:tcPr>
            <w:tcW w:type="dxa" w:w="6690"/>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2948"/>
            <w:shd w:val="clear" w:color="auto" w:fill="E8EEF6"/>
          </w:tcPr>
          <w:p>
            <w:pPr>
              <w:spacing w:after="0" w:before="0"/>
            </w:pPr>
            <w:r/>
            <w:r>
              <w:rPr>
                <w:rFonts w:ascii="Arial" w:hAnsi="Arial"/>
                <w:b w:val="0"/>
                <w:sz w:val="15"/>
              </w:rPr>
              <w:t>CreditMetricId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w:t>
            </w:r>
          </w:p>
        </w:tc>
        <w:tc>
          <w:tcPr>
            <w:tcW w:type="dxa" w:w="6690"/>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2948"/>
          </w:tcPr>
          <w:p>
            <w:pPr>
              <w:spacing w:after="0" w:before="0"/>
            </w:pPr>
            <w:r/>
            <w:r>
              <w:rPr>
                <w:rFonts w:ascii="Arial" w:hAnsi="Arial"/>
                <w:b w:val="0"/>
                <w:sz w:val="15"/>
              </w:rPr>
              <w:t>CreditRemedyId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fin.CreditRemedyStep</w:t>
            </w:r>
          </w:p>
        </w:tc>
        <w:tc>
          <w:tcPr>
            <w:tcW w:type="dxa" w:w="6690"/>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2948"/>
            <w:shd w:val="clear" w:color="auto" w:fill="E8EEF6"/>
          </w:tcPr>
          <w:p>
            <w:pPr>
              <w:spacing w:after="0" w:before="0"/>
            </w:pPr>
            <w:r/>
            <w:r>
              <w:rPr>
                <w:rFonts w:ascii="Arial" w:hAnsi="Arial"/>
                <w:b w:val="0"/>
                <w:sz w:val="15"/>
              </w:rPr>
              <w:t>CreditRemedyStepId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fin.CreditRemedyTrigger</w:t>
            </w:r>
          </w:p>
        </w:tc>
        <w:tc>
          <w:tcPr>
            <w:tcW w:type="dxa" w:w="6690"/>
          </w:tcPr>
          <w:p>
            <w:pPr>
              <w:spacing w:after="0" w:before="0"/>
            </w:pPr>
            <w:r/>
            <w:r>
              <w:rPr>
                <w:rFonts w:ascii="Arial" w:hAnsi="Arial"/>
                <w:b w:val="0"/>
                <w:sz w:val="15"/>
              </w:rPr>
              <w:t>A finding a remedy answers: a metric or an adjustment code</w:t>
            </w:r>
          </w:p>
        </w:tc>
        <w:tc>
          <w:tcPr>
            <w:tcW w:type="dxa" w:w="2948"/>
          </w:tcPr>
          <w:p>
            <w:pPr>
              <w:spacing w:after="0" w:before="0"/>
            </w:pPr>
            <w:r/>
            <w:r>
              <w:rPr>
                <w:rFonts w:ascii="Arial" w:hAnsi="Arial"/>
                <w:b w:val="0"/>
                <w:sz w:val="15"/>
              </w:rPr>
              <w:t>CreditRemedyTriggerId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fin.CreditText</w:t>
            </w:r>
          </w:p>
        </w:tc>
        <w:tc>
          <w:tcPr>
            <w:tcW w:type="dxa" w:w="6690"/>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2948"/>
            <w:shd w:val="clear" w:color="auto" w:fill="E8EEF6"/>
          </w:tcPr>
          <w:p>
            <w:pPr>
              <w:spacing w:after="0" w:before="0"/>
            </w:pPr>
            <w:r/>
            <w:r>
              <w:rPr>
                <w:rFonts w:ascii="Arial" w:hAnsi="Arial"/>
                <w:b w:val="0"/>
                <w:sz w:val="15"/>
              </w:rPr>
              <w:t>CreditTextId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ProFormaGradeId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fin.CreditAssessmentTrigger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fin.CreditAssessmentTrigger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fin.CreditRemedyStep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fin.CreditRemedyTrigger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12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6652096"/>
            <wp:docPr id="59" name="Picture 59"/>
            <wp:cNvGraphicFramePr>
              <a:graphicFrameLocks noChangeAspect="1"/>
            </wp:cNvGraphicFramePr>
            <a:graphic>
              <a:graphicData uri="http://schemas.openxmlformats.org/drawingml/2006/picture">
                <pic:pic>
                  <pic:nvPicPr>
                    <pic:cNvPr id="0" name="m5_financials_12.png"/>
                    <pic:cNvPicPr/>
                  </pic:nvPicPr>
                  <pic:blipFill>
                    <a:blip r:embed="rId69"/>
                    <a:stretch>
                      <a:fillRect/>
                    </a:stretch>
                  </pic:blipFill>
                  <pic:spPr>
                    <a:xfrm>
                      <a:off x="0" y="0"/>
                      <a:ext cx="6015990" cy="6652096"/>
                    </a:xfrm>
                    <a:prstGeom prst="rect"/>
                  </pic:spPr>
                </pic:pic>
              </a:graphicData>
            </a:graphic>
          </wp:inline>
        </w:drawing>
      </w:r>
    </w:p>
    <w:p>
      <w:pPr>
        <w:spacing w:after="120"/>
        <w:jc w:val="center"/>
      </w:pPr>
      <w:r>
        <w:rPr>
          <w:rFonts w:ascii="Arial" w:hAnsi="Arial"/>
          <w:b w:val="0"/>
          <w:i/>
          <w:color w:val="6B7280"/>
          <w:sz w:val="16"/>
        </w:rPr>
        <w:t>Figure 59  Financial statements and balances (part 12 of 18)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fin.IndustryProfile</w:t>
            </w:r>
          </w:p>
        </w:tc>
        <w:tc>
          <w:tcPr>
            <w:tcW w:type="dxa" w:w="6690"/>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948"/>
            <w:shd w:val="clear" w:color="auto" w:fill="E8EEF6"/>
          </w:tcPr>
          <w:p>
            <w:pPr>
              <w:spacing w:after="0" w:before="0"/>
            </w:pPr>
            <w:r/>
            <w:r>
              <w:rPr>
                <w:rFonts w:ascii="Arial" w:hAnsi="Arial"/>
                <w:b w:val="0"/>
                <w:sz w:val="15"/>
              </w:rPr>
              <w:t>IndustryProfileId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fin.IndustrySensitivity</w:t>
            </w:r>
          </w:p>
        </w:tc>
        <w:tc>
          <w:tcPr>
            <w:tcW w:type="dxa" w:w="6690"/>
          </w:tcPr>
          <w:p>
            <w:pPr>
              <w:spacing w:after="0" w:before="0"/>
            </w:pPr>
            <w:r/>
            <w:r>
              <w:rPr>
                <w:rFonts w:ascii="Arial" w:hAnsi="Arial"/>
                <w:b w:val="0"/>
                <w:sz w:val="15"/>
              </w:rPr>
              <w:t>The sensitivity 0 (none) to 5 (extreme) of an activity to a driver of stress (docs/35 section 14)</w:t>
            </w:r>
          </w:p>
        </w:tc>
        <w:tc>
          <w:tcPr>
            <w:tcW w:type="dxa" w:w="2948"/>
          </w:tcPr>
          <w:p>
            <w:pPr>
              <w:spacing w:after="0" w:before="0"/>
            </w:pPr>
            <w:r/>
            <w:r>
              <w:rPr>
                <w:rFonts w:ascii="Arial" w:hAnsi="Arial"/>
                <w:b w:val="0"/>
                <w:sz w:val="15"/>
              </w:rPr>
              <w:t>IndustrySensitivityId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fin.IndustryProfile</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fin.IndustrySensitivity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fin.IndustrySensitivity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13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07760" cy="4516623"/>
            <wp:docPr id="60" name="Picture 60"/>
            <wp:cNvGraphicFramePr>
              <a:graphicFrameLocks noChangeAspect="1"/>
            </wp:cNvGraphicFramePr>
            <a:graphic>
              <a:graphicData uri="http://schemas.openxmlformats.org/drawingml/2006/picture">
                <pic:pic>
                  <pic:nvPicPr>
                    <pic:cNvPr id="0" name="m5_financials_13.png"/>
                    <pic:cNvPicPr/>
                  </pic:nvPicPr>
                  <pic:blipFill>
                    <a:blip r:embed="rId70"/>
                    <a:stretch>
                      <a:fillRect/>
                    </a:stretch>
                  </pic:blipFill>
                  <pic:spPr>
                    <a:xfrm>
                      <a:off x="0" y="0"/>
                      <a:ext cx="6207760" cy="4516623"/>
                    </a:xfrm>
                    <a:prstGeom prst="rect"/>
                  </pic:spPr>
                </pic:pic>
              </a:graphicData>
            </a:graphic>
          </wp:inline>
        </w:drawing>
      </w:r>
    </w:p>
    <w:p>
      <w:pPr>
        <w:spacing w:after="120"/>
        <w:jc w:val="center"/>
      </w:pPr>
      <w:r>
        <w:rPr>
          <w:rFonts w:ascii="Arial" w:hAnsi="Arial"/>
          <w:b w:val="0"/>
          <w:i/>
          <w:color w:val="6B7280"/>
          <w:sz w:val="16"/>
        </w:rPr>
        <w:t>Figure 60  Financial statements and balances (part 13 of 18)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w:t>
            </w:r>
          </w:p>
        </w:tc>
        <w:tc>
          <w:tcPr>
            <w:tcW w:type="dxa" w:w="6690"/>
            <w:shd w:val="clear" w:color="auto" w:fill="E8EEF6"/>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948"/>
            <w:shd w:val="clear" w:color="auto" w:fill="E8EEF6"/>
          </w:tcPr>
          <w:p>
            <w:pPr>
              <w:spacing w:after="0" w:before="0"/>
            </w:pPr>
            <w:r/>
            <w:r>
              <w:rPr>
                <w:rFonts w:ascii="Arial" w:hAnsi="Arial"/>
                <w:b w:val="0"/>
                <w:sz w:val="15"/>
              </w:rPr>
              <w:t>MacroScenarioId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fin.MacroScenarioCountry</w:t>
            </w:r>
          </w:p>
        </w:tc>
        <w:tc>
          <w:tcPr>
            <w:tcW w:type="dxa" w:w="6690"/>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2948"/>
          </w:tcPr>
          <w:p>
            <w:pPr>
              <w:spacing w:after="0" w:before="0"/>
            </w:pPr>
            <w:r/>
            <w:r>
              <w:rPr>
                <w:rFonts w:ascii="Arial" w:hAnsi="Arial"/>
                <w:b w:val="0"/>
                <w:sz w:val="15"/>
              </w:rPr>
              <w:t>MacroScenarioCountryId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fin.MacroScenarioIntensity</w:t>
            </w:r>
          </w:p>
        </w:tc>
        <w:tc>
          <w:tcPr>
            <w:tcW w:type="dxa" w:w="6690"/>
            <w:shd w:val="clear" w:color="auto" w:fill="E8EEF6"/>
          </w:tcPr>
          <w:p>
            <w:pPr>
              <w:spacing w:after="0" w:before="0"/>
            </w:pPr>
            <w:r/>
            <w:r>
              <w:rPr>
                <w:rFonts w:ascii="Arial" w:hAnsi="Arial"/>
                <w:b w:val="0"/>
                <w:sz w:val="15"/>
              </w:rPr>
              <w:t>The intensity 0 to 1 of a driver in a macro scenario (docs/35 section 14)</w:t>
            </w:r>
          </w:p>
        </w:tc>
        <w:tc>
          <w:tcPr>
            <w:tcW w:type="dxa" w:w="2948"/>
            <w:shd w:val="clear" w:color="auto" w:fill="E8EEF6"/>
          </w:tcPr>
          <w:p>
            <w:pPr>
              <w:spacing w:after="0" w:before="0"/>
            </w:pPr>
            <w:r/>
            <w:r>
              <w:rPr>
                <w:rFonts w:ascii="Arial" w:hAnsi="Arial"/>
                <w:b w:val="0"/>
                <w:sz w:val="15"/>
              </w:rPr>
              <w:t>MacroScenarioIntensityId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fin.MacroScenarioCountry</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fin.MacroScenarioCountry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fin.MacroScenarioIntensity</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fin.MacroScenarioIntensity</w:t>
            </w:r>
          </w:p>
        </w:tc>
        <w:tc>
          <w:tcPr>
            <w:tcW w:type="dxa" w:w="2948"/>
          </w:tcPr>
          <w:p>
            <w:pPr>
              <w:spacing w:after="0" w:before="0"/>
            </w:pPr>
            <w:r/>
            <w:r>
              <w:rPr>
                <w:rFonts w:ascii="Arial" w:hAnsi="Arial"/>
                <w:b w:val="0"/>
                <w:sz w:val="15"/>
              </w:rPr>
              <w:t>ShockDriverId</w:t>
            </w:r>
          </w:p>
        </w:tc>
        <w:tc>
          <w:tcPr>
            <w:tcW w:type="dxa" w:w="2721"/>
          </w:tcPr>
          <w:p>
            <w:pPr>
              <w:spacing w:after="0" w:before="0"/>
            </w:pPr>
            <w:r/>
            <w:r>
              <w:rPr>
                <w:rFonts w:ascii="Arial" w:hAnsi="Arial"/>
                <w:b w:val="0"/>
                <w:sz w:val="15"/>
              </w:rPr>
              <w:t>fin.ShockDriver</w:t>
            </w:r>
          </w:p>
        </w:tc>
        <w:tc>
          <w:tcPr>
            <w:tcW w:type="dxa" w:w="2948"/>
          </w:tcPr>
          <w:p>
            <w:pPr>
              <w:spacing w:after="0" w:before="0"/>
            </w:pPr>
            <w:r/>
            <w:r>
              <w:rPr>
                <w:rFonts w:ascii="Arial" w:hAnsi="Arial"/>
                <w:b w:val="0"/>
                <w:sz w:val="15"/>
              </w:rPr>
              <w:t>ShockDriverId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14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964420" cy="6742715"/>
            <wp:docPr id="61" name="Picture 61"/>
            <wp:cNvGraphicFramePr>
              <a:graphicFrameLocks noChangeAspect="1"/>
            </wp:cNvGraphicFramePr>
            <a:graphic>
              <a:graphicData uri="http://schemas.openxmlformats.org/drawingml/2006/picture">
                <pic:pic>
                  <pic:nvPicPr>
                    <pic:cNvPr id="0" name="m5_financials_14.png"/>
                    <pic:cNvPicPr/>
                  </pic:nvPicPr>
                  <pic:blipFill>
                    <a:blip r:embed="rId71"/>
                    <a:stretch>
                      <a:fillRect/>
                    </a:stretch>
                  </pic:blipFill>
                  <pic:spPr>
                    <a:xfrm>
                      <a:off x="0" y="0"/>
                      <a:ext cx="9964420" cy="6742715"/>
                    </a:xfrm>
                    <a:prstGeom prst="rect"/>
                  </pic:spPr>
                </pic:pic>
              </a:graphicData>
            </a:graphic>
          </wp:inline>
        </w:drawing>
      </w:r>
    </w:p>
    <w:p>
      <w:pPr>
        <w:spacing w:after="120"/>
        <w:jc w:val="center"/>
      </w:pPr>
      <w:r>
        <w:rPr>
          <w:rFonts w:ascii="Arial" w:hAnsi="Arial"/>
          <w:b w:val="0"/>
          <w:i/>
          <w:color w:val="6B7280"/>
          <w:sz w:val="16"/>
        </w:rPr>
        <w:t>Figure 61  Financial statements and balances (part 14 of 18)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fin.MeasureFormula</w:t>
            </w:r>
          </w:p>
        </w:tc>
        <w:tc>
          <w:tcPr>
            <w:tcW w:type="dxa" w:w="6690"/>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tcPr>
          <w:p>
            <w:pPr>
              <w:spacing w:after="0" w:before="0"/>
            </w:pPr>
            <w:r/>
            <w:r>
              <w:rPr>
                <w:rFonts w:ascii="Arial" w:hAnsi="Arial"/>
                <w:b w:val="0"/>
                <w:sz w:val="15"/>
              </w:rPr>
              <w:t>MeasureFormulaId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fin.PresentationVersion</w:t>
            </w:r>
          </w:p>
        </w:tc>
        <w:tc>
          <w:tcPr>
            <w:tcW w:type="dxa" w:w="6690"/>
            <w:shd w:val="clear" w:color="auto" w:fill="E8EEF6"/>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948"/>
            <w:shd w:val="clear" w:color="auto" w:fill="E8EEF6"/>
          </w:tcPr>
          <w:p>
            <w:pPr>
              <w:spacing w:after="0" w:before="0"/>
            </w:pPr>
            <w:r/>
            <w:r>
              <w:rPr>
                <w:rFonts w:ascii="Arial" w:hAnsi="Arial"/>
                <w:b w:val="0"/>
                <w:sz w:val="15"/>
              </w:rPr>
              <w:t>PresentationVersionId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fin.PresentationVersionStep</w:t>
            </w:r>
          </w:p>
        </w:tc>
        <w:tc>
          <w:tcPr>
            <w:tcW w:type="dxa" w:w="6690"/>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2948"/>
          </w:tcPr>
          <w:p>
            <w:pPr>
              <w:spacing w:after="0" w:before="0"/>
            </w:pPr>
            <w:r/>
            <w:r>
              <w:rPr>
                <w:rFonts w:ascii="Arial" w:hAnsi="Arial"/>
                <w:b w:val="0"/>
                <w:sz w:val="15"/>
              </w:rPr>
              <w:t>PresentationVersionStepId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fin.ProductCategory</w:t>
            </w:r>
          </w:p>
        </w:tc>
        <w:tc>
          <w:tcPr>
            <w:tcW w:type="dxa" w:w="6690"/>
            <w:shd w:val="clear" w:color="auto" w:fill="E8EEF6"/>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2948"/>
            <w:shd w:val="clear" w:color="auto" w:fill="E8EEF6"/>
          </w:tcPr>
          <w:p>
            <w:pPr>
              <w:spacing w:after="0" w:before="0"/>
            </w:pPr>
            <w:r/>
            <w:r>
              <w:rPr>
                <w:rFonts w:ascii="Arial" w:hAnsi="Arial"/>
                <w:b w:val="0"/>
                <w:sz w:val="15"/>
              </w:rPr>
              <w:t>ProductCategoryId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BaseTemplateId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SourceStatementId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SourceAssessmentId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ResultStatementId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TrialAssessmentId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ChosenBy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VersionId</w:t>
            </w:r>
          </w:p>
        </w:tc>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PresentationVersionId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15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84850" cy="5930302"/>
            <wp:docPr id="62" name="Picture 62"/>
            <wp:cNvGraphicFramePr>
              <a:graphicFrameLocks noChangeAspect="1"/>
            </wp:cNvGraphicFramePr>
            <a:graphic>
              <a:graphicData uri="http://schemas.openxmlformats.org/drawingml/2006/picture">
                <pic:pic>
                  <pic:nvPicPr>
                    <pic:cNvPr id="0" name="m5_financials_15.png"/>
                    <pic:cNvPicPr/>
                  </pic:nvPicPr>
                  <pic:blipFill>
                    <a:blip r:embed="rId72"/>
                    <a:stretch>
                      <a:fillRect/>
                    </a:stretch>
                  </pic:blipFill>
                  <pic:spPr>
                    <a:xfrm>
                      <a:off x="0" y="0"/>
                      <a:ext cx="5784850" cy="5930302"/>
                    </a:xfrm>
                    <a:prstGeom prst="rect"/>
                  </pic:spPr>
                </pic:pic>
              </a:graphicData>
            </a:graphic>
          </wp:inline>
        </w:drawing>
      </w:r>
    </w:p>
    <w:p>
      <w:pPr>
        <w:spacing w:after="120"/>
        <w:jc w:val="center"/>
      </w:pPr>
      <w:r>
        <w:rPr>
          <w:rFonts w:ascii="Arial" w:hAnsi="Arial"/>
          <w:b w:val="0"/>
          <w:i/>
          <w:color w:val="6B7280"/>
          <w:sz w:val="16"/>
        </w:rPr>
        <w:t>Figure 62  Financial statements and balances (part 15 of 18)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fin.RatingGrade</w:t>
            </w:r>
          </w:p>
        </w:tc>
        <w:tc>
          <w:tcPr>
            <w:tcW w:type="dxa" w:w="6690"/>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2948"/>
          </w:tcPr>
          <w:p>
            <w:pPr>
              <w:spacing w:after="0" w:before="0"/>
            </w:pPr>
            <w:r/>
            <w:r>
              <w:rPr>
                <w:rFonts w:ascii="Arial" w:hAnsi="Arial"/>
                <w:b w:val="0"/>
                <w:sz w:val="15"/>
              </w:rPr>
              <w:t>RatingGradeId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fin.RevenueEstimate</w:t>
            </w:r>
          </w:p>
        </w:tc>
        <w:tc>
          <w:tcPr>
            <w:tcW w:type="dxa" w:w="6690"/>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shd w:val="clear" w:color="auto" w:fill="E8EEF6"/>
          </w:tcPr>
          <w:p>
            <w:pPr>
              <w:spacing w:after="0" w:before="0"/>
            </w:pPr>
            <w:r/>
            <w:r>
              <w:rPr>
                <w:rFonts w:ascii="Arial" w:hAnsi="Arial"/>
                <w:b w:val="0"/>
                <w:sz w:val="15"/>
              </w:rPr>
              <w:t>RevenueEstimateId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fin.RiskAnchor</w:t>
            </w:r>
          </w:p>
        </w:tc>
        <w:tc>
          <w:tcPr>
            <w:tcW w:type="dxa" w:w="6690"/>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2948"/>
          </w:tcPr>
          <w:p>
            <w:pPr>
              <w:spacing w:after="0" w:before="0"/>
            </w:pPr>
            <w:r/>
            <w:r>
              <w:rPr>
                <w:rFonts w:ascii="Arial" w:hAnsi="Arial"/>
                <w:b w:val="0"/>
                <w:sz w:val="15"/>
              </w:rPr>
              <w:t>RiskAnchorId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w:t>
            </w:r>
          </w:p>
        </w:tc>
        <w:tc>
          <w:tcPr>
            <w:tcW w:type="dxa" w:w="6690"/>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2948"/>
            <w:shd w:val="clear" w:color="auto" w:fill="E8EEF6"/>
          </w:tcPr>
          <w:p>
            <w:pPr>
              <w:spacing w:after="0" w:before="0"/>
            </w:pPr>
            <w:r/>
            <w:r>
              <w:rPr>
                <w:rFonts w:ascii="Arial" w:hAnsi="Arial"/>
                <w:b w:val="0"/>
                <w:sz w:val="15"/>
              </w:rPr>
              <w:t>ScorecardId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16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53760" cy="5342585"/>
            <wp:docPr id="63" name="Picture 63"/>
            <wp:cNvGraphicFramePr>
              <a:graphicFrameLocks noChangeAspect="1"/>
            </wp:cNvGraphicFramePr>
            <a:graphic>
              <a:graphicData uri="http://schemas.openxmlformats.org/drawingml/2006/picture">
                <pic:pic>
                  <pic:nvPicPr>
                    <pic:cNvPr id="0" name="m5_financials_16.png"/>
                    <pic:cNvPicPr/>
                  </pic:nvPicPr>
                  <pic:blipFill>
                    <a:blip r:embed="rId73"/>
                    <a:stretch>
                      <a:fillRect/>
                    </a:stretch>
                  </pic:blipFill>
                  <pic:spPr>
                    <a:xfrm>
                      <a:off x="0" y="0"/>
                      <a:ext cx="5953760" cy="5342585"/>
                    </a:xfrm>
                    <a:prstGeom prst="rect"/>
                  </pic:spPr>
                </pic:pic>
              </a:graphicData>
            </a:graphic>
          </wp:inline>
        </w:drawing>
      </w:r>
    </w:p>
    <w:p>
      <w:pPr>
        <w:spacing w:after="120"/>
        <w:jc w:val="center"/>
      </w:pPr>
      <w:r>
        <w:rPr>
          <w:rFonts w:ascii="Arial" w:hAnsi="Arial"/>
          <w:b w:val="0"/>
          <w:i/>
          <w:color w:val="6B7280"/>
          <w:sz w:val="16"/>
        </w:rPr>
        <w:t>Figure 63  Financial statements and balances (part 16 of 18)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fin.ScorecardAdjustment</w:t>
            </w:r>
          </w:p>
        </w:tc>
        <w:tc>
          <w:tcPr>
            <w:tcW w:type="dxa" w:w="6690"/>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2948"/>
          </w:tcPr>
          <w:p>
            <w:pPr>
              <w:spacing w:after="0" w:before="0"/>
            </w:pPr>
            <w:r/>
            <w:r>
              <w:rPr>
                <w:rFonts w:ascii="Arial" w:hAnsi="Arial"/>
                <w:b w:val="0"/>
                <w:sz w:val="15"/>
              </w:rPr>
              <w:t>ScorecardAdjustmentId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fin.ScorecardItemRule</w:t>
            </w:r>
          </w:p>
        </w:tc>
        <w:tc>
          <w:tcPr>
            <w:tcW w:type="dxa" w:w="6690"/>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2948"/>
            <w:shd w:val="clear" w:color="auto" w:fill="E8EEF6"/>
          </w:tcPr>
          <w:p>
            <w:pPr>
              <w:spacing w:after="0" w:before="0"/>
            </w:pPr>
            <w:r/>
            <w:r>
              <w:rPr>
                <w:rFonts w:ascii="Arial" w:hAnsi="Arial"/>
                <w:b w:val="0"/>
                <w:sz w:val="15"/>
              </w:rPr>
              <w:t>ScorecardItemRuleId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fin.ScorecardMetric</w:t>
            </w:r>
          </w:p>
        </w:tc>
        <w:tc>
          <w:tcPr>
            <w:tcW w:type="dxa" w:w="6690"/>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2948"/>
          </w:tcPr>
          <w:p>
            <w:pPr>
              <w:spacing w:after="0" w:before="0"/>
            </w:pPr>
            <w:r/>
            <w:r>
              <w:rPr>
                <w:rFonts w:ascii="Arial" w:hAnsi="Arial"/>
                <w:b w:val="0"/>
                <w:sz w:val="15"/>
              </w:rPr>
              <w:t>ScorecardMetricId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fin.ScorecardParameter</w:t>
            </w:r>
          </w:p>
        </w:tc>
        <w:tc>
          <w:tcPr>
            <w:tcW w:type="dxa" w:w="6690"/>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2948"/>
            <w:shd w:val="clear" w:color="auto" w:fill="E8EEF6"/>
          </w:tcPr>
          <w:p>
            <w:pPr>
              <w:spacing w:after="0" w:before="0"/>
            </w:pPr>
            <w:r/>
            <w:r>
              <w:rPr>
                <w:rFonts w:ascii="Arial" w:hAnsi="Arial"/>
                <w:b w:val="0"/>
                <w:sz w:val="15"/>
              </w:rPr>
              <w:t>ScorecardParameterId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fin.ScorecardAdjustment</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fin.ScorecardAdjustment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fin.ScorecardItemRule</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fin.ScorecardItemRule</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fin.ScorecardMetric</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fin.ScorecardMetric</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fin.ScorecardParameter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17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23940" cy="5184354"/>
            <wp:docPr id="64" name="Picture 64"/>
            <wp:cNvGraphicFramePr>
              <a:graphicFrameLocks noChangeAspect="1"/>
            </wp:cNvGraphicFramePr>
            <a:graphic>
              <a:graphicData uri="http://schemas.openxmlformats.org/drawingml/2006/picture">
                <pic:pic>
                  <pic:nvPicPr>
                    <pic:cNvPr id="0" name="m5_financials_17.png"/>
                    <pic:cNvPicPr/>
                  </pic:nvPicPr>
                  <pic:blipFill>
                    <a:blip r:embed="rId74"/>
                    <a:stretch>
                      <a:fillRect/>
                    </a:stretch>
                  </pic:blipFill>
                  <pic:spPr>
                    <a:xfrm>
                      <a:off x="0" y="0"/>
                      <a:ext cx="6123940" cy="5184354"/>
                    </a:xfrm>
                    <a:prstGeom prst="rect"/>
                  </pic:spPr>
                </pic:pic>
              </a:graphicData>
            </a:graphic>
          </wp:inline>
        </w:drawing>
      </w:r>
    </w:p>
    <w:p>
      <w:pPr>
        <w:spacing w:after="120"/>
        <w:jc w:val="center"/>
      </w:pPr>
      <w:r>
        <w:rPr>
          <w:rFonts w:ascii="Arial" w:hAnsi="Arial"/>
          <w:b w:val="0"/>
          <w:i/>
          <w:color w:val="6B7280"/>
          <w:sz w:val="16"/>
        </w:rPr>
        <w:t>Figure 64  Financial statements and balances (part 17 of 18)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fin.ScorecardSubfactor</w:t>
            </w:r>
          </w:p>
        </w:tc>
        <w:tc>
          <w:tcPr>
            <w:tcW w:type="dxa" w:w="6690"/>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2948"/>
          </w:tcPr>
          <w:p>
            <w:pPr>
              <w:spacing w:after="0" w:before="0"/>
            </w:pPr>
            <w:r/>
            <w:r>
              <w:rPr>
                <w:rFonts w:ascii="Arial" w:hAnsi="Arial"/>
                <w:b w:val="0"/>
                <w:sz w:val="15"/>
              </w:rPr>
              <w:t>ScorecardSubfactorId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fin.ShockDriver</w:t>
            </w:r>
          </w:p>
        </w:tc>
        <w:tc>
          <w:tcPr>
            <w:tcW w:type="dxa" w:w="6690"/>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2948"/>
            <w:shd w:val="clear" w:color="auto" w:fill="E8EEF6"/>
          </w:tcPr>
          <w:p>
            <w:pPr>
              <w:spacing w:after="0" w:before="0"/>
            </w:pPr>
            <w:r/>
            <w:r>
              <w:rPr>
                <w:rFonts w:ascii="Arial" w:hAnsi="Arial"/>
                <w:b w:val="0"/>
                <w:sz w:val="15"/>
              </w:rPr>
              <w:t>ShockDriverId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fin.StandardLine</w:t>
            </w:r>
          </w:p>
        </w:tc>
        <w:tc>
          <w:tcPr>
            <w:tcW w:type="dxa" w:w="6690"/>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2948"/>
          </w:tcPr>
          <w:p>
            <w:pPr>
              <w:spacing w:after="0" w:before="0"/>
            </w:pPr>
            <w:r/>
            <w:r>
              <w:rPr>
                <w:rFonts w:ascii="Arial" w:hAnsi="Arial"/>
                <w:b w:val="0"/>
                <w:sz w:val="15"/>
              </w:rPr>
              <w:t>StandardLineId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fin.StandardLineTotal</w:t>
            </w:r>
          </w:p>
        </w:tc>
        <w:tc>
          <w:tcPr>
            <w:tcW w:type="dxa" w:w="6690"/>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2948"/>
            <w:shd w:val="clear" w:color="auto" w:fill="E8EEF6"/>
          </w:tcPr>
          <w:p>
            <w:pPr>
              <w:spacing w:after="0" w:before="0"/>
            </w:pPr>
            <w:r/>
            <w:r>
              <w:rPr>
                <w:rFonts w:ascii="Arial" w:hAnsi="Arial"/>
                <w:b w:val="0"/>
                <w:sz w:val="15"/>
              </w:rPr>
              <w:t>StandardLineTotalId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fin.ScorecardSubfactor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18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84620" cy="5067149"/>
            <wp:docPr id="65" name="Picture 65"/>
            <wp:cNvGraphicFramePr>
              <a:graphicFrameLocks noChangeAspect="1"/>
            </wp:cNvGraphicFramePr>
            <a:graphic>
              <a:graphicData uri="http://schemas.openxmlformats.org/drawingml/2006/picture">
                <pic:pic>
                  <pic:nvPicPr>
                    <pic:cNvPr id="0" name="m5_financials_18.png"/>
                    <pic:cNvPicPr/>
                  </pic:nvPicPr>
                  <pic:blipFill>
                    <a:blip r:embed="rId75"/>
                    <a:stretch>
                      <a:fillRect/>
                    </a:stretch>
                  </pic:blipFill>
                  <pic:spPr>
                    <a:xfrm>
                      <a:off x="0" y="0"/>
                      <a:ext cx="6484620" cy="5067149"/>
                    </a:xfrm>
                    <a:prstGeom prst="rect"/>
                  </pic:spPr>
                </pic:pic>
              </a:graphicData>
            </a:graphic>
          </wp:inline>
        </w:drawing>
      </w:r>
    </w:p>
    <w:p>
      <w:pPr>
        <w:spacing w:after="120"/>
        <w:jc w:val="center"/>
      </w:pPr>
      <w:r>
        <w:rPr>
          <w:rFonts w:ascii="Arial" w:hAnsi="Arial"/>
          <w:b w:val="0"/>
          <w:i/>
          <w:color w:val="6B7280"/>
          <w:sz w:val="16"/>
        </w:rPr>
        <w:t>Figure 65  Financial statements and balances (part 18 of 18)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fin.StatementRatio</w:t>
            </w:r>
          </w:p>
        </w:tc>
        <w:tc>
          <w:tcPr>
            <w:tcW w:type="dxa" w:w="6690"/>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shd w:val="clear" w:color="auto" w:fill="E8EEF6"/>
          </w:tcPr>
          <w:p>
            <w:pPr>
              <w:spacing w:after="0" w:before="0"/>
            </w:pPr>
            <w:r/>
            <w:r>
              <w:rPr>
                <w:rFonts w:ascii="Arial" w:hAnsi="Arial"/>
                <w:b w:val="0"/>
                <w:sz w:val="15"/>
              </w:rPr>
              <w:t>StatementRatioId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fin.StrengtheningPlan</w:t>
            </w:r>
          </w:p>
        </w:tc>
        <w:tc>
          <w:tcPr>
            <w:tcW w:type="dxa" w:w="6690"/>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2948"/>
          </w:tcPr>
          <w:p>
            <w:pPr>
              <w:spacing w:after="0" w:before="0"/>
            </w:pPr>
            <w:r/>
            <w:r>
              <w:rPr>
                <w:rFonts w:ascii="Arial" w:hAnsi="Arial"/>
                <w:b w:val="0"/>
                <w:sz w:val="15"/>
              </w:rPr>
              <w:t>StrengtheningPlanId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fin.StrengtheningPlanMember</w:t>
            </w:r>
          </w:p>
        </w:tc>
        <w:tc>
          <w:tcPr>
            <w:tcW w:type="dxa" w:w="6690"/>
            <w:shd w:val="clear" w:color="auto" w:fill="E8EEF6"/>
          </w:tcPr>
          <w:p>
            <w:pPr>
              <w:spacing w:after="0" w:before="0"/>
            </w:pPr>
            <w:r/>
            <w:r>
              <w:rPr>
                <w:rFonts w:ascii="Arial" w:hAnsi="Arial"/>
                <w:b w:val="0"/>
                <w:sz w:val="15"/>
              </w:rPr>
              <w:t>A remedy of a package plan, in the order the plan applies it</w:t>
            </w:r>
          </w:p>
        </w:tc>
        <w:tc>
          <w:tcPr>
            <w:tcW w:type="dxa" w:w="2948"/>
            <w:shd w:val="clear" w:color="auto" w:fill="E8EEF6"/>
          </w:tcPr>
          <w:p>
            <w:pPr>
              <w:spacing w:after="0" w:before="0"/>
            </w:pPr>
            <w:r/>
            <w:r>
              <w:rPr>
                <w:rFonts w:ascii="Arial" w:hAnsi="Arial"/>
                <w:b w:val="0"/>
                <w:sz w:val="15"/>
              </w:rPr>
              <w:t>StrengtheningPlanMemberId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fin.StrengtheningPlanMember</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fin.StrengtheningPlanMember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66" name="Picture 66"/>
            <wp:cNvGraphicFramePr>
              <a:graphicFrameLocks noChangeAspect="1"/>
            </wp:cNvGraphicFramePr>
            <a:graphic>
              <a:graphicData uri="http://schemas.openxmlformats.org/drawingml/2006/picture">
                <pic:pic>
                  <pic:nvPicPr>
                    <pic:cNvPr id="0" name="m6_wf_templates_1.png"/>
                    <pic:cNvPicPr/>
                  </pic:nvPicPr>
                  <pic:blipFill>
                    <a:blip r:embed="rId7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66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67" name="Picture 67"/>
            <wp:cNvGraphicFramePr>
              <a:graphicFrameLocks noChangeAspect="1"/>
            </wp:cNvGraphicFramePr>
            <a:graphic>
              <a:graphicData uri="http://schemas.openxmlformats.org/drawingml/2006/picture">
                <pic:pic>
                  <pic:nvPicPr>
                    <pic:cNvPr id="0" name="m6_wf_templates_2.png"/>
                    <pic:cNvPicPr/>
                  </pic:nvPicPr>
                  <pic:blipFill>
                    <a:blip r:embed="rId7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67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68" name="Picture 68"/>
            <wp:cNvGraphicFramePr>
              <a:graphicFrameLocks noChangeAspect="1"/>
            </wp:cNvGraphicFramePr>
            <a:graphic>
              <a:graphicData uri="http://schemas.openxmlformats.org/drawingml/2006/picture">
                <pic:pic>
                  <pic:nvPicPr>
                    <pic:cNvPr id="0" name="m6_wf_templates_3.png"/>
                    <pic:cNvPicPr/>
                  </pic:nvPicPr>
                  <pic:blipFill>
                    <a:blip r:embed="rId7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68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69" name="Picture 69"/>
            <wp:cNvGraphicFramePr>
              <a:graphicFrameLocks noChangeAspect="1"/>
            </wp:cNvGraphicFramePr>
            <a:graphic>
              <a:graphicData uri="http://schemas.openxmlformats.org/drawingml/2006/picture">
                <pic:pic>
                  <pic:nvPicPr>
                    <pic:cNvPr id="0" name="m6_wf_templates_4.png"/>
                    <pic:cNvPicPr/>
                  </pic:nvPicPr>
                  <pic:blipFill>
                    <a:blip r:embed="rId7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69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70" name="Picture 70"/>
            <wp:cNvGraphicFramePr>
              <a:graphicFrameLocks noChangeAspect="1"/>
            </wp:cNvGraphicFramePr>
            <a:graphic>
              <a:graphicData uri="http://schemas.openxmlformats.org/drawingml/2006/picture">
                <pic:pic>
                  <pic:nvPicPr>
                    <pic:cNvPr id="0" name="m6_requests_1.png"/>
                    <pic:cNvPicPr/>
                  </pic:nvPicPr>
                  <pic:blipFill>
                    <a:blip r:embed="rId80"/>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70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71" name="Picture 71"/>
            <wp:cNvGraphicFramePr>
              <a:graphicFrameLocks noChangeAspect="1"/>
            </wp:cNvGraphicFramePr>
            <a:graphic>
              <a:graphicData uri="http://schemas.openxmlformats.org/drawingml/2006/picture">
                <pic:pic>
                  <pic:nvPicPr>
                    <pic:cNvPr id="0" name="m6_requests_2.png"/>
                    <pic:cNvPicPr/>
                  </pic:nvPicPr>
                  <pic:blipFill>
                    <a:blip r:embed="rId81"/>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71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72" name="Picture 72"/>
            <wp:cNvGraphicFramePr>
              <a:graphicFrameLocks noChangeAspect="1"/>
            </wp:cNvGraphicFramePr>
            <a:graphic>
              <a:graphicData uri="http://schemas.openxmlformats.org/drawingml/2006/picture">
                <pic:pic>
                  <pic:nvPicPr>
                    <pic:cNvPr id="0" name="m6_requests_3.png"/>
                    <pic:cNvPicPr/>
                  </pic:nvPicPr>
                  <pic:blipFill>
                    <a:blip r:embed="rId82"/>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72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73" name="Picture 73"/>
            <wp:cNvGraphicFramePr>
              <a:graphicFrameLocks noChangeAspect="1"/>
            </wp:cNvGraphicFramePr>
            <a:graphic>
              <a:graphicData uri="http://schemas.openxmlformats.org/drawingml/2006/picture">
                <pic:pic>
                  <pic:nvPicPr>
                    <pic:cNvPr id="0" name="m6_requests_4.png"/>
                    <pic:cNvPicPr/>
                  </pic:nvPicPr>
                  <pic:blipFill>
                    <a:blip r:embed="rId83"/>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73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74" name="Picture 74"/>
            <wp:cNvGraphicFramePr>
              <a:graphicFrameLocks noChangeAspect="1"/>
            </wp:cNvGraphicFramePr>
            <a:graphic>
              <a:graphicData uri="http://schemas.openxmlformats.org/drawingml/2006/picture">
                <pic:pic>
                  <pic:nvPicPr>
                    <pic:cNvPr id="0" name="m6_requests_5.png"/>
                    <pic:cNvPicPr/>
                  </pic:nvPicPr>
                  <pic:blipFill>
                    <a:blip r:embed="rId84"/>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74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75" name="Picture 75"/>
            <wp:cNvGraphicFramePr>
              <a:graphicFrameLocks noChangeAspect="1"/>
            </wp:cNvGraphicFramePr>
            <a:graphic>
              <a:graphicData uri="http://schemas.openxmlformats.org/drawingml/2006/picture">
                <pic:pic>
                  <pic:nvPicPr>
                    <pic:cNvPr id="0" name="m6_requests_6.png"/>
                    <pic:cNvPicPr/>
                  </pic:nvPicPr>
                  <pic:blipFill>
                    <a:blip r:embed="rId85"/>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75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76" name="Picture 76"/>
            <wp:cNvGraphicFramePr>
              <a:graphicFrameLocks noChangeAspect="1"/>
            </wp:cNvGraphicFramePr>
            <a:graphic>
              <a:graphicData uri="http://schemas.openxmlformats.org/drawingml/2006/picture">
                <pic:pic>
                  <pic:nvPicPr>
                    <pic:cNvPr id="0" name="m6_requests_7.png"/>
                    <pic:cNvPicPr/>
                  </pic:nvPicPr>
                  <pic:blipFill>
                    <a:blip r:embed="rId86"/>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76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77" name="Picture 77"/>
            <wp:cNvGraphicFramePr>
              <a:graphicFrameLocks noChangeAspect="1"/>
            </wp:cNvGraphicFramePr>
            <a:graphic>
              <a:graphicData uri="http://schemas.openxmlformats.org/drawingml/2006/picture">
                <pic:pic>
                  <pic:nvPicPr>
                    <pic:cNvPr id="0" name="m6_notifications.png"/>
                    <pic:cNvPicPr/>
                  </pic:nvPicPr>
                  <pic:blipFill>
                    <a:blip r:embed="rId87"/>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77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78" name="Picture 78"/>
            <wp:cNvGraphicFramePr>
              <a:graphicFrameLocks noChangeAspect="1"/>
            </wp:cNvGraphicFramePr>
            <a:graphic>
              <a:graphicData uri="http://schemas.openxmlformats.org/drawingml/2006/picture">
                <pic:pic>
                  <pic:nvPicPr>
                    <pic:cNvPr id="0" name="m7_8_lc_terms_1.png"/>
                    <pic:cNvPicPr/>
                  </pic:nvPicPr>
                  <pic:blipFill>
                    <a:blip r:embed="rId88"/>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78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79" name="Picture 79"/>
            <wp:cNvGraphicFramePr>
              <a:graphicFrameLocks noChangeAspect="1"/>
            </wp:cNvGraphicFramePr>
            <a:graphic>
              <a:graphicData uri="http://schemas.openxmlformats.org/drawingml/2006/picture">
                <pic:pic>
                  <pic:nvPicPr>
                    <pic:cNvPr id="0" name="m7_8_lc_terms_2.png"/>
                    <pic:cNvPicPr/>
                  </pic:nvPicPr>
                  <pic:blipFill>
                    <a:blip r:embed="rId89"/>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79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80" name="Picture 80"/>
            <wp:cNvGraphicFramePr>
              <a:graphicFrameLocks noChangeAspect="1"/>
            </wp:cNvGraphicFramePr>
            <a:graphic>
              <a:graphicData uri="http://schemas.openxmlformats.org/drawingml/2006/picture">
                <pic:pic>
                  <pic:nvPicPr>
                    <pic:cNvPr id="0" name="m7_8_lc_terms_3.png"/>
                    <pic:cNvPicPr/>
                  </pic:nvPicPr>
                  <pic:blipFill>
                    <a:blip r:embed="rId90"/>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80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81" name="Picture 81"/>
            <wp:cNvGraphicFramePr>
              <a:graphicFrameLocks noChangeAspect="1"/>
            </wp:cNvGraphicFramePr>
            <a:graphic>
              <a:graphicData uri="http://schemas.openxmlformats.org/drawingml/2006/picture">
                <pic:pic>
                  <pic:nvPicPr>
                    <pic:cNvPr id="0" name="m7_8_lc_terms_4.png"/>
                    <pic:cNvPicPr/>
                  </pic:nvPicPr>
                  <pic:blipFill>
                    <a:blip r:embed="rId91"/>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81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82" name="Picture 82"/>
            <wp:cNvGraphicFramePr>
              <a:graphicFrameLocks noChangeAspect="1"/>
            </wp:cNvGraphicFramePr>
            <a:graphic>
              <a:graphicData uri="http://schemas.openxmlformats.org/drawingml/2006/picture">
                <pic:pic>
                  <pic:nvPicPr>
                    <pic:cNvPr id="0" name="m7_8_lc_terms_5.png"/>
                    <pic:cNvPicPr/>
                  </pic:nvPicPr>
                  <pic:blipFill>
                    <a:blip r:embed="rId92"/>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82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83" name="Picture 83"/>
            <wp:cNvGraphicFramePr>
              <a:graphicFrameLocks noChangeAspect="1"/>
            </wp:cNvGraphicFramePr>
            <a:graphic>
              <a:graphicData uri="http://schemas.openxmlformats.org/drawingml/2006/picture">
                <pic:pic>
                  <pic:nvPicPr>
                    <pic:cNvPr id="0" name="m7_8_lc_ops_1.png"/>
                    <pic:cNvPicPr/>
                  </pic:nvPicPr>
                  <pic:blipFill>
                    <a:blip r:embed="rId93"/>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83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84" name="Picture 84"/>
            <wp:cNvGraphicFramePr>
              <a:graphicFrameLocks noChangeAspect="1"/>
            </wp:cNvGraphicFramePr>
            <a:graphic>
              <a:graphicData uri="http://schemas.openxmlformats.org/drawingml/2006/picture">
                <pic:pic>
                  <pic:nvPicPr>
                    <pic:cNvPr id="0" name="m7_8_lc_ops_2.png"/>
                    <pic:cNvPicPr/>
                  </pic:nvPicPr>
                  <pic:blipFill>
                    <a:blip r:embed="rId94"/>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84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85" name="Picture 85"/>
            <wp:cNvGraphicFramePr>
              <a:graphicFrameLocks noChangeAspect="1"/>
            </wp:cNvGraphicFramePr>
            <a:graphic>
              <a:graphicData uri="http://schemas.openxmlformats.org/drawingml/2006/picture">
                <pic:pic>
                  <pic:nvPicPr>
                    <pic:cNvPr id="0" name="m7_8_lc_ops_3.png"/>
                    <pic:cNvPicPr/>
                  </pic:nvPicPr>
                  <pic:blipFill>
                    <a:blip r:embed="rId95"/>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85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86" name="Picture 86"/>
            <wp:cNvGraphicFramePr>
              <a:graphicFrameLocks noChangeAspect="1"/>
            </wp:cNvGraphicFramePr>
            <a:graphic>
              <a:graphicData uri="http://schemas.openxmlformats.org/drawingml/2006/picture">
                <pic:pic>
                  <pic:nvPicPr>
                    <pic:cNvPr id="0" name="m7_8_lc_ops_4.png"/>
                    <pic:cNvPicPr/>
                  </pic:nvPicPr>
                  <pic:blipFill>
                    <a:blip r:embed="rId96"/>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86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87" name="Picture 87"/>
            <wp:cNvGraphicFramePr>
              <a:graphicFrameLocks noChangeAspect="1"/>
            </wp:cNvGraphicFramePr>
            <a:graphic>
              <a:graphicData uri="http://schemas.openxmlformats.org/drawingml/2006/picture">
                <pic:pic>
                  <pic:nvPicPr>
                    <pic:cNvPr id="0" name="m7_8_lc_ops_5.png"/>
                    <pic:cNvPicPr/>
                  </pic:nvPicPr>
                  <pic:blipFill>
                    <a:blip r:embed="rId97"/>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87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88" name="Picture 88"/>
            <wp:cNvGraphicFramePr>
              <a:graphicFrameLocks noChangeAspect="1"/>
            </wp:cNvGraphicFramePr>
            <a:graphic>
              <a:graphicData uri="http://schemas.openxmlformats.org/drawingml/2006/picture">
                <pic:pic>
                  <pic:nvPicPr>
                    <pic:cNvPr id="0" name="m7_8_lc_ops_6.png"/>
                    <pic:cNvPicPr/>
                  </pic:nvPicPr>
                  <pic:blipFill>
                    <a:blip r:embed="rId98"/>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88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89" name="Picture 89"/>
            <wp:cNvGraphicFramePr>
              <a:graphicFrameLocks noChangeAspect="1"/>
            </wp:cNvGraphicFramePr>
            <a:graphic>
              <a:graphicData uri="http://schemas.openxmlformats.org/drawingml/2006/picture">
                <pic:pic>
                  <pic:nvPicPr>
                    <pic:cNvPr id="0" name="m7_8_lc_ops_7.png"/>
                    <pic:cNvPicPr/>
                  </pic:nvPicPr>
                  <pic:blipFill>
                    <a:blip r:embed="rId99"/>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89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90" name="Picture 90"/>
            <wp:cNvGraphicFramePr>
              <a:graphicFrameLocks noChangeAspect="1"/>
            </wp:cNvGraphicFramePr>
            <a:graphic>
              <a:graphicData uri="http://schemas.openxmlformats.org/drawingml/2006/picture">
                <pic:pic>
                  <pic:nvPicPr>
                    <pic:cNvPr id="0" name="m7_8_lc_ops_8.png"/>
                    <pic:cNvPicPr/>
                  </pic:nvPicPr>
                  <pic:blipFill>
                    <a:blip r:embed="rId100"/>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90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91" name="Picture 91"/>
            <wp:cNvGraphicFramePr>
              <a:graphicFrameLocks noChangeAspect="1"/>
            </wp:cNvGraphicFramePr>
            <a:graphic>
              <a:graphicData uri="http://schemas.openxmlformats.org/drawingml/2006/picture">
                <pic:pic>
                  <pic:nvPicPr>
                    <pic:cNvPr id="0" name="m7_8_lc_ops_9.png"/>
                    <pic:cNvPicPr/>
                  </pic:nvPicPr>
                  <pic:blipFill>
                    <a:blip r:embed="rId101"/>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91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confirmed 2026-10-19,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Decided by the owner (2026-10-19, docs/31-owner-decisions.md): the treasury manager sets the status at which the six rows must be complete. Until that status is set, no database rule is written.</w:t>
            </w:r>
          </w:p>
        </w:tc>
        <w:tc>
          <w:tcPr>
            <w:tcW w:type="dxa" w:w="2721"/>
          </w:tcPr>
          <w:p>
            <w:pPr>
              <w:spacing w:after="0" w:before="0"/>
            </w:pPr>
            <w:r/>
            <w:r>
              <w:rPr>
                <w:rFonts w:ascii="Arial" w:hAnsi="Arial"/>
                <w:b w:val="0"/>
                <w:sz w:val="15"/>
              </w:rPr>
              <w:t>The treasury manager names the status (draft, submitted or approved); then a rule is added to db/static with a test.</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Decided by the owner (2026-10-19, docs/31-owner-decisions.md): a licensed copy of the ICC text is provided, and a specialist checks each article number against it and records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Closed. The owner approved the recommended default of each of the 148 questions still open (2026-10-19, docs/31-owner-decisions.md decision 31); all 155 are now marked decided in section 14 of the specifications and in docs/10-detailed-analysis/90-consolidated-open-questions.md.</w:t>
            </w:r>
          </w:p>
        </w:tc>
        <w:tc>
          <w:tcPr>
            <w:tcW w:type="dxa" w:w="2721"/>
          </w:tcPr>
          <w:p>
            <w:pPr>
              <w:spacing w:after="0" w:before="0"/>
            </w:pPr>
            <w:r/>
            <w:r>
              <w:rPr>
                <w:rFonts w:ascii="Arial" w:hAnsi="Arial"/>
                <w:b w:val="0"/>
                <w:sz w:val="15"/>
              </w:rPr>
              <w:t>None. A question raised later is added to section 14 of its specification with a recommended default.</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247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fac.FacilityLenderDecision</w:t>
            </w:r>
          </w:p>
        </w:tc>
        <w:tc>
          <w:tcPr>
            <w:tcW w:type="dxa" w:w="10205"/>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fin.CompanyProductLine</w:t>
            </w:r>
          </w:p>
        </w:tc>
        <w:tc>
          <w:tcPr>
            <w:tcW w:type="dxa" w:w="10205"/>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fin.ConsolidationMember</w:t>
            </w:r>
          </w:p>
        </w:tc>
        <w:tc>
          <w:tcPr>
            <w:tcW w:type="dxa" w:w="10205"/>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fin.CountryRegion</w:t>
            </w:r>
          </w:p>
        </w:tc>
        <w:tc>
          <w:tcPr>
            <w:tcW w:type="dxa" w:w="10205"/>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fin.CountryRiskProfile</w:t>
            </w:r>
          </w:p>
        </w:tc>
        <w:tc>
          <w:tcPr>
            <w:tcW w:type="dxa" w:w="10205"/>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fin.CreditAssessment</w:t>
            </w:r>
          </w:p>
        </w:tc>
        <w:tc>
          <w:tcPr>
            <w:tcW w:type="dxa" w:w="10205"/>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fin.CreditAssessmentBureau</w:t>
            </w:r>
          </w:p>
        </w:tc>
        <w:tc>
          <w:tcPr>
            <w:tcW w:type="dxa" w:w="10205"/>
            <w:shd w:val="clear" w:color="auto" w:fill="E8EEF6"/>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fin.CreditAssessmentFacility</w:t>
            </w:r>
          </w:p>
        </w:tc>
        <w:tc>
          <w:tcPr>
            <w:tcW w:type="dxa" w:w="10205"/>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fin.CreditAssessmentFactor</w:t>
            </w:r>
          </w:p>
        </w:tc>
        <w:tc>
          <w:tcPr>
            <w:tcW w:type="dxa" w:w="10205"/>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1701"/>
            <w:shd w:val="clear" w:color="auto" w:fill="E8EEF6"/>
          </w:tcPr>
          <w:p>
            <w:pPr>
              <w:spacing w:after="0" w:before="0"/>
            </w:pPr>
            <w:r/>
            <w:r>
              <w:rPr>
                <w:rFonts w:ascii="Arial" w:hAnsi="Arial"/>
                <w:b w:val="0"/>
                <w:sz w:val="15"/>
              </w:rPr>
              <w:t>m5_financials_7</w:t>
            </w:r>
          </w:p>
        </w:tc>
      </w:tr>
      <w:tr>
        <w:trPr>
          <w:cantSplit w:val="true"/>
        </w:trPr>
        <w:tc>
          <w:tcPr>
            <w:tcW w:type="dxa" w:w="3515"/>
          </w:tcPr>
          <w:p>
            <w:pPr>
              <w:spacing w:after="0" w:before="0"/>
            </w:pPr>
            <w:r/>
            <w:r>
              <w:rPr>
                <w:rFonts w:ascii="Arial" w:hAnsi="Arial"/>
                <w:b w:val="0"/>
                <w:sz w:val="15"/>
              </w:rPr>
              <w:t>fin.CreditAssessmentFinding</w:t>
            </w:r>
          </w:p>
        </w:tc>
        <w:tc>
          <w:tcPr>
            <w:tcW w:type="dxa" w:w="10205"/>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fin.CreditAssessmentGuarantor</w:t>
            </w:r>
          </w:p>
        </w:tc>
        <w:tc>
          <w:tcPr>
            <w:tcW w:type="dxa" w:w="10205"/>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fin.CreditAssessmentInput</w:t>
            </w:r>
          </w:p>
        </w:tc>
        <w:tc>
          <w:tcPr>
            <w:tcW w:type="dxa" w:w="10205"/>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1701"/>
          </w:tcPr>
          <w:p>
            <w:pPr>
              <w:spacing w:after="0" w:before="0"/>
            </w:pPr>
            <w:r/>
            <w:r>
              <w:rPr>
                <w:rFonts w:ascii="Arial" w:hAnsi="Arial"/>
                <w:b w:val="0"/>
                <w:sz w:val="15"/>
              </w:rPr>
              <w:t>m5_financials_9</w:t>
            </w:r>
          </w:p>
        </w:tc>
      </w:tr>
      <w:tr>
        <w:trPr>
          <w:cantSplit w:val="true"/>
        </w:trPr>
        <w:tc>
          <w:tcPr>
            <w:tcW w:type="dxa" w:w="3515"/>
            <w:shd w:val="clear" w:color="auto" w:fill="E8EEF6"/>
          </w:tcPr>
          <w:p>
            <w:pPr>
              <w:spacing w:after="0" w:before="0"/>
            </w:pPr>
            <w:r/>
            <w:r>
              <w:rPr>
                <w:rFonts w:ascii="Arial" w:hAnsi="Arial"/>
                <w:b w:val="0"/>
                <w:sz w:val="15"/>
              </w:rPr>
              <w:t>fin.CreditAssessmentPlan</w:t>
            </w:r>
          </w:p>
        </w:tc>
        <w:tc>
          <w:tcPr>
            <w:tcW w:type="dxa" w:w="10205"/>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1701"/>
            <w:shd w:val="clear" w:color="auto" w:fill="E8EEF6"/>
          </w:tcPr>
          <w:p>
            <w:pPr>
              <w:spacing w:after="0" w:before="0"/>
            </w:pPr>
            <w:r/>
            <w:r>
              <w:rPr>
                <w:rFonts w:ascii="Arial" w:hAnsi="Arial"/>
                <w:b w:val="0"/>
                <w:sz w:val="15"/>
              </w:rPr>
              <w:t>m5_financials_9</w:t>
            </w:r>
          </w:p>
        </w:tc>
      </w:tr>
      <w:tr>
        <w:trPr>
          <w:cantSplit w:val="true"/>
        </w:trPr>
        <w:tc>
          <w:tcPr>
            <w:tcW w:type="dxa" w:w="3515"/>
          </w:tcPr>
          <w:p>
            <w:pPr>
              <w:spacing w:after="0" w:before="0"/>
            </w:pPr>
            <w:r/>
            <w:r>
              <w:rPr>
                <w:rFonts w:ascii="Arial" w:hAnsi="Arial"/>
                <w:b w:val="0"/>
                <w:sz w:val="15"/>
              </w:rPr>
              <w:t>fin.CreditAssessmentPlanStep</w:t>
            </w:r>
          </w:p>
        </w:tc>
        <w:tc>
          <w:tcPr>
            <w:tcW w:type="dxa" w:w="10205"/>
          </w:tcPr>
          <w:p>
            <w:pPr>
              <w:spacing w:after="0" w:before="0"/>
            </w:pPr>
            <w:r/>
            <w:r>
              <w:rPr>
                <w:rFonts w:ascii="Arial" w:hAnsi="Arial"/>
                <w:b w:val="0"/>
                <w:sz w:val="15"/>
              </w:rPr>
              <w:t>A step of a strengthening plan: the remedy applied, the amount it moved and the grade after it</w:t>
            </w:r>
          </w:p>
        </w:tc>
        <w:tc>
          <w:tcPr>
            <w:tcW w:type="dxa" w:w="1701"/>
          </w:tcPr>
          <w:p>
            <w:pPr>
              <w:spacing w:after="0" w:before="0"/>
            </w:pPr>
            <w:r/>
            <w:r>
              <w:rPr>
                <w:rFonts w:ascii="Arial" w:hAnsi="Arial"/>
                <w:b w:val="0"/>
                <w:sz w:val="15"/>
              </w:rPr>
              <w:t>m5_financials_10</w:t>
            </w:r>
          </w:p>
        </w:tc>
      </w:tr>
      <w:tr>
        <w:trPr>
          <w:cantSplit w:val="true"/>
        </w:trPr>
        <w:tc>
          <w:tcPr>
            <w:tcW w:type="dxa" w:w="3515"/>
            <w:shd w:val="clear" w:color="auto" w:fill="E8EEF6"/>
          </w:tcPr>
          <w:p>
            <w:pPr>
              <w:spacing w:after="0" w:before="0"/>
            </w:pPr>
            <w:r/>
            <w:r>
              <w:rPr>
                <w:rFonts w:ascii="Arial" w:hAnsi="Arial"/>
                <w:b w:val="0"/>
                <w:sz w:val="15"/>
              </w:rPr>
              <w:t>fin.CreditAssessmentReclass</w:t>
            </w:r>
          </w:p>
        </w:tc>
        <w:tc>
          <w:tcPr>
            <w:tcW w:type="dxa" w:w="10205"/>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fin.CreditAssessmentRemedy</w:t>
            </w:r>
          </w:p>
        </w:tc>
        <w:tc>
          <w:tcPr>
            <w:tcW w:type="dxa" w:w="10205"/>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fin.CreditAssessmentScenario</w:t>
            </w:r>
          </w:p>
        </w:tc>
        <w:tc>
          <w:tcPr>
            <w:tcW w:type="dxa" w:w="10205"/>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fin.CreditAssessmentTrigger</w:t>
            </w:r>
          </w:p>
        </w:tc>
        <w:tc>
          <w:tcPr>
            <w:tcW w:type="dxa" w:w="10205"/>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fin.CreditMetric</w:t>
            </w:r>
          </w:p>
        </w:tc>
        <w:tc>
          <w:tcPr>
            <w:tcW w:type="dxa" w:w="10205"/>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w:t>
            </w:r>
          </w:p>
        </w:tc>
        <w:tc>
          <w:tcPr>
            <w:tcW w:type="dxa" w:w="10205"/>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fin.CreditRemedyStep</w:t>
            </w:r>
          </w:p>
        </w:tc>
        <w:tc>
          <w:tcPr>
            <w:tcW w:type="dxa" w:w="10205"/>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fin.CreditRemedyTrigger</w:t>
            </w:r>
          </w:p>
        </w:tc>
        <w:tc>
          <w:tcPr>
            <w:tcW w:type="dxa" w:w="10205"/>
          </w:tcPr>
          <w:p>
            <w:pPr>
              <w:spacing w:after="0" w:before="0"/>
            </w:pPr>
            <w:r/>
            <w:r>
              <w:rPr>
                <w:rFonts w:ascii="Arial" w:hAnsi="Arial"/>
                <w:b w:val="0"/>
                <w:sz w:val="15"/>
              </w:rPr>
              <w:t>A finding a remedy answers: a metric or an adjustment code</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fin.CreditText</w:t>
            </w:r>
          </w:p>
        </w:tc>
        <w:tc>
          <w:tcPr>
            <w:tcW w:type="dxa" w:w="10205"/>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fin.IndustryProfile</w:t>
            </w:r>
          </w:p>
        </w:tc>
        <w:tc>
          <w:tcPr>
            <w:tcW w:type="dxa" w:w="10205"/>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fin.IndustrySensitivity</w:t>
            </w:r>
          </w:p>
        </w:tc>
        <w:tc>
          <w:tcPr>
            <w:tcW w:type="dxa" w:w="10205"/>
          </w:tcPr>
          <w:p>
            <w:pPr>
              <w:spacing w:after="0" w:before="0"/>
            </w:pPr>
            <w:r/>
            <w:r>
              <w:rPr>
                <w:rFonts w:ascii="Arial" w:hAnsi="Arial"/>
                <w:b w:val="0"/>
                <w:sz w:val="15"/>
              </w:rPr>
              <w:t>The sensitivity 0 (none) to 5 (extreme) of an activity to a driver of stress (docs/35 section 14)</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fin.MacroScenario</w:t>
            </w:r>
          </w:p>
        </w:tc>
        <w:tc>
          <w:tcPr>
            <w:tcW w:type="dxa" w:w="10205"/>
            <w:shd w:val="clear" w:color="auto" w:fill="E8EEF6"/>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fin.MacroScenarioCountry</w:t>
            </w:r>
          </w:p>
        </w:tc>
        <w:tc>
          <w:tcPr>
            <w:tcW w:type="dxa" w:w="10205"/>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fin.MacroScenarioIntensity</w:t>
            </w:r>
          </w:p>
        </w:tc>
        <w:tc>
          <w:tcPr>
            <w:tcW w:type="dxa" w:w="10205"/>
            <w:shd w:val="clear" w:color="auto" w:fill="E8EEF6"/>
          </w:tcPr>
          <w:p>
            <w:pPr>
              <w:spacing w:after="0" w:before="0"/>
            </w:pPr>
            <w:r/>
            <w:r>
              <w:rPr>
                <w:rFonts w:ascii="Arial" w:hAnsi="Arial"/>
                <w:b w:val="0"/>
                <w:sz w:val="15"/>
              </w:rPr>
              <w:t>The intensity 0 to 1 of a driver in a macro scenario (docs/35 section 14)</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fin.PresentationVersion</w:t>
            </w:r>
          </w:p>
        </w:tc>
        <w:tc>
          <w:tcPr>
            <w:tcW w:type="dxa" w:w="10205"/>
            <w:shd w:val="clear" w:color="auto" w:fill="E8EEF6"/>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fin.PresentationVersionStep</w:t>
            </w:r>
          </w:p>
        </w:tc>
        <w:tc>
          <w:tcPr>
            <w:tcW w:type="dxa" w:w="10205"/>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fin.ProductCategory</w:t>
            </w:r>
          </w:p>
        </w:tc>
        <w:tc>
          <w:tcPr>
            <w:tcW w:type="dxa" w:w="10205"/>
            <w:shd w:val="clear" w:color="auto" w:fill="E8EEF6"/>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fin.RatingGrade</w:t>
            </w:r>
          </w:p>
        </w:tc>
        <w:tc>
          <w:tcPr>
            <w:tcW w:type="dxa" w:w="10205"/>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fin.RevenueEstimate</w:t>
            </w:r>
          </w:p>
        </w:tc>
        <w:tc>
          <w:tcPr>
            <w:tcW w:type="dxa" w:w="10205"/>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fin.RiskAnchor</w:t>
            </w:r>
          </w:p>
        </w:tc>
        <w:tc>
          <w:tcPr>
            <w:tcW w:type="dxa" w:w="10205"/>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fin.Scorecard</w:t>
            </w:r>
          </w:p>
        </w:tc>
        <w:tc>
          <w:tcPr>
            <w:tcW w:type="dxa" w:w="10205"/>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fin.ScorecardAdjustment</w:t>
            </w:r>
          </w:p>
        </w:tc>
        <w:tc>
          <w:tcPr>
            <w:tcW w:type="dxa" w:w="10205"/>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fin.ScorecardItemRule</w:t>
            </w:r>
          </w:p>
        </w:tc>
        <w:tc>
          <w:tcPr>
            <w:tcW w:type="dxa" w:w="10205"/>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fin.ScorecardMetric</w:t>
            </w:r>
          </w:p>
        </w:tc>
        <w:tc>
          <w:tcPr>
            <w:tcW w:type="dxa" w:w="10205"/>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fin.ScorecardParameter</w:t>
            </w:r>
          </w:p>
        </w:tc>
        <w:tc>
          <w:tcPr>
            <w:tcW w:type="dxa" w:w="10205"/>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fin.ScorecardSubfactor</w:t>
            </w:r>
          </w:p>
        </w:tc>
        <w:tc>
          <w:tcPr>
            <w:tcW w:type="dxa" w:w="10205"/>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fin.ShockDriver</w:t>
            </w:r>
          </w:p>
        </w:tc>
        <w:tc>
          <w:tcPr>
            <w:tcW w:type="dxa" w:w="10205"/>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fin.StandardLine</w:t>
            </w:r>
          </w:p>
        </w:tc>
        <w:tc>
          <w:tcPr>
            <w:tcW w:type="dxa" w:w="10205"/>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fin.StandardLineTotal</w:t>
            </w:r>
          </w:p>
        </w:tc>
        <w:tc>
          <w:tcPr>
            <w:tcW w:type="dxa" w:w="10205"/>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fin.StatementRatio</w:t>
            </w:r>
          </w:p>
        </w:tc>
        <w:tc>
          <w:tcPr>
            <w:tcW w:type="dxa" w:w="10205"/>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fin.StrengtheningPlan</w:t>
            </w:r>
          </w:p>
        </w:tc>
        <w:tc>
          <w:tcPr>
            <w:tcW w:type="dxa" w:w="10205"/>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fin.StrengtheningPlanMember</w:t>
            </w:r>
          </w:p>
        </w:tc>
        <w:tc>
          <w:tcPr>
            <w:tcW w:type="dxa" w:w="10205"/>
            <w:shd w:val="clear" w:color="auto" w:fill="E8EEF6"/>
          </w:tcPr>
          <w:p>
            <w:pPr>
              <w:spacing w:after="0" w:before="0"/>
            </w:pPr>
            <w:r/>
            <w:r>
              <w:rPr>
                <w:rFonts w:ascii="Arial" w:hAnsi="Arial"/>
                <w:b w:val="0"/>
                <w:sz w:val="15"/>
              </w:rPr>
              <w:t>A remedy of a package plan, in the order the plan applies it</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obl.CovenantTestStatement</w:t>
            </w:r>
          </w:p>
        </w:tc>
        <w:tc>
          <w:tcPr>
            <w:tcW w:type="dxa" w:w="10205"/>
            <w:shd w:val="clear" w:color="auto" w:fill="E8EEF6"/>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ref.Industry</w:t>
            </w:r>
          </w:p>
        </w:tc>
        <w:tc>
          <w:tcPr>
            <w:tcW w:type="dxa" w:w="10205"/>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247</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912</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206</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706</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628</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78</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650</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792</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91</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