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255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13">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1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24">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2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2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2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28">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29">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4597"/>
        <w:gridCol w:w="4307"/>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(ADR 0027):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والإجراء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في 051، ودالة الإنذار بتاريخ في 049؛ 249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(ADR 0028): حدثان أحمر وأصفر، وسبب الجاهزية </w:t>
            </w:r>
            <w:r>
              <w:rPr>
                <w:rFonts w:ascii="Courier New" w:cs="Courier New" w:eastAsia="Courier New" w:hAnsi="Courier New"/>
                <w:b w:val="false"/>
                <w:bCs w:val="false"/>
                <w:color w:val="1F2937"/>
                <w:sz w:val="16"/>
                <w:szCs w:val="16"/>
                <w:shd w:fill="F1F3F5" w:color="auto" w:val="clear"/>
                <w:rtl/>
              </w:rPr>
              <w:t xml:space="preserve">‎ReasonCode‎</w:t>
            </w:r>
            <w:r>
              <w:rPr>
                <w:rFonts w:ascii="Arial" w:cs="Arial" w:eastAsia="Arial" w:hAnsi="Arial"/>
                <w:b w:val="false"/>
                <w:bCs w:val="false"/>
                <w:sz w:val="18"/>
                <w:szCs w:val="18"/>
                <w:rtl/>
              </w:rPr>
              <w:t xml:space="preserve"> في 049 وفي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وقيم القوالب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(051)، وأول حزمة للمشترك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المراجعة المعمارية 3.0 (ADR 0029): تصديق التقييم للاستعمال خارج الشركة (</w:t>
            </w:r>
            <w:r>
              <w:rPr>
                <w:rFonts w:ascii="Courier New" w:cs="Courier New" w:eastAsia="Courier New" w:hAnsi="Courier New"/>
                <w:b w:val="false"/>
                <w:bCs w:val="false"/>
                <w:color w:val="1F2937"/>
                <w:sz w:val="16"/>
                <w:szCs w:val="16"/>
                <w:shd w:fill="F1F3F5" w:color="auto" w:val="clear"/>
                <w:rtl/>
              </w:rPr>
              <w:t xml:space="preserve">‎EndorsedBy‎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‎EndorsedOn‎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‎EndorsementNote‎</w:t>
            </w:r>
            <w:r>
              <w:rPr>
                <w:rFonts w:ascii="Arial" w:cs="Arial" w:eastAsia="Arial" w:hAnsi="Arial"/>
                <w:b w:val="false"/>
                <w:bCs w:val="false"/>
                <w:sz w:val="18"/>
                <w:szCs w:val="18"/>
                <w:rtl/>
              </w:rPr>
              <w:t xml:space="preserve"> والإجراء في 052 والصلاحية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وسبب الاختيار </w:t>
            </w:r>
            <w:r>
              <w:rPr>
                <w:rFonts w:ascii="Courier New" w:cs="Courier New" w:eastAsia="Courier New" w:hAnsi="Courier New"/>
                <w:b w:val="false"/>
                <w:bCs w:val="false"/>
                <w:color w:val="1F2937"/>
                <w:sz w:val="16"/>
                <w:szCs w:val="16"/>
                <w:shd w:fill="F1F3F5" w:color="auto" w:val="clear"/>
                <w:rtl/>
              </w:rPr>
              <w:t xml:space="preserve">‎ChoiceReason‎</w:t>
            </w:r>
            <w:r>
              <w:rPr>
                <w:rFonts w:ascii="Arial" w:cs="Arial" w:eastAsia="Arial" w:hAnsi="Arial"/>
                <w:b w:val="false"/>
                <w:bCs w:val="false"/>
                <w:sz w:val="18"/>
                <w:szCs w:val="18"/>
                <w:rtl/>
              </w:rPr>
              <w:t xml:space="preserve"> على نسخة العرض، والمعايرة المتراكمة </w:t>
            </w:r>
            <w:r>
              <w:rPr>
                <w:rFonts w:ascii="Courier New" w:cs="Courier New" w:eastAsia="Courier New" w:hAnsi="Courier New"/>
                <w:b w:val="false"/>
                <w:bCs w:val="false"/>
                <w:color w:val="1F2937"/>
                <w:sz w:val="16"/>
                <w:szCs w:val="16"/>
                <w:shd w:fill="F1F3F5" w:color="auto" w:val="clear"/>
                <w:rtl/>
              </w:rPr>
              <w:t xml:space="preserve">‎fin.v_LenderRatingCalibration‎</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w:t>
            </w:r>
            <w:r>
              <w:rPr>
                <w:rFonts w:ascii="Courier New" w:cs="Courier New" w:eastAsia="Courier New" w:hAnsi="Courier New"/>
                <w:b w:val="false"/>
                <w:bCs w:val="false"/>
                <w:color w:val="1F2937"/>
                <w:sz w:val="16"/>
                <w:szCs w:val="16"/>
                <w:shd w:fill="F1F3F5" w:color="auto" w:val="clear"/>
                <w:rtl/>
              </w:rPr>
              <w:t xml:space="preserve">‎docs/37‎</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دراسة المراجعة 4.0 (ADR 0030، القرار 35): تجميد الأرقام الشهرية المؤكدة وإعادة فتحها، و</w:t>
            </w:r>
            <w:r>
              <w:rPr>
                <w:rFonts w:ascii="Courier New" w:cs="Courier New" w:eastAsia="Courier New" w:hAnsi="Courier New"/>
                <w:b w:val="false"/>
                <w:bCs w:val="false"/>
                <w:color w:val="1F2937"/>
                <w:sz w:val="16"/>
                <w:szCs w:val="16"/>
                <w:shd w:fill="F1F3F5" w:color="auto" w:val="clear"/>
                <w:rtl/>
              </w:rPr>
              <w:t xml:space="preserve">‎fin.AssessmentEvidencePack‎</w:t>
            </w:r>
            <w:r>
              <w:rPr>
                <w:rFonts w:ascii="Arial" w:cs="Arial" w:eastAsia="Arial" w:hAnsi="Arial"/>
                <w:b w:val="false"/>
                <w:bCs w:val="false"/>
                <w:sz w:val="18"/>
                <w:szCs w:val="18"/>
                <w:rtl/>
              </w:rPr>
              <w:t xml:space="preserve"> وحزمة الأدلة، والمعايرة في الجاهزية، وإنذار المصدِّقين، والدور RK، و</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251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35 (2026-10-20)،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C-29</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(ADR 0031): </w:t>
            </w:r>
            <w:r>
              <w:rPr>
                <w:rFonts w:ascii="Courier New" w:cs="Courier New" w:eastAsia="Courier New" w:hAnsi="Courier New"/>
                <w:b w:val="false"/>
                <w:bCs w:val="false"/>
                <w:color w:val="1F2937"/>
                <w:sz w:val="16"/>
                <w:szCs w:val="16"/>
                <w:shd w:fill="F1F3F5" w:color="auto" w:val="clear"/>
                <w:rtl/>
              </w:rPr>
              <w:t xml:space="preserve">‎fin.ReportingPeriodLock‎</w:t>
            </w:r>
            <w:r>
              <w:rPr>
                <w:rFonts w:ascii="Arial" w:cs="Arial" w:eastAsia="Arial" w:hAnsi="Arial"/>
                <w:b w:val="false"/>
                <w:bCs w:val="false"/>
                <w:sz w:val="18"/>
                <w:szCs w:val="18"/>
                <w:rtl/>
              </w:rPr>
              <w:t xml:space="preserve"> والإقفال وإعادة الفتح والقوادح في 053، والصلاحية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252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البند 2 من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C-30</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المراجعة الخارجية 5.0 الثلاثة (2026-10-21): بقية DR-20 بقوادح حالة المفتاح في 054 (ADR 0032)؛ سلسلة بصمات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تكتبها 055 مع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(ADR 0033)؛ دفتر الترحيلات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في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وصار 010 قابلًا لإعادة التشغيل (ADR 0034)؛ 255 جدولًا</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255</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4,200 مُعرَّفة في النماذج + الأعمدة الآلية = </w:t>
            </w:r>
            <w:r>
              <w:rPr>
                <w:rFonts w:ascii="Arial" w:cs="Arial" w:eastAsia="Arial" w:hAnsi="Arial"/>
                <w:b/>
                <w:bCs/>
                <w:sz w:val="18"/>
                <w:szCs w:val="18"/>
                <w:rtl/>
              </w:rPr>
              <w:t xml:space="preserve">4,821</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936</w:t>
            </w:r>
            <w:r>
              <w:rPr>
                <w:rFonts w:ascii="Arial" w:cs="Arial" w:eastAsia="Arial" w:hAnsi="Arial"/>
                <w:b w:val="false"/>
                <w:bCs w:val="false"/>
                <w:sz w:val="18"/>
                <w:szCs w:val="18"/>
                <w:rtl/>
              </w:rPr>
              <w:t xml:space="preserve"> = 212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596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804 غير مجمّع (236 مصفّاة · 52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1,494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+ 155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210 (207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الـ45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العالمية المحجوبة الخمسة والداخلية الثلاثة (§3.3)، ورأس سلسلة التدقيق ومراسيها ودفتر الترحيلات (ADR 0033، ADR 0034)؛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207</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 055)، أو أداة الترحيل بحساب النشر (ADR 0034)</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منفّذة (2026-10-21، ADR 0033):</w:t>
      </w:r>
      <w:r>
        <w:rPr>
          <w:rFonts w:ascii="Arial" w:cs="Arial" w:eastAsia="Arial" w:hAnsi="Arial"/>
          <w:b w:val="false"/>
          <w:bCs w:val="false"/>
          <w:sz w:val="21"/>
          <w:szCs w:val="21"/>
          <w:rtl/>
        </w:rPr>
        <w:t xml:space="preserve"> يكتب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السلسلة عند كل إدراج، وتسجّل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المراسي، ويحفظها </w:t>
      </w:r>
      <w:r>
        <w:rPr>
          <w:rFonts w:ascii="Courier New" w:cs="Courier New" w:eastAsia="Courier New" w:hAnsi="Courier New"/>
          <w:b w:val="false"/>
          <w:bCs w:val="false"/>
          <w:color w:val="1F2937"/>
          <w:sz w:val="18"/>
          <w:szCs w:val="18"/>
          <w:shd w:fill="F1F3F5" w:color="auto" w:val="clear"/>
          <w:rtl/>
        </w:rPr>
        <w:t xml:space="preserve">‎tools/deploy/audit_anchor.sh‎</w:t>
      </w:r>
      <w:r>
        <w:rPr>
          <w:rFonts w:ascii="Arial" w:cs="Arial" w:eastAsia="Arial" w:hAnsi="Arial"/>
          <w:b w:val="false"/>
          <w:bCs w:val="false"/>
          <w:sz w:val="21"/>
          <w:szCs w:val="21"/>
          <w:rtl/>
        </w:rPr>
        <w:t xml:space="preserve"> خارج القاعدة ويتحقق منها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1771650"/>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621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1562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1537"/>
        <w:gridCol w:w="2314"/>
        <w:gridCol w:w="837"/>
        <w:gridCol w:w="837"/>
        <w:gridCol w:w="837"/>
        <w:gridCol w:w="837"/>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‎plat.SchemaMigration‎</w:t>
            </w:r>
          </w:p>
        </w:tc>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 of the schema scripts applied to this database (DOC-B11 section 6)</w:t>
            </w:r>
          </w:p>
        </w:tc>
        <w:tc>
          <w:tcPr>
            <w:tcW w:type="dxa" w:w="2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SchemaMigrationId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47637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1476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0"/>
        <w:gridCol w:w="2696"/>
        <w:gridCol w:w="1712"/>
        <w:gridCol w:w="844"/>
        <w:gridCol w:w="844"/>
        <w:gridCol w:w="844"/>
        <w:gridCol w:w="844"/>
      </w:tblGrid>
      <w:tr>
        <w:trPr>
          <w:cantSplit/>
          <w:tblHeader/>
        </w:trPr>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1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812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981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Connection binding for the row filters (O-16)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‎sec.SessionBinding.BoundTenantId‎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7642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1876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6"/>
        <w:gridCol w:w="1658"/>
        <w:gridCol w:w="2312"/>
        <w:gridCol w:w="837"/>
        <w:gridCol w:w="837"/>
        <w:gridCol w:w="837"/>
        <w:gridCol w:w="837"/>
      </w:tblGrid>
      <w:tr>
        <w:trPr>
          <w:cantSplit/>
          <w:tblHeader/>
        </w:trPr>
        <w:tc>
          <w:tcPr>
            <w:tcW w:type="dxa" w:w="25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‎aud.AuditChainAnchor‎</w:t>
            </w:r>
          </w:p>
        </w:tc>
        <w:tc>
          <w:tcPr>
            <w:tcW w:type="dxa" w:w="1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Anchor of an audit chain: its head at a moment, also kept outside the database (DOC-S12 section 5.3)</w:t>
            </w:r>
          </w:p>
        </w:tc>
        <w:tc>
          <w:tcPr>
            <w:tcW w:type="dxa" w:w="2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AuditChainAnchorId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‎aud.AuditChainHead‎</w:t>
            </w:r>
          </w:p>
        </w:tc>
        <w:tc>
          <w:tcPr>
            <w:tcW w:type="dxa" w:w="1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Head of each audit hash chain: its last sequence number and hash (FR-PLT-025)</w:t>
            </w:r>
          </w:p>
        </w:tc>
        <w:tc>
          <w:tcPr>
            <w:tcW w:type="dxa" w:w="2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ChainKey</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41433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4143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1"/>
        <w:gridCol w:w="1872"/>
        <w:gridCol w:w="889"/>
        <w:gridCol w:w="889"/>
        <w:gridCol w:w="889"/>
        <w:gridCol w:w="889"/>
        <w:gridCol w:w="985"/>
      </w:tblGrid>
      <w:tr>
        <w:trPr>
          <w:cantSplit/>
          <w:tblHeader/>
        </w:trPr>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62375"/>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62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‎org.Company.IndustryId‎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 (1/2)</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04950"/>
            <wp:effectExtent t="0" r="0" b="0" l="0"/>
            <wp:docPr id="1" name="diagrams/erd/m4_global_ref_1.png" descr="م4 · المراجع العامة (ref) (1/2)" title="م4 · المراجع العامة (re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2598"/>
        <w:gridCol w:w="1677"/>
        <w:gridCol w:w="894"/>
        <w:gridCol w:w="894"/>
        <w:gridCol w:w="894"/>
        <w:gridCol w:w="894"/>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economic activity of the Saudi classification of economic activities (GASTAT, ISIC Rev.4): section and division; a company's main activity (docs/35 section 5)</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2"/>
        <w:gridCol w:w="1780"/>
        <w:gridCol w:w="1038"/>
        <w:gridCol w:w="1038"/>
        <w:gridCol w:w="962"/>
        <w:gridCol w:w="962"/>
        <w:gridCol w:w="962"/>
      </w:tblGrid>
      <w:tr>
        <w:trPr>
          <w:cantSplit/>
          <w:tblHeader/>
        </w:trPr>
        <w:tc>
          <w:tcPr>
            <w:tcW w:type="dxa" w:w="3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‎ref.Industry.ParentId‎</w:t>
            </w:r>
          </w:p>
        </w:tc>
        <w:tc>
          <w:tcPr>
            <w:tcW w:type="dxa" w:w="17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م4 · المراجع العامة (ref) (2/2)</w:t>
      </w:r>
      <w:bookmarkEnd w:id="69"/>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343150"/>
            <wp:effectExtent t="0" r="0" b="0" l="0"/>
            <wp:docPr id="1" name="diagrams/erd/m4_global_ref_2.png" descr="م4 · المراجع العامة (ref) (2/2)" title="م4 · المراجع العامة (ref)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343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2250"/>
        <w:gridCol w:w="1886"/>
        <w:gridCol w:w="882"/>
        <w:gridCol w:w="882"/>
        <w:gridCol w:w="882"/>
        <w:gridCol w:w="882"/>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0" w:id="70"/>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70"/>
    </w:p>
    <w:p>
      <w:pPr>
        <w:pStyle w:val="Heading3"/>
        <w:bidi/>
      </w:pPr>
      <w:bookmarkStart w:name="_sec71" w:id="71"/>
      <w:r>
        <w:rPr>
          <w:rFonts w:ascii="Arial" w:cs="Arial" w:eastAsia="Arial" w:hAnsi="Arial"/>
          <w:b/>
          <w:bCs/>
          <w:color w:val="2B5C8A"/>
          <w:sz w:val="23"/>
          <w:szCs w:val="23"/>
          <w:rtl/>
        </w:rPr>
        <w:t xml:space="preserve">م5 · التسهيلات والمراجعات (1/2)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التسهيلات والمراجعات (2/2)</w:t>
      </w:r>
      <w:bookmarkEnd w:id="72"/>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181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FacilityLenderDecisionId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27"/>
        <w:gridCol w:w="1487"/>
        <w:gridCol w:w="869"/>
        <w:gridCol w:w="869"/>
        <w:gridCol w:w="869"/>
        <w:gridCol w:w="869"/>
        <w:gridCol w:w="874"/>
      </w:tblGrid>
      <w:tr>
        <w:trPr>
          <w:cantSplit/>
          <w:tblHeader/>
        </w:trPr>
        <w:tc>
          <w:tcPr>
            <w:tcW w:type="dxa" w:w="4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‎fac.FacilityLenderDecision.FacilityId‎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‎fac.FacilityLenderDecision.LenderInstitutionId‎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‎fac.FacilityLenderDecision.VerifiedBy‎</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‎fac.FacilityLenderDecision.ConflictId‎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(1/2)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الحدود والاستخدام والحجوزات (2/2)</w:t>
      </w:r>
      <w:bookmarkEnd w:id="74"/>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(1/2)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التسعير وشروط المقارنة (2/2)</w:t>
      </w:r>
      <w:bookmarkEnd w:id="76"/>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(1/2)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الضمانات (2/2)</w:t>
      </w:r>
      <w:bookmarkEnd w:id="7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(1/3)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(2/3)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الالتزامات والتعهدات (3/3)</w:t>
      </w:r>
      <w:bookmarkEnd w:id="81"/>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(1/15)</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619250"/>
            <wp:effectExtent t="0" r="0" b="0" l="0"/>
            <wp:docPr id="1" name="diagrams/erd/m5_financials_1.png" descr="م5 · البيانات المالية والأرصدة (1/15)" title="م5 · البيانات المالية والأرصدة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619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sealed evidence pack of an endorsed assessment, built for an auditor or a lender: the assessment, its statement versions and lines, findings, reconciliation, calibration and audit rows in one JSON document whose SHA-256 is kept here; the same content gives the same hash (ADR 0030)</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AssessmentEvidencePackId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product or service line of a company for a fiscal year: its category, share of revenue and of inventory, and its sales channels; read by the credit assessment for the quality of cash flows and the liquidity of the inventory (docs/35 section 5)</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CompanyProductLineId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7"/>
        <w:gridCol w:w="1686"/>
        <w:gridCol w:w="863"/>
        <w:gridCol w:w="863"/>
        <w:gridCol w:w="863"/>
        <w:gridCol w:w="863"/>
        <w:gridCol w:w="1349"/>
      </w:tblGrid>
      <w:tr>
        <w:trPr>
          <w:cantSplit/>
          <w:tblHeader/>
        </w:trPr>
        <w:tc>
          <w:tcPr>
            <w:tcW w:type="dxa" w:w="33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‎fin.AccountMonthlyStat.EnteredBy‎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‎fin.AccountMonthlyStat.ConfirmedBy‎</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‎fin.AccountMonthlyStat.LastReopenedBy‎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‎fin.AssessmentEvidencePack.AssessmentId‎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‎fin.AssessmentEvidencePack.GeneratedBy‎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‎fin.BankFlowEntry.LastReopenedBy‎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‎fin.CompanyProductLine.CompanyId‎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‎fin.CompanyProductLine.ProductCategoryId‎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(2/15)</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62250"/>
            <wp:effectExtent t="0" r="0" b="0" l="0"/>
            <wp:docPr id="1" name="diagrams/erd/m5_financials_2.png" descr="م5 · البيانات المالية والأرصدة (2/15)" title="م5 · البيانات المالية والأرصدة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2762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city or region of a country and how much more or less its property falls, and how exposed it is to conflict, than its country (docs/35 section 14)</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CountryRegionId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CountryRiskProfileId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3"/>
        <w:gridCol w:w="1730"/>
        <w:gridCol w:w="853"/>
        <w:gridCol w:w="853"/>
        <w:gridCol w:w="853"/>
        <w:gridCol w:w="853"/>
        <w:gridCol w:w="1179"/>
      </w:tblGrid>
      <w:tr>
        <w:trPr>
          <w:cantSplit/>
          <w:tblHeader/>
        </w:trPr>
        <w:tc>
          <w:tcPr>
            <w:tcW w:type="dxa" w:w="3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‎fin.CountryRegion.CountryId‎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‎fin.CountryRiskProfile.CountryId‎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‎fin.CountryRiskProfile.SovereignRatingGradeId‎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‎fin.CountryRiskProfile.CeilingGradeId‎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‎fin.CreditAssessment.EndorsedBy‎</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‎fin.CreditAssessment.IndustryId‎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‎fin.CreditAssessment.MarketCountryId‎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‎fin.CreditAssessment.AnchorGradeId‎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‎fin.CreditAssessment.CountryCeilingGradeId‎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(3/15)</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04875"/>
            <wp:effectExtent t="0" r="0" b="0" l="0"/>
            <wp:docPr id="1" name="diagrams/erd/m5_financials_3.png" descr="م5 · البيانات المالية والأرصدة (3/15)" title="م5 · البيانات المالية والأرصدة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904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company's SIMAH commercial credit report the analyst read: exposure at all lenders, payment behaviour, defaults, bounced cheques, judgments (docs/35 section 10); changes only while the assessment is a draft</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CreditAssessmentBureauId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facility of the company read from the platform on the assessment date: its limit, outstanding, lender, commitment, expiry and collateral cover, in the statement currency; written by fin.usp_ComputeCreditAssessment only (docs/35 section 10)</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CreditAssessmentFacilityId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24"/>
        <w:gridCol w:w="2015"/>
        <w:gridCol w:w="825"/>
        <w:gridCol w:w="825"/>
        <w:gridCol w:w="825"/>
        <w:gridCol w:w="825"/>
        <w:gridCol w:w="825"/>
      </w:tblGrid>
      <w:tr>
        <w:trPr>
          <w:cantSplit/>
          <w:tblHeader/>
        </w:trPr>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‎fin.CreditAssessmentBureau.DocumentId‎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‎fin.CreditAssessmentFacility.FacilityId‎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‎fin.CreditAssessmentFacility.LenderInstitutionId‎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‎fin.CreditAssessmentFacility.CurrencyId‎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‎fin.CreditAssessmentFacility.LenderDecisionId‎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(4/15)</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266825"/>
            <wp:effectExtent t="0" r="0" b="0" l="0"/>
            <wp:docPr id="1" name="diagrams/erd/m5_financials_4.png" descr="م5 · البيانات المالية والأرصدة (4/15)" title="م5 · البيانات المالية والأرصدة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266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2383"/>
        <w:gridCol w:w="2074"/>
        <w:gridCol w:w="795"/>
        <w:gridCol w:w="795"/>
        <w:gridCol w:w="795"/>
        <w:gridCol w:w="795"/>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guarantor of the company's facilities with the net worth statement the analyst read: partners' solvency for the facility grade (docs/35 section 10); changes only while the assessment is a draft</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CreditAssessmentGuarantorId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strengthening plan computed for the assessment when the customer asked for one: the grade at its end and whether the balance sheet stayed balanced; written by fin.usp_ComputeCreditAssessment only (docs/35 section 12)</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strengthening plan: the remedy applied, the amount it moved and the grade after it</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CreditAssessmentPlanStepId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0"/>
        <w:gridCol w:w="1884"/>
        <w:gridCol w:w="842"/>
        <w:gridCol w:w="842"/>
        <w:gridCol w:w="842"/>
        <w:gridCol w:w="842"/>
        <w:gridCol w:w="842"/>
      </w:tblGrid>
      <w:tr>
        <w:trPr>
          <w:cantSplit/>
          <w:tblHeader/>
        </w:trPr>
        <w:tc>
          <w:tcPr>
            <w:tcW w:type="dxa" w:w="3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‎fin.CreditAssessmentGuarantor.PartyId‎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‎fin.CreditAssessmentGuarantor.DocumentId‎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‎fin.CreditAssessmentInput.SubfactorId‎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‎fin.CreditAssessmentInput.CurrencyId‎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‎fin.CreditAssessmentPlan.PlanId‎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‎fin.CreditAssessmentPlan.FinalGradeId‎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‎fin.CreditAssessmentPlanStep.PlanId‎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‎fin.CreditAssessmentPlanStep.RemedyId‎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م5 · البيانات المالية والأرصدة (5/15)</w:t>
      </w:r>
      <w:bookmarkEnd w:id="8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5.png" descr="م5 · البيانات المالية والأرصدة (5/15)" title="م5 · البيانات المالية والأرصدة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row of the reconciliation of the analytical statement: a standard adjustment that moved an amount of a reported line to an analytical bucket; written by fin.usp_ComputeCreditAssessment only (docs/35 section 6)</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CreditAssessmentReclassId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with the finding it answers and the grade the pro-forma statement would get; written by fin.usp_ComputeCreditAssessment only (docs/35 section 12)</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CreditAssessmentRemedyId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assessment recomputed on the statement under each macro scenario, with the stress applied: the grade, the liquidity label and the notches lost; written by fin.usp_ComputeCreditAssessment only (docs/35 section 13)</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CreditAssessmentScenarioId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What would move the scorecard grade one notch: the value of a metric at which the weighted score crosses to the grade above or below, the other metrics unchanged (docs/35 section 15)</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CreditAssessmentTriggerId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‎fin.CreditAssessmentRemedy.RemedyId‎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‎fin.CreditAssessmentRemedy.ProFormaGradeId‎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‎fin.CreditAssessmentScenario.MacroScenarioId‎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‎fin.CreditAssessmentTrigger.MetricId‎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م5 · البيانات المالية والأرصدة (6/15)</w:t>
      </w:r>
      <w:bookmarkEnd w:id="8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5_financials_6.png" descr="م5 · البيانات المالية والأرصدة (6/15)" title="م5 · البيانات المالية والأرصدة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(6/15)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against a finding: a real action, or a presentation that follows the legal substance and needs its evidence, with the change it makes to the statement for the pro-forma grade (docs/35 section 12)</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remedy's pro-forma: an amount, a share of a reference line capped by what the lines decreased hold, taken from up to three lines and added to up to three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CreditRemedyStepId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a remedy answers: a metric or an adjustment code</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CreditRemedyTriggerId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792"/>
        <w:gridCol w:w="897"/>
        <w:gridCol w:w="897"/>
        <w:gridCol w:w="897"/>
        <w:gridCol w:w="897"/>
        <w:gridCol w:w="897"/>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‎fin.CreditRemedyStep.RemedyId‎</w:t>
            </w:r>
          </w:p>
        </w:tc>
        <w:tc>
          <w:tcPr>
            <w:tcW w:type="dxa" w:w="17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‎fin.CreditRemedyTrigger.RemedyId‎</w:t>
            </w:r>
          </w:p>
        </w:tc>
        <w:tc>
          <w:tcPr>
            <w:tcW w:type="dxa" w:w="17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م5 · البيانات المالية والأرصدة (7/15)</w:t>
      </w:r>
      <w:bookmarkEnd w:id="8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52500"/>
            <wp:effectExtent t="0" r="0" b="0" l="0"/>
            <wp:docPr id="1" name="diagrams/erd/m5_financials_7.png" descr="م5 · البيانات المالية والأرصدة (7/15)" title="م5 · البيانات المالية والأرصدة (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952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(7/15)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‎fin.CreditText‎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text of the credit report: the reconciliation rows, the disclosures and data the report asks for, the outlook rules and views, the liquidity labels, the resilience and the funding kinds (docs/35)</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CreditTextId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EarlyWarningAlertId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IndustryProfileId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‎fin.EarlyWarningAlert.AssessmentId‎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 Nature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‎fin.IndustryProfile.CeilingGradeId‎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م5 · البيانات المالية والأرصدة (8/15)</w:t>
      </w:r>
      <w:bookmarkEnd w:id="8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90750"/>
            <wp:effectExtent t="0" r="0" b="0" l="0"/>
            <wp:docPr id="1" name="diagrams/erd/m5_financials_8.png" descr="م5 · البيانات المالية والأرصدة (8/15)" title="م5 · البيانات المالية والأرصدة (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190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(8/15)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3"/>
        <w:gridCol w:w="1818"/>
        <w:gridCol w:w="2271"/>
        <w:gridCol w:w="823"/>
        <w:gridCol w:w="823"/>
        <w:gridCol w:w="823"/>
        <w:gridCol w:w="823"/>
      </w:tblGrid>
      <w:tr>
        <w:trPr>
          <w:cantSplit/>
          <w:tblHeader/>
        </w:trPr>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sensitivity 0 (none) to 5 (extreme) of an activity to a driver of stress (docs/35 section 14)</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IndustrySensitivityId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LenderRatingId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‎fin.IndustrySensitivity.IndustryId‎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‎fin.IndustrySensitivity.ShockDriverId‎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‎fin.LenderRating.CompanyId‎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‎fin.LenderRating.LenderInstitutionId‎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‎fin.LenderRating.GradeId‎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‎fin.LenderRating.SourceDocumentId‎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‎fin.LenderRating.VerifiedBy‎</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‎fin.LenderRating.ConflictId‎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م5 · البيانات المالية والأرصدة (9/15)</w:t>
      </w:r>
      <w:bookmarkEnd w:id="9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81325"/>
            <wp:effectExtent t="0" r="0" b="0" l="0"/>
            <wp:docPr id="1" name="diagrams/erd/m5_financials_9.png" descr="م5 · البيانات المالية والأرصدة (9/15)" title="م5 · البيانات المالية والأرصدة (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981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(9/15)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24"/>
        <w:gridCol w:w="1745"/>
        <w:gridCol w:w="2327"/>
        <w:gridCol w:w="817"/>
        <w:gridCol w:w="817"/>
        <w:gridCol w:w="817"/>
        <w:gridCol w:w="817"/>
      </w:tblGrid>
      <w:tr>
        <w:trPr>
          <w:cantSplit/>
          <w:tblHeader/>
        </w:trPr>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multiplier of a macro scenario's stress for a country it hits more or less than others; a country without a row takes the scenario's OtherCountryMult (docs/35 section 14, ADR 0020)</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MacroScenarioCountryId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intensity 0 to 1 of a driver in a macro scenario (docs/35 section 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MacroScenarioIntensityId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6"/>
        <w:gridCol w:w="1673"/>
        <w:gridCol w:w="857"/>
        <w:gridCol w:w="857"/>
        <w:gridCol w:w="857"/>
        <w:gridCol w:w="857"/>
        <w:gridCol w:w="857"/>
      </w:tblGrid>
      <w:tr>
        <w:trPr>
          <w:cantSplit/>
          <w:tblHeader/>
        </w:trPr>
        <w:tc>
          <w:tcPr>
            <w:tcW w:type="dxa" w:w="3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‎fin.MacroScenarioCountry.MacroScenarioId‎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‎fin.MacroScenarioCountry.CountryId‎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‎fin.MacroScenarioIntensity.MacroScenarioId‎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‎fin.MacroScenarioIntensity.ShockDriverId‎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م5 · البيانات المالية والأرصدة (10/15)</w:t>
      </w:r>
      <w:bookmarkEnd w:id="9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00400"/>
            <wp:effectExtent t="0" r="0" b="0" l="0"/>
            <wp:docPr id="1" name="diagrams/erd/m5_financials_10.png" descr="م5 · البيانات المالية والأرصدة (10/15)" title="م5 · البيانات المالية والأرصدة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3200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(10/15)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the methodology the company chose for a presentation version, in order, with the document that supports it; the amount it moved is written by the build (docs/36 F2, ADR 0023)</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PresentationVersionStepId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category of products or services and its credit behaviour: cash-flow quality, revenue sensitivity, inventory sale value and time to sell in normal, stagnant and crisis markets (docs/35 section 5)</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8"/>
        <w:gridCol w:w="1996"/>
        <w:gridCol w:w="844"/>
        <w:gridCol w:w="844"/>
        <w:gridCol w:w="844"/>
        <w:gridCol w:w="844"/>
        <w:gridCol w:w="844"/>
      </w:tblGrid>
      <w:tr>
        <w:trPr>
          <w:cantSplit/>
          <w:tblHeader/>
        </w:trPr>
        <w:tc>
          <w:tcPr>
            <w:tcW w:type="dxa" w:w="3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‎fin.PresentationVersion.ResultStatementId‎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‎fin.PresentationVersion.TrialAssessmentId‎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‎fin.PresentationVersion.PreparedBy‎</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‎fin.PresentationVersion.ChosenBy‎</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‎fin.PresentationVersionStep.VersionId‎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‎fin.PresentationVersionStep.RemedyId‎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‎fin.PresentationVersionStep.DocumentId‎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م5 · البيانات المالية والأرصدة (11/15)</w:t>
      </w:r>
      <w:bookmarkEnd w:id="9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038225"/>
            <wp:effectExtent t="0" r="0" b="0" l="0"/>
            <wp:docPr id="1" name="diagrams/erd/m5_financials_11.png" descr="م5 · البيانات المالية والأرصدة (11/15)" title="م5 · البيانات المالية والأرصدة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1038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loss rate of a receivables ageing bucket for the provision matrix the company compares its recorded allowance with (IFRS 9 simplified approach; owner decision 35, ADR 0030); the defaults of the pack FIN.PROVISION are for the treasury to approve or change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ReceivableLossRateId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close of a company's reporting periods: through LockedThrough no actual statement, version, monthly balance or bank flow of the company is added, changed or removed; locked once its figures are approved or confirmed, reopened with a reason by someone other than the one who locked it (optional for each company; docs/38 item 2, ADR 0031)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ReportingPeriodLockId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‎fin.RiskAnchor‎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anchor of a company's business risk from its country risk and its industry risk, a notch of the 21-grade scale: the computed sector risk sub-factor and the centre of the expected range (docs/35 section 13)</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RiskAnchorId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392"/>
        <w:gridCol w:w="905"/>
        <w:gridCol w:w="905"/>
        <w:gridCol w:w="905"/>
        <w:gridCol w:w="905"/>
        <w:gridCol w:w="90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‎fin.ReceivableLossRate.ApprovedBy‎</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‎fin.ReportingPeriodLock.CompanyId‎</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‎fin.ReportingPeriodLock.LockedBy‎</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‎fin.ReportingPeriodLock.ReopenedBy‎</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م5 · البيانات المالية والأرصدة (12/15)</w:t>
      </w:r>
      <w:bookmarkEnd w:id="9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00250"/>
            <wp:effectExtent t="0" r="0" b="0" l="0"/>
            <wp:docPr id="1" name="diagrams/erd/m5_financials_12.png" descr="م5 · البيانات المالية والأرصدة (12/15)" title="م5 · البيانات المالية والأرصدة (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2000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4"/>
        <w:gridCol w:w="1705"/>
        <w:gridCol w:w="885"/>
        <w:gridCol w:w="885"/>
        <w:gridCol w:w="885"/>
        <w:gridCol w:w="885"/>
        <w:gridCol w:w="885"/>
      </w:tblGrid>
      <w:tr>
        <w:trPr>
          <w:cantSplit/>
          <w:tblHeader/>
        </w:trPr>
        <w:tc>
          <w:tcPr>
            <w:tcW w:type="dxa" w:w="3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م5 · البيانات المالية والأرصدة (13/15)</w:t>
      </w:r>
      <w:bookmarkEnd w:id="9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57225"/>
            <wp:effectExtent t="0" r="0" b="0" l="0"/>
            <wp:docPr id="1" name="diagrams/erd/m5_financials_13.png" descr="م5 · البيانات المالية والأرصدة (13/15)" title="م5 · البيانات المالية والأرصدة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657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(13/15)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645"/>
        <w:gridCol w:w="1887"/>
        <w:gridCol w:w="814"/>
        <w:gridCol w:w="814"/>
        <w:gridCol w:w="814"/>
        <w:gridCol w:w="814"/>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parameter of a scorecard version: a haircut of the break-up test, a collateral haircut, a band of the loss given default, a liquidity threshold, a cost rule; frozen with its scorecard (docs/35 sections 5, 9 and 10)</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ScorecardParameterId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sub-factor of a qualitative factor of a scorecard, with its grading guide; the factor's grade is the average of the graded sub-factors when the analyst grades them (docs/35 section 5)</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ScorecardSubfactorId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driver of stress: private demand, government spending, real estate, conflict, oil, credit, imports and currency; its effect at full intensity on revenue, gross margin and collection days (docs/35 section 14, ADR 0019)</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ShockDriverId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6"/>
        <w:gridCol w:w="1733"/>
        <w:gridCol w:w="889"/>
        <w:gridCol w:w="889"/>
        <w:gridCol w:w="889"/>
        <w:gridCol w:w="889"/>
        <w:gridCol w:w="889"/>
      </w:tblGrid>
      <w:tr>
        <w:trPr>
          <w:cantSplit/>
          <w:tblHeader/>
        </w:trPr>
        <w:tc>
          <w:tcPr>
            <w:tcW w:type="dxa" w:w="3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‎fin.ScorecardSubfactor.ScorecardId‎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‎fin.ScorecardSubfactor.MetricId‎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م5 · البيانات المالية والأرصدة (14/15)</w:t>
      </w:r>
      <w:bookmarkEnd w:id="9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5_financials_14.png" descr="م5 · البيانات المالية والأرصدة (14/15)" title="م5 · البيانات المالية والأرصدة (1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(14/15)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3"/>
        <w:gridCol w:w="1994"/>
        <w:gridCol w:w="2151"/>
        <w:gridCol w:w="834"/>
        <w:gridCol w:w="834"/>
        <w:gridCol w:w="834"/>
        <w:gridCol w:w="834"/>
      </w:tblGrid>
      <w:tr>
        <w:trPr>
          <w:cantSplit/>
          <w:tblHeader/>
        </w:trPr>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‎fin.StandardLineTotal‎</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components of a standard total and their sign, so a total is recomputed after a pro-forma change (docs/35 section 12)</w:t>
            </w:r>
          </w:p>
        </w:tc>
        <w:tc>
          <w:tcPr>
            <w:tcW w:type="dxa" w:w="2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StandardLineTotalId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2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ready-made plan to strengthen the statements: a package of remedies applied one after another, or the best plan the engine builds step by step from the remedies the findings call for (docs/35 section 12)</w:t>
            </w:r>
          </w:p>
        </w:tc>
        <w:tc>
          <w:tcPr>
            <w:tcW w:type="dxa" w:w="2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9"/>
        <w:gridCol w:w="2135"/>
        <w:gridCol w:w="866"/>
        <w:gridCol w:w="866"/>
        <w:gridCol w:w="866"/>
        <w:gridCol w:w="866"/>
        <w:gridCol w:w="866"/>
      </w:tblGrid>
      <w:tr>
        <w:trPr>
          <w:cantSplit/>
          <w:tblHeader/>
        </w:trPr>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6" w:id="96"/>
      <w:r>
        <w:rPr>
          <w:rFonts w:ascii="Arial" w:cs="Arial" w:eastAsia="Arial" w:hAnsi="Arial"/>
          <w:b/>
          <w:bCs/>
          <w:color w:val="2B5C8A"/>
          <w:sz w:val="23"/>
          <w:szCs w:val="23"/>
          <w:rtl/>
        </w:rPr>
        <w:t xml:space="preserve">م5 · البيانات المالية والأرصدة (15/15)</w:t>
      </w:r>
      <w:bookmarkEnd w:id="9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90825"/>
            <wp:effectExtent t="0" r="0" b="0" l="0"/>
            <wp:docPr id="1" name="diagrams/erd/m5_financials_15.png" descr="م5 · البيانات المالية والأرصدة (15/15)" title="م5 · البيانات المالية والأرصدة (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2790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(15/15)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2"/>
        <w:gridCol w:w="924"/>
        <w:gridCol w:w="2702"/>
        <w:gridCol w:w="829"/>
        <w:gridCol w:w="829"/>
        <w:gridCol w:w="829"/>
        <w:gridCol w:w="829"/>
      </w:tblGrid>
      <w:tr>
        <w:trPr>
          <w:cantSplit/>
          <w:tblHeader/>
        </w:trPr>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a package plan, in the order the plan applies it</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StrengtheningPlanMemberId</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96"/>
        <w:gridCol w:w="2038"/>
        <w:gridCol w:w="866"/>
        <w:gridCol w:w="866"/>
        <w:gridCol w:w="866"/>
        <w:gridCol w:w="866"/>
        <w:gridCol w:w="866"/>
      </w:tblGrid>
      <w:tr>
        <w:trPr>
          <w:cantSplit/>
          <w:tblHeader/>
        </w:trPr>
        <w:tc>
          <w:tcPr>
            <w:tcW w:type="dxa" w:w="3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‎fin.StrengtheningPlanMember.PlanId‎</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‎fin.StrengtheningPlanMember.RemedyId‎</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7" w:id="97"/>
      <w:r>
        <w:rPr>
          <w:rFonts w:ascii="Arial" w:cs="Arial" w:eastAsia="Arial" w:hAnsi="Arial"/>
          <w:b/>
          <w:bCs/>
          <w:color w:val="2B5C8A"/>
          <w:sz w:val="26"/>
          <w:szCs w:val="26"/>
          <w:rtl/>
        </w:rPr>
        <w:t xml:space="preserve">10.8 م6 · الطلبات ودورات العمل والإشعارات</w:t>
      </w:r>
      <w:bookmarkEnd w:id="97"/>
    </w:p>
    <w:p>
      <w:pPr>
        <w:pStyle w:val="Heading3"/>
        <w:bidi/>
      </w:pPr>
      <w:bookmarkStart w:name="_sec98" w:id="98"/>
      <w:r>
        <w:rPr>
          <w:rFonts w:ascii="Arial" w:cs="Arial" w:eastAsia="Arial" w:hAnsi="Arial"/>
          <w:b/>
          <w:bCs/>
          <w:color w:val="2B5C8A"/>
          <w:sz w:val="23"/>
          <w:szCs w:val="23"/>
          <w:rtl/>
        </w:rPr>
        <w:t xml:space="preserve">م6 · قوالب دورات العمل (1/3)</w:t>
      </w:r>
      <w:bookmarkEnd w:id="9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م6 · قوالب دورات العمل (2/3)</w:t>
      </w:r>
      <w:bookmarkEnd w:id="99"/>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م6 · قوالب دورات العمل (3/3)</w:t>
      </w:r>
      <w:bookmarkEnd w:id="100"/>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م6 · الطلبات وإجراءاتها (1/3)</w:t>
      </w:r>
      <w:bookmarkEnd w:id="10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م6 · الطلبات وإجراءاتها (2/3)</w:t>
      </w:r>
      <w:bookmarkEnd w:id="102"/>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م6 · الطلبات وإجراءاتها (3/3)</w:t>
      </w:r>
      <w:bookmarkEnd w:id="103"/>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م6 · الإشعارات (1/2)</w:t>
      </w:r>
      <w:bookmarkEnd w:id="104"/>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5" w:id="105"/>
      <w:r>
        <w:rPr>
          <w:rFonts w:ascii="Arial" w:cs="Arial" w:eastAsia="Arial" w:hAnsi="Arial"/>
          <w:b/>
          <w:bCs/>
          <w:color w:val="2B5C8A"/>
          <w:sz w:val="23"/>
          <w:szCs w:val="23"/>
          <w:rtl/>
        </w:rPr>
        <w:t xml:space="preserve">م6 · الإشعارات (2/2)</w:t>
      </w:r>
      <w:bookmarkEnd w:id="105"/>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6" w:id="106"/>
      <w:r>
        <w:rPr>
          <w:rFonts w:ascii="Arial" w:cs="Arial" w:eastAsia="Arial" w:hAnsi="Arial"/>
          <w:b/>
          <w:bCs/>
          <w:color w:val="2B5C8A"/>
          <w:sz w:val="26"/>
          <w:szCs w:val="26"/>
          <w:rtl/>
        </w:rPr>
        <w:t xml:space="preserve">10.9 م7/م8 · الاعتمادات المستندية والبروفورما</w:t>
      </w:r>
      <w:bookmarkEnd w:id="106"/>
    </w:p>
    <w:p>
      <w:pPr>
        <w:pStyle w:val="Heading3"/>
        <w:bidi/>
      </w:pPr>
      <w:bookmarkStart w:name="_sec107" w:id="107"/>
      <w:r>
        <w:rPr>
          <w:rFonts w:ascii="Arial" w:cs="Arial" w:eastAsia="Arial" w:hAnsi="Arial"/>
          <w:b/>
          <w:bCs/>
          <w:color w:val="2B5C8A"/>
          <w:sz w:val="23"/>
          <w:szCs w:val="23"/>
          <w:rtl/>
        </w:rPr>
        <w:t xml:space="preserve">م7/م8 · شروط الاعتماد والنماذج (1/3)</w:t>
      </w:r>
      <w:bookmarkEnd w:id="10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م7/م8 · شروط الاعتماد والنماذج (2/3)</w:t>
      </w:r>
      <w:bookmarkEnd w:id="108"/>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م7/م8 · شروط الاعتماد والنماذج (3/3)</w:t>
      </w:r>
      <w:bookmarkEnd w:id="109"/>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م7/م8 · الاعتمادات والبروفورما (1/3)</w:t>
      </w:r>
      <w:bookmarkEnd w:id="11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م7/م8 · الاعتمادات والبروفورما (2/3)</w:t>
      </w:r>
      <w:bookmarkEnd w:id="111"/>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م7/م8 · الاعتمادات والبروفورما (3/3)</w:t>
      </w:r>
      <w:bookmarkEnd w:id="112"/>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11. أنماط التصميم للمجالات الرئيسية</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11.1 إقفال دورة العمل بيد إدارة الخزينة (C-7)</w:t>
      </w:r>
      <w:bookmarkEnd w:id="114"/>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15" w:id="115"/>
      <w:r>
        <w:rPr>
          <w:rFonts w:ascii="Arial" w:cs="Arial" w:eastAsia="Arial" w:hAnsi="Arial"/>
          <w:b/>
          <w:bCs/>
          <w:color w:val="2B5C8A"/>
          <w:sz w:val="26"/>
          <w:szCs w:val="26"/>
          <w:rtl/>
        </w:rPr>
        <w:t xml:space="preserve">11.2 الملكية المتعددة والمراجع المركّبة (DR-04 · DR-06 · DR-09 · DR-10)</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11.3 الكتالوجات المملوكة للمشترك (DR-03 · DR-05 · DR-07)</w:t>
      </w:r>
      <w:bookmarkEnd w:id="116"/>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17" w:id="117"/>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18" w:id="118"/>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19" w:id="119"/>
      <w:r>
        <w:rPr>
          <w:rFonts w:ascii="Arial" w:cs="Arial" w:eastAsia="Arial" w:hAnsi="Arial"/>
          <w:b/>
          <w:bCs/>
          <w:color w:val="1F3A5F"/>
          <w:sz w:val="32"/>
          <w:szCs w:val="32"/>
          <w:rtl/>
        </w:rPr>
        <w:t xml:space="preserve">12. النشر وإدارة التغيير</w:t>
      </w:r>
      <w:bookmarkEnd w:id="119"/>
    </w:p>
    <w:p>
      <w:pPr>
        <w:pStyle w:val="Heading2"/>
        <w:bidi/>
      </w:pPr>
      <w:bookmarkStart w:name="_sec120" w:id="12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2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ومسار الترحيل بين الإصدارات هو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(O-2، ADR 0034).</w:t>
      </w:r>
    </w:p>
    <w:p>
      <w:pPr>
        <w:pStyle w:val="Heading2"/>
        <w:bidi/>
      </w:pPr>
      <w:bookmarkStart w:name="_sec121" w:id="121"/>
      <w:r>
        <w:rPr>
          <w:rFonts w:ascii="Arial" w:cs="Arial" w:eastAsia="Arial" w:hAnsi="Arial"/>
          <w:b/>
          <w:bCs/>
          <w:color w:val="2B5C8A"/>
          <w:sz w:val="26"/>
          <w:szCs w:val="26"/>
          <w:rtl/>
        </w:rPr>
        <w:t xml:space="preserve">12.2 تغيير النموذج</w:t>
      </w:r>
      <w:bookmarkEnd w:id="12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22" w:id="122"/>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2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23" w:id="123"/>
      <w:r>
        <w:rPr>
          <w:rFonts w:ascii="Arial" w:cs="Arial" w:eastAsia="Arial" w:hAnsi="Arial"/>
          <w:b/>
          <w:bCs/>
          <w:color w:val="2B5C8A"/>
          <w:sz w:val="26"/>
          <w:szCs w:val="26"/>
          <w:rtl/>
        </w:rPr>
        <w:t xml:space="preserve">12.4 الأداء والحمل</w:t>
      </w:r>
      <w:bookmarkEnd w:id="12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24" w:id="124"/>
      <w:r>
        <w:rPr>
          <w:rFonts w:ascii="Arial" w:cs="Arial" w:eastAsia="Arial" w:hAnsi="Arial"/>
          <w:b/>
          <w:bCs/>
          <w:color w:val="1F3A5F"/>
          <w:sz w:val="32"/>
          <w:szCs w:val="32"/>
          <w:rtl/>
        </w:rPr>
        <w:t xml:space="preserve">13. البذور وتهيئة المشترك</w:t>
      </w:r>
      <w:bookmarkEnd w:id="1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(144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25" w:id="125"/>
      <w:r>
        <w:rPr>
          <w:rFonts w:ascii="Arial" w:cs="Arial" w:eastAsia="Arial" w:hAnsi="Arial"/>
          <w:b/>
          <w:bCs/>
          <w:color w:val="1F3A5F"/>
          <w:sz w:val="32"/>
          <w:szCs w:val="32"/>
          <w:rtl/>
        </w:rPr>
        <w:t xml:space="preserve">14. أدلة التحقق وحدودها (بصراحة)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 4,200 عمود؛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338 منحة مولّدة، 150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26" w:id="126"/>
      <w:r>
        <w:rPr>
          <w:rFonts w:ascii="Arial" w:cs="Arial" w:eastAsia="Arial" w:hAnsi="Arial"/>
          <w:b/>
          <w:bCs/>
          <w:color w:val="1F3A5F"/>
          <w:sz w:val="32"/>
          <w:szCs w:val="32"/>
          <w:rtl/>
        </w:rPr>
        <w:t xml:space="preserve">15. القرارات المتخذة (تُعتمد ما لم تعترض)</w:t>
      </w:r>
      <w:bookmarkEnd w:id="1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27" w:id="127"/>
      <w:r>
        <w:rPr>
          <w:rFonts w:ascii="Arial" w:cs="Arial" w:eastAsia="Arial" w:hAnsi="Arial"/>
          <w:b/>
          <w:bCs/>
          <w:color w:val="1F3A5F"/>
          <w:sz w:val="32"/>
          <w:szCs w:val="32"/>
          <w:rtl/>
        </w:rPr>
        <w:t xml:space="preserve">16. حدود معروفة ونقاط مفتوحة</w:t>
      </w:r>
      <w:bookmarkEnd w:id="1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(2026-10-21، ADR 0034):</w:t>
            </w:r>
            <w:r>
              <w:rPr>
                <w:rFonts w:ascii="Arial" w:cs="Arial" w:eastAsia="Arial" w:hAnsi="Arial"/>
                <w:b w:val="false"/>
                <w:bCs w:val="false"/>
                <w:sz w:val="18"/>
                <w:szCs w:val="18"/>
                <w:rtl/>
              </w:rPr>
              <w:t xml:space="preserve"> 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وسكربتات متكررة تُعاد بلا تغيير في البصمة (MG1 إلى MG7). بقي فحص التكافؤ بين النشر الجديد والقاعدة المرقّاة، ويدخل مع أول سكربت مرقّم</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في القاعدة (2026-10-21، ADR 0033):</w:t>
            </w:r>
            <w:r>
              <w:rPr>
                <w:rFonts w:ascii="Arial" w:cs="Arial" w:eastAsia="Arial" w:hAnsi="Arial"/>
                <w:b w:val="false"/>
                <w:bCs w:val="false"/>
                <w:sz w:val="18"/>
                <w:szCs w:val="18"/>
                <w:rtl/>
              </w:rPr>
              <w:t xml:space="preserve"> السلسلة والمراسي والتحقق (AC1 إلى AC6، AA1 إلى AA3)؛ ويبقى اختيار المخزن نفسه قرارًا تشغيليًا (DQ-S12-2)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وأُغلق المؤجَّلان في 2026-10-21: مرساة البصمة الخارجية (O-13، ADR 0033) وفحص المفاتيح المتقاعدة (DR-20، ADR 0032)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128" w:id="128"/>
      <w:r>
        <w:rPr>
          <w:rFonts w:ascii="Arial" w:cs="Arial" w:eastAsia="Arial" w:hAnsi="Arial"/>
          <w:b/>
          <w:bCs/>
          <w:color w:val="1F3A5F"/>
          <w:sz w:val="32"/>
          <w:szCs w:val="32"/>
          <w:rtl/>
        </w:rPr>
        <w:t xml:space="preserve">17. الخطوة التالية</w:t>
      </w:r>
      <w:bookmarkEnd w:id="128"/>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29" w:id="129"/>
      <w:r>
        <w:rPr>
          <w:rFonts w:ascii="Arial" w:cs="Arial" w:eastAsia="Arial" w:hAnsi="Arial"/>
          <w:b/>
          <w:bCs/>
          <w:color w:val="1F3A5F"/>
          <w:sz w:val="32"/>
          <w:szCs w:val="32"/>
          <w:rtl/>
        </w:rPr>
        <w:t xml:space="preserve">18. مراجعة التصميم (Design review)</w:t>
      </w:r>
      <w:bookmarkEnd w:id="129"/>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30" w:id="130"/>
      <w:r>
        <w:rPr>
          <w:rFonts w:ascii="Arial" w:cs="Arial" w:eastAsia="Arial" w:hAnsi="Arial"/>
          <w:b/>
          <w:bCs/>
          <w:color w:val="2B5C8A"/>
          <w:sz w:val="26"/>
          <w:szCs w:val="26"/>
          <w:rtl/>
        </w:rPr>
        <w:t xml:space="preserve">18.1 النتائج الحرجة</w:t>
      </w:r>
      <w:bookmarkEnd w:id="1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31" w:id="131"/>
      <w:r>
        <w:rPr>
          <w:rFonts w:ascii="Arial" w:cs="Arial" w:eastAsia="Arial" w:hAnsi="Arial"/>
          <w:b/>
          <w:bCs/>
          <w:color w:val="2B5C8A"/>
          <w:sz w:val="26"/>
          <w:szCs w:val="26"/>
          <w:rtl/>
        </w:rPr>
        <w:t xml:space="preserve">18.2 النتائج الرئيسية والطفيفة</w:t>
      </w:r>
      <w:bookmarkEnd w:id="1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18.3 القرار</w:t>
      </w:r>
      <w:bookmarkEnd w:id="132"/>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04a472fb52e1a6f09b35b1f5cb1e919da041f60c.png"/><Relationship Id="rId13" Type="http://schemas.openxmlformats.org/officeDocument/2006/relationships/image" Target="media/c842c9051cd134a0e972866c6c1d833dc2e2fa86.png"/><Relationship Id="rId14" Type="http://schemas.openxmlformats.org/officeDocument/2006/relationships/image" Target="media/538fa95cf95a63485c0d2ac955e11539578724f9.png"/><Relationship Id="rId15" Type="http://schemas.openxmlformats.org/officeDocument/2006/relationships/image" Target="media/fe6284a18f8b41141e7d95a844b68490ef34ec22.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d6665d07fece00dd3fe5bb946c0903a642ff0b53.png"/><Relationship Id="rId20" Type="http://schemas.openxmlformats.org/officeDocument/2006/relationships/image" Target="media/2bc17afbc184ebe7e32dd25ae4b00b77c415c5aa.png"/><Relationship Id="rId21" Type="http://schemas.openxmlformats.org/officeDocument/2006/relationships/image" Target="media/8bf64e697f011e0517277f515e0547131bce8b4c.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0897fb5e94d7be20ea6b54eed1c8a697e7aefed3.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2fef311dde876660aa5f62b8872d0700a5c44c5b.png"/><Relationship Id="rId44" Type="http://schemas.openxmlformats.org/officeDocument/2006/relationships/image" Target="media/fb199ca54ee96b0e4379ab4821a39333de51d204.png"/><Relationship Id="rId45" Type="http://schemas.openxmlformats.org/officeDocument/2006/relationships/image" Target="media/271e0b36918d1081cbb0fb919ffdbe0b3739a561.png"/><Relationship Id="rId46" Type="http://schemas.openxmlformats.org/officeDocument/2006/relationships/image" Target="media/99b58e910e865ffe46f5c344d33fad6cc823d5af.png"/><Relationship Id="rId47" Type="http://schemas.openxmlformats.org/officeDocument/2006/relationships/image" Target="media/f1c2c34bf83df820e0c42dc07d3ff28846823b78.png"/><Relationship Id="rId48" Type="http://schemas.openxmlformats.org/officeDocument/2006/relationships/image" Target="media/e7206aece210a18d152c06ed614c4fd81914d74c.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d32931f60476832bc70843e9d8df92e774a5e348.png"/><Relationship Id="rId54" Type="http://schemas.openxmlformats.org/officeDocument/2006/relationships/image" Target="media/22b7151060330cba0d5582b3c50d902f273639b0.png"/><Relationship Id="rId55" Type="http://schemas.openxmlformats.org/officeDocument/2006/relationships/image" Target="media/ff2cc8eda57f36b5a409b0d74edbdd1205d90248.png"/><Relationship Id="rId56" Type="http://schemas.openxmlformats.org/officeDocument/2006/relationships/image" Target="media/8471e7a19babb753c698b8e42061b4e076298eb5.png"/><Relationship Id="rId57" Type="http://schemas.openxmlformats.org/officeDocument/2006/relationships/image" Target="media/3d549d2c91aebe767b10c4fc39a5f3e4ff6c9a56.png"/><Relationship Id="rId58" Type="http://schemas.openxmlformats.org/officeDocument/2006/relationships/image" Target="media/6ebc9baf3c34dafa6cccedfc52ffb93b2747c945.png"/><Relationship Id="rId59" Type="http://schemas.openxmlformats.org/officeDocument/2006/relationships/image" Target="media/f0d0d1cd59ec3891c045ac4dbd1e12ffb153fe7a.png"/><Relationship Id="rId60" Type="http://schemas.openxmlformats.org/officeDocument/2006/relationships/image" Target="media/d8f0caef02c4ff2308ef0505e4ab72095c800def.png"/><Relationship Id="rId61" Type="http://schemas.openxmlformats.org/officeDocument/2006/relationships/image" Target="media/5c9559eee4bace99e7b8b06620d4e6afb37d90fc.png"/><Relationship Id="rId62" Type="http://schemas.openxmlformats.org/officeDocument/2006/relationships/image" Target="media/b9ad5375b0573153e5cc1d6e84395ddf84284bc9.png"/><Relationship Id="rId63" Type="http://schemas.openxmlformats.org/officeDocument/2006/relationships/image" Target="media/af65d6abbb8c9e7fddfe3d35016a1cf7c2e5e337.png"/><Relationship Id="rId64" Type="http://schemas.openxmlformats.org/officeDocument/2006/relationships/image" Target="media/427c839a9918a81e7c13dcf5fee630d5fe19fed1.png"/><Relationship Id="rId65" Type="http://schemas.openxmlformats.org/officeDocument/2006/relationships/image" Target="media/d912fa68b4e6dac80f847d27a22e286f259031e4.png"/><Relationship Id="rId66" Type="http://schemas.openxmlformats.org/officeDocument/2006/relationships/image" Target="media/44e9a6c06fb99d09d023f8d16b7f1d111e203eac.png"/><Relationship Id="rId67" Type="http://schemas.openxmlformats.org/officeDocument/2006/relationships/image" Target="media/3e4166a6800de4338368c576072d2c6c8aac6427.png"/><Relationship Id="rId68" Type="http://schemas.openxmlformats.org/officeDocument/2006/relationships/image" Target="media/95b5f4c861c700abc49961c38ae8fe021da4f6e3.png"/><Relationship Id="rId69" Type="http://schemas.openxmlformats.org/officeDocument/2006/relationships/image" Target="media/2b6baf523dbaf54ff577594d57b9a3534ab41cd3.png"/><Relationship Id="rId70" Type="http://schemas.openxmlformats.org/officeDocument/2006/relationships/image" Target="media/443f13dce9f7b96bfbc7e0153b540944737fa9f7.png"/><Relationship Id="rId71" Type="http://schemas.openxmlformats.org/officeDocument/2006/relationships/image" Target="media/494c0f4a1326e3bbc19667850012a84e52403045.png"/><Relationship Id="rId72" Type="http://schemas.openxmlformats.org/officeDocument/2006/relationships/image" Target="media/f3c6a99e2f66df4dbe72197e44ae37e9973bbd72.png"/><Relationship Id="rId73" Type="http://schemas.openxmlformats.org/officeDocument/2006/relationships/image" Target="media/d539d1be88e22a9ddb39b43fe087de6d95fef4aa.png"/><Relationship Id="rId74" Type="http://schemas.openxmlformats.org/officeDocument/2006/relationships/image" Target="media/7ff803ad906bcfa2ebcbadf7dabb9605bc925441.png"/><Relationship Id="rId75" Type="http://schemas.openxmlformats.org/officeDocument/2006/relationships/image" Target="media/32e4178cfcb0982981bc4df131be60ca723fa475.png"/><Relationship Id="rId76" Type="http://schemas.openxmlformats.org/officeDocument/2006/relationships/image" Target="media/7300a75f1e07f1ea9aec9b51ff08678436fe43ba.png"/><Relationship Id="rId77" Type="http://schemas.openxmlformats.org/officeDocument/2006/relationships/image" Target="media/96ebc6fa69822558c7c239d6a27c23f8a70b39d4.png"/><Relationship Id="rId78" Type="http://schemas.openxmlformats.org/officeDocument/2006/relationships/image" Target="media/29590e30561ea7b950cc1ca528df7a1885be854b.png"/><Relationship Id="rId79" Type="http://schemas.openxmlformats.org/officeDocument/2006/relationships/image" Target="media/c3923270745ec1d61733243ee7111b3b6e68e05d.png"/><Relationship Id="rId80" Type="http://schemas.openxmlformats.org/officeDocument/2006/relationships/image" Target="media/fe9d9a8186638b18fae1e422875fcbe2eb728097.png"/><Relationship Id="rId81" Type="http://schemas.openxmlformats.org/officeDocument/2006/relationships/image" Target="media/b0939dc5f64d9418898980eb654a0547e53d205d.png"/><Relationship Id="rId82" Type="http://schemas.openxmlformats.org/officeDocument/2006/relationships/image" Target="media/539a0e0258e41a6d83d02cbbc473021e62781cba.png"/><Relationship Id="rId83" Type="http://schemas.openxmlformats.org/officeDocument/2006/relationships/image" Target="media/c08708dd425ff7caf905c156d869c26b83ec0603.png"/><Relationship Id="rId84" Type="http://schemas.openxmlformats.org/officeDocument/2006/relationships/image" Target="media/c07c181f6bb574f7b888c1c4f10db1da4b196022.png"/><Relationship Id="rId85" Type="http://schemas.openxmlformats.org/officeDocument/2006/relationships/image" Target="media/7008bc244f86ea28562c3e07ecd466b89506f6b3.png"/><Relationship Id="rId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2026-10-21T01:38:10.790Z</dcterms:created>
  <dcterms:modified xsi:type="dcterms:W3CDTF">2026-10-21T01:38:10.790Z</dcterms:modified>
</cp:coreProperties>
</file>

<file path=docProps/custom.xml><?xml version="1.0" encoding="utf-8"?>
<Properties xmlns="http://schemas.openxmlformats.org/officeDocument/2006/custom-properties" xmlns:vt="http://schemas.openxmlformats.org/officeDocument/2006/docPropsVTypes"/>
</file>