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255 tables · 20 schemas · 936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2026-10-18</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255 tables in 20 schemas; 936 foreign keys; 662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255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57</w:t>
            </w:r>
          </w:p>
        </w:tc>
        <w:tc>
          <w:tcPr>
            <w:tcW w:type="dxa" w:w="1701"/>
          </w:tcPr>
          <w:p>
            <w:pPr>
              <w:spacing w:after="0" w:before="0"/>
            </w:pPr>
            <w:r/>
            <w:r>
              <w:rPr>
                <w:rFonts w:ascii="Arial" w:hAnsi="Arial"/>
                <w:b w:val="0"/>
                <w:sz w:val="17"/>
              </w:rPr>
              <w:t>31</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9</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10</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9</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23</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13</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wfl</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fin</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ref</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96 diagrams cover 255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46</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31</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38</w:t>
            </w:r>
          </w:p>
        </w:tc>
        <w:tc>
          <w:tcPr>
            <w:tcW w:type="dxa" w:w="2268"/>
          </w:tcPr>
          <w:p>
            <w:pPr>
              <w:spacing w:after="0" w:before="0"/>
            </w:pPr>
            <w:r/>
            <w:r>
              <w:rPr>
                <w:rFonts w:ascii="Arial" w:hAnsi="Arial"/>
                <w:b w:val="0"/>
                <w:sz w:val="17"/>
              </w:rPr>
              <w:t>94</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12</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2)</w:t>
      </w:r>
    </w:p>
    <w:p>
      <w:pPr>
        <w:spacing w:after="80"/>
      </w:pPr>
      <w:r>
        <w:rPr>
          <w:rFonts w:ascii="Arial" w:hAnsi="Arial"/>
          <w:b w:val="0"/>
          <w:i/>
          <w:color w:val="6B7280"/>
          <w:sz w:val="18"/>
        </w:rPr>
        <w:t>aud and doc schemas: audit log, its hash chain head and anchors, and document store</w:t>
      </w:r>
    </w:p>
    <w:p>
      <w:pPr>
        <w:keepNext/>
        <w:jc w:val="center"/>
      </w:pPr>
      <w:r>
        <w:drawing>
          <wp:inline xmlns:a="http://schemas.openxmlformats.org/drawingml/2006/main" xmlns:pic="http://schemas.openxmlformats.org/drawingml/2006/picture">
            <wp:extent cx="6134100" cy="4309663"/>
            <wp:docPr id="8" name="Picture 8"/>
            <wp:cNvGraphicFramePr>
              <a:graphicFrameLocks noChangeAspect="1"/>
            </wp:cNvGraphicFramePr>
            <a:graphic>
              <a:graphicData uri="http://schemas.openxmlformats.org/drawingml/2006/picture">
                <pic:pic>
                  <pic:nvPicPr>
                    <pic:cNvPr id="0" name="m0_audit_docs_1.png"/>
                    <pic:cNvPicPr/>
                  </pic:nvPicPr>
                  <pic:blipFill>
                    <a:blip r:embed="rId18"/>
                    <a:stretch>
                      <a:fillRect/>
                    </a:stretch>
                  </pic:blipFill>
                  <pic:spPr>
                    <a:xfrm>
                      <a:off x="0" y="0"/>
                      <a:ext cx="6134100" cy="4309663"/>
                    </a:xfrm>
                    <a:prstGeom prst="rect"/>
                  </pic:spPr>
                </pic:pic>
              </a:graphicData>
            </a:graphic>
          </wp:inline>
        </w:drawing>
      </w:r>
    </w:p>
    <w:p>
      <w:pPr>
        <w:spacing w:after="120"/>
        <w:jc w:val="center"/>
      </w:pPr>
      <w:r>
        <w:rPr>
          <w:rFonts w:ascii="Arial" w:hAnsi="Arial"/>
          <w:b w:val="0"/>
          <w:i/>
          <w:color w:val="6B7280"/>
          <w:sz w:val="16"/>
        </w:rPr>
        <w:t>Figure 8  Audit trail and documents (part 1 of 2)  ·  4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aud.AuditChainAnchor</w:t>
            </w:r>
          </w:p>
        </w:tc>
        <w:tc>
          <w:tcPr>
            <w:tcW w:type="dxa" w:w="6690"/>
          </w:tcPr>
          <w:p>
            <w:pPr>
              <w:spacing w:after="0" w:before="0"/>
            </w:pPr>
            <w:r/>
            <w:r>
              <w:rPr>
                <w:rFonts w:ascii="Arial" w:hAnsi="Arial"/>
                <w:b w:val="0"/>
                <w:sz w:val="15"/>
              </w:rPr>
              <w:t>Anchor of an audit chain: its head at a moment, also kept outside the database (DOC-S12 section 5.3)</w:t>
            </w:r>
          </w:p>
        </w:tc>
        <w:tc>
          <w:tcPr>
            <w:tcW w:type="dxa" w:w="2948"/>
          </w:tcPr>
          <w:p>
            <w:pPr>
              <w:spacing w:after="0" w:before="0"/>
            </w:pPr>
            <w:r/>
            <w:r>
              <w:rPr>
                <w:rFonts w:ascii="Arial" w:hAnsi="Arial"/>
                <w:b w:val="0"/>
                <w:sz w:val="15"/>
              </w:rPr>
              <w:t>AuditChainAnchorId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aud.AuditChainHead</w:t>
            </w:r>
          </w:p>
        </w:tc>
        <w:tc>
          <w:tcPr>
            <w:tcW w:type="dxa" w:w="6690"/>
            <w:shd w:val="clear" w:color="auto" w:fill="E8EEF6"/>
          </w:tcPr>
          <w:p>
            <w:pPr>
              <w:spacing w:after="0" w:before="0"/>
            </w:pPr>
            <w:r/>
            <w:r>
              <w:rPr>
                <w:rFonts w:ascii="Arial" w:hAnsi="Arial"/>
                <w:b w:val="0"/>
                <w:sz w:val="15"/>
              </w:rPr>
              <w:t>Head of each audit hash chain: its last sequence number and hash (FR-PLT-025)</w:t>
            </w:r>
          </w:p>
        </w:tc>
        <w:tc>
          <w:tcPr>
            <w:tcW w:type="dxa" w:w="2948"/>
            <w:shd w:val="clear" w:color="auto" w:fill="E8EEF6"/>
          </w:tcPr>
          <w:p>
            <w:pPr>
              <w:spacing w:after="0" w:before="0"/>
            </w:pPr>
            <w:r/>
            <w:r>
              <w:rPr>
                <w:rFonts w:ascii="Arial" w:hAnsi="Arial"/>
                <w:b w:val="0"/>
                <w:sz w:val="15"/>
              </w:rPr>
              <w:t>ChainKey</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2)</w:t>
      </w:r>
    </w:p>
    <w:p>
      <w:pPr>
        <w:spacing w:after="80"/>
      </w:pPr>
      <w:r>
        <w:rPr>
          <w:rFonts w:ascii="Arial" w:hAnsi="Arial"/>
          <w:b w:val="0"/>
          <w:i/>
          <w:color w:val="6B7280"/>
          <w:sz w:val="18"/>
        </w:rPr>
        <w:t>aud and doc schemas: audit log, its hash chain head and anchors, and document store</w:t>
      </w:r>
    </w:p>
    <w:p>
      <w:pPr>
        <w:keepNext/>
        <w:jc w:val="center"/>
      </w:pPr>
      <w:r>
        <w:drawing>
          <wp:inline xmlns:a="http://schemas.openxmlformats.org/drawingml/2006/main" xmlns:pic="http://schemas.openxmlformats.org/drawingml/2006/picture">
            <wp:extent cx="10220960" cy="4285404"/>
            <wp:docPr id="9" name="Picture 9"/>
            <wp:cNvGraphicFramePr>
              <a:graphicFrameLocks noChangeAspect="1"/>
            </wp:cNvGraphicFramePr>
            <a:graphic>
              <a:graphicData uri="http://schemas.openxmlformats.org/drawingml/2006/picture">
                <pic:pic>
                  <pic:nvPicPr>
                    <pic:cNvPr id="0" name="m0_audit_docs_2.png"/>
                    <pic:cNvPicPr/>
                  </pic:nvPicPr>
                  <pic:blipFill>
                    <a:blip r:embed="rId19"/>
                    <a:stretch>
                      <a:fillRect/>
                    </a:stretch>
                  </pic:blipFill>
                  <pic:spPr>
                    <a:xfrm>
                      <a:off x="0" y="0"/>
                      <a:ext cx="10220960" cy="4285404"/>
                    </a:xfrm>
                    <a:prstGeom prst="rect"/>
                  </pic:spPr>
                </pic:pic>
              </a:graphicData>
            </a:graphic>
          </wp:inline>
        </w:drawing>
      </w:r>
    </w:p>
    <w:p>
      <w:pPr>
        <w:spacing w:after="120"/>
        <w:jc w:val="center"/>
      </w:pPr>
      <w:r>
        <w:rPr>
          <w:rFonts w:ascii="Arial" w:hAnsi="Arial"/>
          <w:b w:val="0"/>
          <w:i/>
          <w:color w:val="6B7280"/>
          <w:sz w:val="16"/>
        </w:rPr>
        <w:t>Figure 9  Audit trail and documents (part 2 of 2)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 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 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UnlinkedBy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KeyPurpose, 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background jobs and schema migrations (part 1 of 3)</w:t>
      </w:r>
    </w:p>
    <w:p>
      <w:pPr>
        <w:spacing w:after="80"/>
      </w:pPr>
      <w:r>
        <w:rPr>
          <w:rFonts w:ascii="Arial" w:hAnsi="Arial"/>
          <w:b w:val="0"/>
          <w:i/>
          <w:color w:val="6B7280"/>
          <w:sz w:val="18"/>
        </w:rPr>
        <w:t>cfg schema: tenant settings, scheduled and background jobs; the schema migration journal (ADR 0034)</w:t>
      </w:r>
    </w:p>
    <w:p>
      <w:pPr>
        <w:keepNext/>
        <w:jc w:val="center"/>
      </w:pPr>
      <w:r>
        <w:drawing>
          <wp:inline xmlns:a="http://schemas.openxmlformats.org/drawingml/2006/main" xmlns:pic="http://schemas.openxmlformats.org/drawingml/2006/picture">
            <wp:extent cx="5965190" cy="4792937"/>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4792937"/>
                    </a:xfrm>
                    <a:prstGeom prst="rect"/>
                  </pic:spPr>
                </pic:pic>
              </a:graphicData>
            </a:graphic>
          </wp:inline>
        </w:drawing>
      </w:r>
    </w:p>
    <w:p>
      <w:pPr>
        <w:spacing w:after="120"/>
        <w:jc w:val="center"/>
      </w:pPr>
      <w:r>
        <w:rPr>
          <w:rFonts w:ascii="Arial" w:hAnsi="Arial"/>
          <w:b w:val="0"/>
          <w:i/>
          <w:color w:val="6B7280"/>
          <w:sz w:val="16"/>
        </w:rPr>
        <w:t>Figure 10  Configuration, background jobs and schema migrations (part 1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background jobs and schema migrations (part 2 of 3)</w:t>
      </w:r>
    </w:p>
    <w:p>
      <w:pPr>
        <w:spacing w:after="80"/>
      </w:pPr>
      <w:r>
        <w:rPr>
          <w:rFonts w:ascii="Arial" w:hAnsi="Arial"/>
          <w:b w:val="0"/>
          <w:i/>
          <w:color w:val="6B7280"/>
          <w:sz w:val="18"/>
        </w:rPr>
        <w:t>cfg schema: tenant settings, scheduled and background jobs; the schema migration journal (ADR 0034)</w:t>
      </w:r>
    </w:p>
    <w:p>
      <w:pPr>
        <w:keepNext/>
        <w:jc w:val="center"/>
      </w:pPr>
      <w:r>
        <w:drawing>
          <wp:inline xmlns:a="http://schemas.openxmlformats.org/drawingml/2006/main" xmlns:pic="http://schemas.openxmlformats.org/drawingml/2006/picture">
            <wp:extent cx="5962650" cy="5027740"/>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5027740"/>
                    </a:xfrm>
                    <a:prstGeom prst="rect"/>
                  </pic:spPr>
                </pic:pic>
              </a:graphicData>
            </a:graphic>
          </wp:inline>
        </w:drawing>
      </w:r>
    </w:p>
    <w:p>
      <w:pPr>
        <w:spacing w:after="120"/>
        <w:jc w:val="center"/>
      </w:pPr>
      <w:r>
        <w:rPr>
          <w:rFonts w:ascii="Arial" w:hAnsi="Arial"/>
          <w:b w:val="0"/>
          <w:i/>
          <w:color w:val="6B7280"/>
          <w:sz w:val="16"/>
        </w:rPr>
        <w:t>Figure 11  Configuration, background jobs and schema migrations (part 2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cfg.NumberIssue</w:t>
            </w:r>
          </w:p>
        </w:tc>
        <w:tc>
          <w:tcPr>
            <w:tcW w:type="dxa" w:w="6690"/>
            <w:shd w:val="clear" w:color="auto" w:fill="E8EEF6"/>
          </w:tcPr>
          <w:p>
            <w:pPr>
              <w:spacing w:after="0" w:before="0"/>
            </w:pPr>
            <w:r/>
            <w:r>
              <w:rPr>
                <w:rFonts w:ascii="Arial" w:hAnsi="Arial"/>
                <w:b w:val="0"/>
                <w:sz w:val="15"/>
              </w:rPr>
              <w:t>Issued document numbers; a cancelled number is never reused (FR-PLT-026, BR-PLT-010)</w:t>
            </w:r>
          </w:p>
        </w:tc>
        <w:tc>
          <w:tcPr>
            <w:tcW w:type="dxa" w:w="2948"/>
            <w:shd w:val="clear" w:color="auto" w:fill="E8EEF6"/>
          </w:tcPr>
          <w:p>
            <w:pPr>
              <w:spacing w:after="0" w:before="0"/>
            </w:pPr>
            <w:r/>
            <w:r>
              <w:rPr>
                <w:rFonts w:ascii="Arial" w:hAnsi="Arial"/>
                <w:b w:val="0"/>
                <w:sz w:val="15"/>
              </w:rPr>
              <w:t>NumberIssueId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background jobs and schema migrations (part 3 of 3)</w:t>
      </w:r>
    </w:p>
    <w:p>
      <w:pPr>
        <w:spacing w:after="80"/>
      </w:pPr>
      <w:r>
        <w:rPr>
          <w:rFonts w:ascii="Arial" w:hAnsi="Arial"/>
          <w:b w:val="0"/>
          <w:i/>
          <w:color w:val="6B7280"/>
          <w:sz w:val="18"/>
        </w:rPr>
        <w:t>cfg schema: tenant settings, scheduled and background jobs; the schema migration journal (ADR 0034)</w:t>
      </w:r>
    </w:p>
    <w:p>
      <w:pPr>
        <w:keepNext/>
        <w:jc w:val="center"/>
      </w:pPr>
      <w:r>
        <w:drawing>
          <wp:inline xmlns:a="http://schemas.openxmlformats.org/drawingml/2006/main" xmlns:pic="http://schemas.openxmlformats.org/drawingml/2006/picture">
            <wp:extent cx="6468110" cy="7228820"/>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7228820"/>
                    </a:xfrm>
                    <a:prstGeom prst="rect"/>
                  </pic:spPr>
                </pic:pic>
              </a:graphicData>
            </a:graphic>
          </wp:inline>
        </w:drawing>
      </w:r>
    </w:p>
    <w:p>
      <w:pPr>
        <w:spacing w:after="120"/>
        <w:jc w:val="center"/>
      </w:pPr>
      <w:r>
        <w:rPr>
          <w:rFonts w:ascii="Arial" w:hAnsi="Arial"/>
          <w:b w:val="0"/>
          <w:i/>
          <w:color w:val="6B7280"/>
          <w:sz w:val="16"/>
        </w:rPr>
        <w:t>Figure 12  Configuration, background jobs and schema migrations (part 3 of 3)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plat.SchemaMigration</w:t>
            </w:r>
          </w:p>
        </w:tc>
        <w:tc>
          <w:tcPr>
            <w:tcW w:type="dxa" w:w="6690"/>
          </w:tcPr>
          <w:p>
            <w:pPr>
              <w:spacing w:after="0" w:before="0"/>
            </w:pPr>
            <w:r/>
            <w:r>
              <w:rPr>
                <w:rFonts w:ascii="Arial" w:hAnsi="Arial"/>
                <w:b w:val="0"/>
                <w:sz w:val="15"/>
              </w:rPr>
              <w:t>Journal of the schema scripts applied to this database (DOC-B11 section 6)</w:t>
            </w:r>
          </w:p>
        </w:tc>
        <w:tc>
          <w:tcPr>
            <w:tcW w:type="dxa" w:w="2948"/>
          </w:tcPr>
          <w:p>
            <w:pPr>
              <w:spacing w:after="0" w:before="0"/>
            </w:pPr>
            <w:r/>
            <w:r>
              <w:rPr>
                <w:rFonts w:ascii="Arial" w:hAnsi="Arial"/>
                <w:b w:val="0"/>
                <w:sz w:val="15"/>
              </w:rPr>
              <w:t>SchemaMigrationId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7463873"/>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919970" cy="7463873"/>
                    </a:xfrm>
                    <a:prstGeom prst="rect"/>
                  </pic:spPr>
                </pic:pic>
              </a:graphicData>
            </a:graphic>
          </wp:inline>
        </w:drawing>
      </w:r>
    </w:p>
    <w:p>
      <w:pPr>
        <w:spacing w:after="120"/>
        <w:jc w:val="center"/>
      </w:pPr>
      <w:r>
        <w:rPr>
          <w:rFonts w:ascii="Arial" w:hAnsi="Arial"/>
          <w:b w:val="0"/>
          <w:i/>
          <w:color w:val="6B7280"/>
          <w:sz w:val="16"/>
        </w:rPr>
        <w:t>Figure 13  Company structure and governance (part 1 of 3)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BaseCurrencyId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org.CompanyTaxRate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ParentDepartmentId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HeadUserId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HolderPartyId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IntermediatePartyId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14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5" name="Picture 15"/>
            <wp:cNvGraphicFramePr>
              <a:graphicFrameLocks noChangeAspect="1"/>
            </wp:cNvGraphicFramePr>
            <a:graphic>
              <a:graphicData uri="http://schemas.openxmlformats.org/drawingml/2006/picture">
                <pic:pic>
                  <pic:nvPicPr>
                    <pic:cNvPr id="0" name="m1_company_3.png"/>
                    <pic:cNvPicPr/>
                  </pic:nvPicPr>
                  <pic:blipFill>
                    <a:blip r:embed="rId25"/>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15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6" name="Picture 16"/>
            <wp:cNvGraphicFramePr>
              <a:graphicFrameLocks noChangeAspect="1"/>
            </wp:cNvGraphicFramePr>
            <a:graphic>
              <a:graphicData uri="http://schemas.openxmlformats.org/drawingml/2006/picture">
                <pic:pic>
                  <pic:nvPicPr>
                    <pic:cNvPr id="0" name="m1_company_kyc_1.png"/>
                    <pic:cNvPicPr/>
                  </pic:nvPicPr>
                  <pic:blipFill>
                    <a:blip r:embed="rId26"/>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16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7" name="Picture 17"/>
            <wp:cNvGraphicFramePr>
              <a:graphicFrameLocks noChangeAspect="1"/>
            </wp:cNvGraphicFramePr>
            <a:graphic>
              <a:graphicData uri="http://schemas.openxmlformats.org/drawingml/2006/picture">
                <pic:pic>
                  <pic:nvPicPr>
                    <pic:cNvPr id="0" name="m1_company_kyc_2.png"/>
                    <pic:cNvPicPr/>
                  </pic:nvPicPr>
                  <pic:blipFill>
                    <a:blip r:embed="rId27"/>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17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8" name="Picture 18"/>
            <wp:cNvGraphicFramePr>
              <a:graphicFrameLocks noChangeAspect="1"/>
            </wp:cNvGraphicFramePr>
            <a:graphic>
              <a:graphicData uri="http://schemas.openxmlformats.org/drawingml/2006/picture">
                <pic:pic>
                  <pic:nvPicPr>
                    <pic:cNvPr id="0" name="m1_party_1.png"/>
                    <pic:cNvPicPr/>
                  </pic:nvPicPr>
                  <pic:blipFill>
                    <a:blip r:embed="rId28"/>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18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9" name="Picture 19"/>
            <wp:cNvGraphicFramePr>
              <a:graphicFrameLocks noChangeAspect="1"/>
            </wp:cNvGraphicFramePr>
            <a:graphic>
              <a:graphicData uri="http://schemas.openxmlformats.org/drawingml/2006/picture">
                <pic:pic>
                  <pic:nvPicPr>
                    <pic:cNvPr id="0" name="m1_party_2.png"/>
                    <pic:cNvPicPr/>
                  </pic:nvPicPr>
                  <pic:blipFill>
                    <a:blip r:embed="rId29"/>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19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20" name="Picture 20"/>
            <wp:cNvGraphicFramePr>
              <a:graphicFrameLocks noChangeAspect="1"/>
            </wp:cNvGraphicFramePr>
            <a:graphic>
              <a:graphicData uri="http://schemas.openxmlformats.org/drawingml/2006/picture">
                <pic:pic>
                  <pic:nvPicPr>
                    <pic:cNvPr id="0" name="m1_party_3.png"/>
                    <pic:cNvPicPr/>
                  </pic:nvPicPr>
                  <pic:blipFill>
                    <a:blip r:embed="rId30"/>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20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21" name="Picture 21"/>
            <wp:cNvGraphicFramePr>
              <a:graphicFrameLocks noChangeAspect="1"/>
            </wp:cNvGraphicFramePr>
            <a:graphic>
              <a:graphicData uri="http://schemas.openxmlformats.org/drawingml/2006/picture">
                <pic:pic>
                  <pic:nvPicPr>
                    <pic:cNvPr id="0" name="m1_party_4.png"/>
                    <pic:cNvPicPr/>
                  </pic:nvPicPr>
                  <pic:blipFill>
                    <a:blip r:embed="rId31"/>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21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2" name="Picture 22"/>
            <wp:cNvGraphicFramePr>
              <a:graphicFrameLocks noChangeAspect="1"/>
            </wp:cNvGraphicFramePr>
            <a:graphic>
              <a:graphicData uri="http://schemas.openxmlformats.org/drawingml/2006/picture">
                <pic:pic>
                  <pic:nvPicPr>
                    <pic:cNvPr id="0" name="m2_3_institutions_1.png"/>
                    <pic:cNvPicPr/>
                  </pic:nvPicPr>
                  <pic:blipFill>
                    <a:blip r:embed="rId32"/>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3" name="Picture 23"/>
            <wp:cNvGraphicFramePr>
              <a:graphicFrameLocks noChangeAspect="1"/>
            </wp:cNvGraphicFramePr>
            <a:graphic>
              <a:graphicData uri="http://schemas.openxmlformats.org/drawingml/2006/picture">
                <pic:pic>
                  <pic:nvPicPr>
                    <pic:cNvPr id="0" name="m2_3_institutions_2.png"/>
                    <pic:cNvPicPr/>
                  </pic:nvPicPr>
                  <pic:blipFill>
                    <a:blip r:embed="rId33"/>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4" name="Picture 24"/>
            <wp:cNvGraphicFramePr>
              <a:graphicFrameLocks noChangeAspect="1"/>
            </wp:cNvGraphicFramePr>
            <a:graphic>
              <a:graphicData uri="http://schemas.openxmlformats.org/drawingml/2006/picture">
                <pic:pic>
                  <pic:nvPicPr>
                    <pic:cNvPr id="0" name="m2_3_institutions_3.png"/>
                    <pic:cNvPicPr/>
                  </pic:nvPicPr>
                  <pic:blipFill>
                    <a:blip r:embed="rId34"/>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5" name="Picture 25"/>
            <wp:cNvGraphicFramePr>
              <a:graphicFrameLocks noChangeAspect="1"/>
            </wp:cNvGraphicFramePr>
            <a:graphic>
              <a:graphicData uri="http://schemas.openxmlformats.org/drawingml/2006/picture">
                <pic:pic>
                  <pic:nvPicPr>
                    <pic:cNvPr id="0" name="m2_3_institutions_4.png"/>
                    <pic:cNvPicPr/>
                  </pic:nvPicPr>
                  <pic:blipFill>
                    <a:blip r:embed="rId35"/>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6" name="Picture 26"/>
            <wp:cNvGraphicFramePr>
              <a:graphicFrameLocks noChangeAspect="1"/>
            </wp:cNvGraphicFramePr>
            <a:graphic>
              <a:graphicData uri="http://schemas.openxmlformats.org/drawingml/2006/picture">
                <pic:pic>
                  <pic:nvPicPr>
                    <pic:cNvPr id="0" name="m2_3_institutions_5.png"/>
                    <pic:cNvPicPr/>
                  </pic:nvPicPr>
                  <pic:blipFill>
                    <a:blip r:embed="rId36"/>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7" name="Picture 27"/>
            <wp:cNvGraphicFramePr>
              <a:graphicFrameLocks noChangeAspect="1"/>
            </wp:cNvGraphicFramePr>
            <a:graphic>
              <a:graphicData uri="http://schemas.openxmlformats.org/drawingml/2006/picture">
                <pic:pic>
                  <pic:nvPicPr>
                    <pic:cNvPr id="0" name="m2_3_institutions_6.png"/>
                    <pic:cNvPicPr/>
                  </pic:nvPicPr>
                  <pic:blipFill>
                    <a:blip r:embed="rId37"/>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27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8" name="Picture 28"/>
            <wp:cNvGraphicFramePr>
              <a:graphicFrameLocks noChangeAspect="1"/>
            </wp:cNvGraphicFramePr>
            <a:graphic>
              <a:graphicData uri="http://schemas.openxmlformats.org/drawingml/2006/picture">
                <pic:pic>
                  <pic:nvPicPr>
                    <pic:cNvPr id="0" name="m2_3_institutions_7.png"/>
                    <pic:cNvPicPr/>
                  </pic:nvPicPr>
                  <pic:blipFill>
                    <a:blip r:embed="rId38"/>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28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9" name="Picture 29"/>
            <wp:cNvGraphicFramePr>
              <a:graphicFrameLocks noChangeAspect="1"/>
            </wp:cNvGraphicFramePr>
            <a:graphic>
              <a:graphicData uri="http://schemas.openxmlformats.org/drawingml/2006/picture">
                <pic:pic>
                  <pic:nvPicPr>
                    <pic:cNvPr id="0" name="m4_products_1.png"/>
                    <pic:cNvPicPr/>
                  </pic:nvPicPr>
                  <pic:blipFill>
                    <a:blip r:embed="rId39"/>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30" name="Picture 30"/>
            <wp:cNvGraphicFramePr>
              <a:graphicFrameLocks noChangeAspect="1"/>
            </wp:cNvGraphicFramePr>
            <a:graphic>
              <a:graphicData uri="http://schemas.openxmlformats.org/drawingml/2006/picture">
                <pic:pic>
                  <pic:nvPicPr>
                    <pic:cNvPr id="0" name="m4_products_2.png"/>
                    <pic:cNvPicPr/>
                  </pic:nvPicPr>
                  <pic:blipFill>
                    <a:blip r:embed="rId40"/>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1" name="Picture 31"/>
            <wp:cNvGraphicFramePr>
              <a:graphicFrameLocks noChangeAspect="1"/>
            </wp:cNvGraphicFramePr>
            <a:graphic>
              <a:graphicData uri="http://schemas.openxmlformats.org/drawingml/2006/picture">
                <pic:pic>
                  <pic:nvPicPr>
                    <pic:cNvPr id="0" name="m4_reference.png"/>
                    <pic:cNvPicPr/>
                  </pic:nvPicPr>
                  <pic:blipFill>
                    <a:blip r:embed="rId41"/>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31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2" name="Picture 32"/>
            <wp:cNvGraphicFramePr>
              <a:graphicFrameLocks noChangeAspect="1"/>
            </wp:cNvGraphicFramePr>
            <a:graphic>
              <a:graphicData uri="http://schemas.openxmlformats.org/drawingml/2006/picture">
                <pic:pic>
                  <pic:nvPicPr>
                    <pic:cNvPr id="0" name="m4_rates_lookups.png"/>
                    <pic:cNvPicPr/>
                  </pic:nvPicPr>
                  <pic:blipFill>
                    <a:blip r:embed="rId42"/>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32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411730" cy="5334915"/>
            <wp:docPr id="33" name="Picture 33"/>
            <wp:cNvGraphicFramePr>
              <a:graphicFrameLocks noChangeAspect="1"/>
            </wp:cNvGraphicFramePr>
            <a:graphic>
              <a:graphicData uri="http://schemas.openxmlformats.org/drawingml/2006/picture">
                <pic:pic>
                  <pic:nvPicPr>
                    <pic:cNvPr id="0" name="m4_global_ref.png"/>
                    <pic:cNvPicPr/>
                  </pic:nvPicPr>
                  <pic:blipFill>
                    <a:blip r:embed="rId43"/>
                    <a:stretch>
                      <a:fillRect/>
                    </a:stretch>
                  </pic:blipFill>
                  <pic:spPr>
                    <a:xfrm>
                      <a:off x="0" y="0"/>
                      <a:ext cx="2411730" cy="5334915"/>
                    </a:xfrm>
                    <a:prstGeom prst="rect"/>
                  </pic:spPr>
                </pic:pic>
              </a:graphicData>
            </a:graphic>
          </wp:inline>
        </w:drawing>
      </w:r>
    </w:p>
    <w:p>
      <w:pPr>
        <w:spacing w:after="120"/>
        <w:jc w:val="center"/>
      </w:pPr>
      <w:r>
        <w:rPr>
          <w:rFonts w:ascii="Arial" w:hAnsi="Arial"/>
          <w:b w:val="0"/>
          <w:i/>
          <w:color w:val="6B7280"/>
          <w:sz w:val="16"/>
        </w:rPr>
        <w:t>Figure 33  Global references (shared, read-only)  ·  5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ref.Industry</w:t>
            </w:r>
          </w:p>
        </w:tc>
        <w:tc>
          <w:tcPr>
            <w:tcW w:type="dxa" w:w="6690"/>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2948"/>
            <w:shd w:val="clear" w:color="auto" w:fill="E8EEF6"/>
          </w:tcPr>
          <w:p>
            <w:pPr>
              <w:spacing w:after="0" w:before="0"/>
            </w:pPr>
            <w:r/>
            <w:r>
              <w:rPr>
                <w:rFonts w:ascii="Arial" w:hAnsi="Arial"/>
                <w:b w:val="0"/>
                <w:sz w:val="15"/>
              </w:rPr>
              <w:t>IndustryId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ref.UcpArticle</w:t>
            </w:r>
          </w:p>
        </w:tc>
        <w:tc>
          <w:tcPr>
            <w:tcW w:type="dxa" w:w="6690"/>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tcPr>
          <w:p>
            <w:pPr>
              <w:spacing w:after="0" w:before="0"/>
            </w:pPr>
            <w:r/>
            <w:r>
              <w:rPr>
                <w:rFonts w:ascii="Arial" w:hAnsi="Arial"/>
                <w:b w:val="0"/>
                <w:sz w:val="15"/>
              </w:rPr>
              <w:t>UcpArticleId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ParentId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7909469"/>
            <wp:docPr id="34" name="Picture 34"/>
            <wp:cNvGraphicFramePr>
              <a:graphicFrameLocks noChangeAspect="1"/>
            </wp:cNvGraphicFramePr>
            <a:graphic>
              <a:graphicData uri="http://schemas.openxmlformats.org/drawingml/2006/picture">
                <pic:pic>
                  <pic:nvPicPr>
                    <pic:cNvPr id="0" name="m5_facility_core_1.png"/>
                    <pic:cNvPicPr/>
                  </pic:nvPicPr>
                  <pic:blipFill>
                    <a:blip r:embed="rId44"/>
                    <a:stretch>
                      <a:fillRect/>
                    </a:stretch>
                  </pic:blipFill>
                  <pic:spPr>
                    <a:xfrm>
                      <a:off x="0" y="0"/>
                      <a:ext cx="10029190" cy="7909469"/>
                    </a:xfrm>
                    <a:prstGeom prst="rect"/>
                  </pic:spPr>
                </pic:pic>
              </a:graphicData>
            </a:graphic>
          </wp:inline>
        </w:drawing>
      </w:r>
    </w:p>
    <w:p>
      <w:pPr>
        <w:spacing w:after="120"/>
        <w:jc w:val="center"/>
      </w:pPr>
      <w:r>
        <w:rPr>
          <w:rFonts w:ascii="Arial" w:hAnsi="Arial"/>
          <w:b w:val="0"/>
          <w:i/>
          <w:color w:val="6B7280"/>
          <w:sz w:val="16"/>
        </w:rPr>
        <w:t>Figure 34  Facilities and revisions (part 1 of 2)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w:t>
            </w:r>
          </w:p>
        </w:tc>
        <w:tc>
          <w:tcPr>
            <w:tcW w:type="dxa" w:w="6690"/>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shd w:val="clear" w:color="auto" w:fill="E8EEF6"/>
          </w:tcPr>
          <w:p>
            <w:pPr>
              <w:spacing w:after="0" w:before="0"/>
            </w:pPr>
            <w:r/>
            <w:r>
              <w:rPr>
                <w:rFonts w:ascii="Arial" w:hAnsi="Arial"/>
                <w:b w:val="0"/>
                <w:sz w:val="15"/>
              </w:rPr>
              <w:t>FacilityLenderId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RootId, 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 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RootId, FacilityLenderId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63590" cy="6150328"/>
            <wp:docPr id="35" name="Picture 35"/>
            <wp:cNvGraphicFramePr>
              <a:graphicFrameLocks noChangeAspect="1"/>
            </wp:cNvGraphicFramePr>
            <a:graphic>
              <a:graphicData uri="http://schemas.openxmlformats.org/drawingml/2006/picture">
                <pic:pic>
                  <pic:nvPicPr>
                    <pic:cNvPr id="0" name="m5_facility_core_2.png"/>
                    <pic:cNvPicPr/>
                  </pic:nvPicPr>
                  <pic:blipFill>
                    <a:blip r:embed="rId45"/>
                    <a:stretch>
                      <a:fillRect/>
                    </a:stretch>
                  </pic:blipFill>
                  <pic:spPr>
                    <a:xfrm>
                      <a:off x="0" y="0"/>
                      <a:ext cx="5863590" cy="6150328"/>
                    </a:xfrm>
                    <a:prstGeom prst="rect"/>
                  </pic:spPr>
                </pic:pic>
              </a:graphicData>
            </a:graphic>
          </wp:inline>
        </w:drawing>
      </w:r>
    </w:p>
    <w:p>
      <w:pPr>
        <w:spacing w:after="120"/>
        <w:jc w:val="center"/>
      </w:pPr>
      <w:r>
        <w:rPr>
          <w:rFonts w:ascii="Arial" w:hAnsi="Arial"/>
          <w:b w:val="0"/>
          <w:i/>
          <w:color w:val="6B7280"/>
          <w:sz w:val="16"/>
        </w:rPr>
        <w:t>Figure 35  Facilities and revisions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fac.OutstandingSnapshot</w:t>
            </w:r>
          </w:p>
        </w:tc>
        <w:tc>
          <w:tcPr>
            <w:tcW w:type="dxa" w:w="6690"/>
          </w:tcPr>
          <w:p>
            <w:pPr>
              <w:spacing w:after="0" w:before="0"/>
            </w:pPr>
            <w:r/>
            <w:r>
              <w:rPr>
                <w:rFonts w:ascii="Arial" w:hAnsi="Arial"/>
                <w:b w:val="0"/>
                <w:sz w:val="15"/>
              </w:rPr>
              <w:t>Snapshot of the recognised outstanding balance (FR-FAC-009, BR-FAC-017); PctOfLimit is derived and not stored</w:t>
            </w:r>
          </w:p>
        </w:tc>
        <w:tc>
          <w:tcPr>
            <w:tcW w:type="dxa" w:w="2948"/>
          </w:tcPr>
          <w:p>
            <w:pPr>
              <w:spacing w:after="0" w:before="0"/>
            </w:pPr>
            <w:r/>
            <w:r>
              <w:rPr>
                <w:rFonts w:ascii="Arial" w:hAnsi="Arial"/>
                <w:b w:val="0"/>
                <w:sz w:val="15"/>
              </w:rPr>
              <w:t>OutstandingSnapshotId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fac.FacilityLenderDecision</w:t>
            </w:r>
          </w:p>
        </w:tc>
        <w:tc>
          <w:tcPr>
            <w:tcW w:type="dxa" w:w="6690"/>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948"/>
            <w:shd w:val="clear" w:color="auto" w:fill="E8EEF6"/>
          </w:tcPr>
          <w:p>
            <w:pPr>
              <w:spacing w:after="0" w:before="0"/>
            </w:pPr>
            <w:r/>
            <w:r>
              <w:rPr>
                <w:rFonts w:ascii="Arial" w:hAnsi="Arial"/>
                <w:b w:val="0"/>
                <w:sz w:val="15"/>
              </w:rPr>
              <w:t>FacilityLenderDecisionId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CandidateASourceDocumentId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CandidateBSourceDocumentId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ResolvedBy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6" name="Picture 36"/>
            <wp:cNvGraphicFramePr>
              <a:graphicFrameLocks noChangeAspect="1"/>
            </wp:cNvGraphicFramePr>
            <a:graphic>
              <a:graphicData uri="http://schemas.openxmlformats.org/drawingml/2006/picture">
                <pic:pic>
                  <pic:nvPicPr>
                    <pic:cNvPr id="0" name="m5_limits_1.png"/>
                    <pic:cNvPicPr/>
                  </pic:nvPicPr>
                  <pic:blipFill>
                    <a:blip r:embed="rId46"/>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36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RootId,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RootId,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RootId, 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RootId, 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338810" cy="7885236"/>
            <wp:docPr id="37" name="Picture 37"/>
            <wp:cNvGraphicFramePr>
              <a:graphicFrameLocks noChangeAspect="1"/>
            </wp:cNvGraphicFramePr>
            <a:graphic>
              <a:graphicData uri="http://schemas.openxmlformats.org/drawingml/2006/picture">
                <pic:pic>
                  <pic:nvPicPr>
                    <pic:cNvPr id="0" name="m5_limits_2.png"/>
                    <pic:cNvPicPr/>
                  </pic:nvPicPr>
                  <pic:blipFill>
                    <a:blip r:embed="rId47"/>
                    <a:stretch>
                      <a:fillRect/>
                    </a:stretch>
                  </pic:blipFill>
                  <pic:spPr>
                    <a:xfrm>
                      <a:off x="0" y="0"/>
                      <a:ext cx="13338810" cy="7885236"/>
                    </a:xfrm>
                    <a:prstGeom prst="rect"/>
                  </pic:spPr>
                </pic:pic>
              </a:graphicData>
            </a:graphic>
          </wp:inline>
        </w:drawing>
      </w:r>
    </w:p>
    <w:p>
      <w:pPr>
        <w:spacing w:after="120"/>
        <w:jc w:val="center"/>
      </w:pPr>
      <w:r>
        <w:rPr>
          <w:rFonts w:ascii="Arial" w:hAnsi="Arial"/>
          <w:b w:val="0"/>
          <w:i/>
          <w:color w:val="6B7280"/>
          <w:sz w:val="16"/>
        </w:rPr>
        <w:t>Figure 37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TransferredToFacilityId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PreviousFacilityId, 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TransferredToFacilityId, TransferredToId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8" name="Picture 38"/>
            <wp:cNvGraphicFramePr>
              <a:graphicFrameLocks noChangeAspect="1"/>
            </wp:cNvGraphicFramePr>
            <a:graphic>
              <a:graphicData uri="http://schemas.openxmlformats.org/drawingml/2006/picture">
                <pic:pic>
                  <pic:nvPicPr>
                    <pic:cNvPr id="0" name="m5_pricing_1.png"/>
                    <pic:cNvPicPr/>
                  </pic:nvPicPr>
                  <pic:blipFill>
                    <a:blip r:embed="rId48"/>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38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RootId, 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9" name="Picture 39"/>
            <wp:cNvGraphicFramePr>
              <a:graphicFrameLocks noChangeAspect="1"/>
            </wp:cNvGraphicFramePr>
            <a:graphic>
              <a:graphicData uri="http://schemas.openxmlformats.org/drawingml/2006/picture">
                <pic:pic>
                  <pic:nvPicPr>
                    <pic:cNvPr id="0" name="m5_pricing_2.png"/>
                    <pic:cNvPicPr/>
                  </pic:nvPicPr>
                  <pic:blipFill>
                    <a:blip r:embed="rId49"/>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39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0" name="Picture 40"/>
            <wp:cNvGraphicFramePr>
              <a:graphicFrameLocks noChangeAspect="1"/>
            </wp:cNvGraphicFramePr>
            <a:graphic>
              <a:graphicData uri="http://schemas.openxmlformats.org/drawingml/2006/picture">
                <pic:pic>
                  <pic:nvPicPr>
                    <pic:cNvPr id="0" name="m5_pricing_3.png"/>
                    <pic:cNvPicPr/>
                  </pic:nvPicPr>
                  <pic:blipFill>
                    <a:blip r:embed="rId50"/>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40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RootId, 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1" name="Picture 41"/>
            <wp:cNvGraphicFramePr>
              <a:graphicFrameLocks noChangeAspect="1"/>
            </wp:cNvGraphicFramePr>
            <a:graphic>
              <a:graphicData uri="http://schemas.openxmlformats.org/drawingml/2006/picture">
                <pic:pic>
                  <pic:nvPicPr>
                    <pic:cNvPr id="0" name="m5_pricing_4.png"/>
                    <pic:cNvPicPr/>
                  </pic:nvPicPr>
                  <pic:blipFill>
                    <a:blip r:embed="rId51"/>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41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2" name="Picture 42"/>
            <wp:cNvGraphicFramePr>
              <a:graphicFrameLocks noChangeAspect="1"/>
            </wp:cNvGraphicFramePr>
            <a:graphic>
              <a:graphicData uri="http://schemas.openxmlformats.org/drawingml/2006/picture">
                <pic:pic>
                  <pic:nvPicPr>
                    <pic:cNvPr id="0" name="m5_pricing_5.png"/>
                    <pic:cNvPicPr/>
                  </pic:nvPicPr>
                  <pic:blipFill>
                    <a:blip r:embed="rId52"/>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42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RootId, 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3" name="Picture 43"/>
            <wp:cNvGraphicFramePr>
              <a:graphicFrameLocks noChangeAspect="1"/>
            </wp:cNvGraphicFramePr>
            <a:graphic>
              <a:graphicData uri="http://schemas.openxmlformats.org/drawingml/2006/picture">
                <pic:pic>
                  <pic:nvPicPr>
                    <pic:cNvPr id="0" name="m5_collateral_1.png"/>
                    <pic:cNvPicPr/>
                  </pic:nvPicPr>
                  <pic:blipFill>
                    <a:blip r:embed="rId53"/>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43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RootId, 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RootId, 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4" name="Picture 44"/>
            <wp:cNvGraphicFramePr>
              <a:graphicFrameLocks noChangeAspect="1"/>
            </wp:cNvGraphicFramePr>
            <a:graphic>
              <a:graphicData uri="http://schemas.openxmlformats.org/drawingml/2006/picture">
                <pic:pic>
                  <pic:nvPicPr>
                    <pic:cNvPr id="0" name="m5_collateral_2.png"/>
                    <pic:cNvPicPr/>
                  </pic:nvPicPr>
                  <pic:blipFill>
                    <a:blip r:embed="rId54"/>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44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5" name="Picture 45"/>
            <wp:cNvGraphicFramePr>
              <a:graphicFrameLocks noChangeAspect="1"/>
            </wp:cNvGraphicFramePr>
            <a:graphic>
              <a:graphicData uri="http://schemas.openxmlformats.org/drawingml/2006/picture">
                <pic:pic>
                  <pic:nvPicPr>
                    <pic:cNvPr id="0" name="m5_collateral_3.png"/>
                    <pic:cNvPicPr/>
                  </pic:nvPicPr>
                  <pic:blipFill>
                    <a:blip r:embed="rId55"/>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45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271760" cy="7852430"/>
            <wp:docPr id="46" name="Picture 46"/>
            <wp:cNvGraphicFramePr>
              <a:graphicFrameLocks noChangeAspect="1"/>
            </wp:cNvGraphicFramePr>
            <a:graphic>
              <a:graphicData uri="http://schemas.openxmlformats.org/drawingml/2006/picture">
                <pic:pic>
                  <pic:nvPicPr>
                    <pic:cNvPr id="0" name="m5_obligations_1.png"/>
                    <pic:cNvPicPr/>
                  </pic:nvPicPr>
                  <pic:blipFill>
                    <a:blip r:embed="rId56"/>
                    <a:stretch>
                      <a:fillRect/>
                    </a:stretch>
                  </pic:blipFill>
                  <pic:spPr>
                    <a:xfrm>
                      <a:off x="0" y="0"/>
                      <a:ext cx="10271760" cy="7852430"/>
                    </a:xfrm>
                    <a:prstGeom prst="rect"/>
                  </pic:spPr>
                </pic:pic>
              </a:graphicData>
            </a:graphic>
          </wp:inline>
        </w:drawing>
      </w:r>
    </w:p>
    <w:p>
      <w:pPr>
        <w:spacing w:after="120"/>
        <w:jc w:val="center"/>
      </w:pPr>
      <w:r>
        <w:rPr>
          <w:rFonts w:ascii="Arial" w:hAnsi="Arial"/>
          <w:b w:val="0"/>
          <w:i/>
          <w:color w:val="6B7280"/>
          <w:sz w:val="16"/>
        </w:rPr>
        <w:t>Figure 46  Obligations, covenants and reporting (part 1 of 4)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FormulaResultUnit, FormulaUsesStatements, 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ResultUnit, UsesStatements, 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RootId, 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RootId, 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FormulaId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7302076"/>
            <wp:docPr id="47" name="Picture 47"/>
            <wp:cNvGraphicFramePr>
              <a:graphicFrameLocks noChangeAspect="1"/>
            </wp:cNvGraphicFramePr>
            <a:graphic>
              <a:graphicData uri="http://schemas.openxmlformats.org/drawingml/2006/picture">
                <pic:pic>
                  <pic:nvPicPr>
                    <pic:cNvPr id="0" name="m5_obligations_2.png"/>
                    <pic:cNvPicPr/>
                  </pic:nvPicPr>
                  <pic:blipFill>
                    <a:blip r:embed="rId57"/>
                    <a:stretch>
                      <a:fillRect/>
                    </a:stretch>
                  </pic:blipFill>
                  <pic:spPr>
                    <a:xfrm>
                      <a:off x="0" y="0"/>
                      <a:ext cx="6437630" cy="7302076"/>
                    </a:xfrm>
                    <a:prstGeom prst="rect"/>
                  </pic:spPr>
                </pic:pic>
              </a:graphicData>
            </a:graphic>
          </wp:inline>
        </w:drawing>
      </w:r>
    </w:p>
    <w:p>
      <w:pPr>
        <w:spacing w:after="120"/>
        <w:jc w:val="center"/>
      </w:pPr>
      <w:r>
        <w:rPr>
          <w:rFonts w:ascii="Arial" w:hAnsi="Arial"/>
          <w:b w:val="0"/>
          <w:i/>
          <w:color w:val="6B7280"/>
          <w:sz w:val="16"/>
        </w:rPr>
        <w:t>Figure 47  Obligations, covenants and reporting (part 2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obl.CovenantTestStatement</w:t>
            </w:r>
          </w:p>
        </w:tc>
        <w:tc>
          <w:tcPr>
            <w:tcW w:type="dxa" w:w="6690"/>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2948"/>
          </w:tcPr>
          <w:p>
            <w:pPr>
              <w:spacing w:after="0" w:before="0"/>
            </w:pPr>
            <w:r/>
            <w:r>
              <w:rPr>
                <w:rFonts w:ascii="Arial" w:hAnsi="Arial"/>
                <w:b w:val="0"/>
                <w:sz w:val="15"/>
              </w:rPr>
              <w:t>TenantId, CovenantTestId, StatementId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obl.CovenantTestStatement</w:t>
            </w:r>
          </w:p>
        </w:tc>
        <w:tc>
          <w:tcPr>
            <w:tcW w:type="dxa" w:w="2948"/>
          </w:tcPr>
          <w:p>
            <w:pPr>
              <w:spacing w:after="0" w:before="0"/>
            </w:pPr>
            <w:r/>
            <w:r>
              <w:rPr>
                <w:rFonts w:ascii="Arial" w:hAnsi="Arial"/>
                <w:b w:val="0"/>
                <w:sz w:val="15"/>
              </w:rPr>
              <w:t>CovenantTestId</w:t>
            </w:r>
          </w:p>
        </w:tc>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CovenantTestId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obl.CovenantTestStatement</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RootId, 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125210" cy="7679368"/>
            <wp:docPr id="48" name="Picture 48"/>
            <wp:cNvGraphicFramePr>
              <a:graphicFrameLocks noChangeAspect="1"/>
            </wp:cNvGraphicFramePr>
            <a:graphic>
              <a:graphicData uri="http://schemas.openxmlformats.org/drawingml/2006/picture">
                <pic:pic>
                  <pic:nvPicPr>
                    <pic:cNvPr id="0" name="m5_obligations_3.png"/>
                    <pic:cNvPicPr/>
                  </pic:nvPicPr>
                  <pic:blipFill>
                    <a:blip r:embed="rId58"/>
                    <a:stretch>
                      <a:fillRect/>
                    </a:stretch>
                  </pic:blipFill>
                  <pic:spPr>
                    <a:xfrm>
                      <a:off x="0" y="0"/>
                      <a:ext cx="6125210" cy="7679368"/>
                    </a:xfrm>
                    <a:prstGeom prst="rect"/>
                  </pic:spPr>
                </pic:pic>
              </a:graphicData>
            </a:graphic>
          </wp:inline>
        </w:drawing>
      </w:r>
    </w:p>
    <w:p>
      <w:pPr>
        <w:spacing w:after="120"/>
        <w:jc w:val="center"/>
      </w:pPr>
      <w:r>
        <w:rPr>
          <w:rFonts w:ascii="Arial" w:hAnsi="Arial"/>
          <w:b w:val="0"/>
          <w:i/>
          <w:color w:val="6B7280"/>
          <w:sz w:val="16"/>
        </w:rPr>
        <w:t>Figure 48  Obligations, covenants and reporting (part 3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ObligationRootId,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RootId,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CovenantRootId, TestPeriodEnd, 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PeriodEnd, 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091420" cy="4214456"/>
            <wp:docPr id="49" name="Picture 49"/>
            <wp:cNvGraphicFramePr>
              <a:graphicFrameLocks noChangeAspect="1"/>
            </wp:cNvGraphicFramePr>
            <a:graphic>
              <a:graphicData uri="http://schemas.openxmlformats.org/drawingml/2006/picture">
                <pic:pic>
                  <pic:nvPicPr>
                    <pic:cNvPr id="0" name="m5_obligations_4.png"/>
                    <pic:cNvPicPr/>
                  </pic:nvPicPr>
                  <pic:blipFill>
                    <a:blip r:embed="rId59"/>
                    <a:stretch>
                      <a:fillRect/>
                    </a:stretch>
                  </pic:blipFill>
                  <pic:spPr>
                    <a:xfrm>
                      <a:off x="0" y="0"/>
                      <a:ext cx="10091420" cy="4214456"/>
                    </a:xfrm>
                    <a:prstGeom prst="rect"/>
                  </pic:spPr>
                </pic:pic>
              </a:graphicData>
            </a:graphic>
          </wp:inline>
        </w:drawing>
      </w:r>
    </w:p>
    <w:p>
      <w:pPr>
        <w:spacing w:after="120"/>
        <w:jc w:val="center"/>
      </w:pPr>
      <w:r>
        <w:rPr>
          <w:rFonts w:ascii="Arial" w:hAnsi="Arial"/>
          <w:b w:val="0"/>
          <w:i/>
          <w:color w:val="6B7280"/>
          <w:sz w:val="16"/>
        </w:rPr>
        <w:t>Figure 49  Obligations, covenants and reporting (part 4 of 4)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ReportingObligationRootId, ReportingObligationId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SubmissionChannelUsedId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SubmissionChannelId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27470" cy="4021843"/>
            <wp:docPr id="50" name="Picture 50"/>
            <wp:cNvGraphicFramePr>
              <a:graphicFrameLocks noChangeAspect="1"/>
            </wp:cNvGraphicFramePr>
            <a:graphic>
              <a:graphicData uri="http://schemas.openxmlformats.org/drawingml/2006/picture">
                <pic:pic>
                  <pic:nvPicPr>
                    <pic:cNvPr id="0" name="m5_financials_1.png"/>
                    <pic:cNvPicPr/>
                  </pic:nvPicPr>
                  <pic:blipFill>
                    <a:blip r:embed="rId60"/>
                    <a:stretch>
                      <a:fillRect/>
                    </a:stretch>
                  </pic:blipFill>
                  <pic:spPr>
                    <a:xfrm>
                      <a:off x="0" y="0"/>
                      <a:ext cx="6427470" cy="4021843"/>
                    </a:xfrm>
                    <a:prstGeom prst="rect"/>
                  </pic:spPr>
                </pic:pic>
              </a:graphicData>
            </a:graphic>
          </wp:inline>
        </w:drawing>
      </w:r>
    </w:p>
    <w:p>
      <w:pPr>
        <w:spacing w:after="120"/>
        <w:jc w:val="center"/>
      </w:pPr>
      <w:r>
        <w:rPr>
          <w:rFonts w:ascii="Arial" w:hAnsi="Arial"/>
          <w:b w:val="0"/>
          <w:i/>
          <w:color w:val="6B7280"/>
          <w:sz w:val="16"/>
        </w:rPr>
        <w:t>Figure 50  Financial statements and balances (part 1 of 22)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fin.AssessmentEvidencePack</w:t>
            </w:r>
          </w:p>
        </w:tc>
        <w:tc>
          <w:tcPr>
            <w:tcW w:type="dxa" w:w="6690"/>
            <w:shd w:val="clear" w:color="auto" w:fill="E8EEF6"/>
          </w:tcPr>
          <w:p>
            <w:pPr>
              <w:spacing w:after="0" w:before="0"/>
            </w:pPr>
            <w:r/>
            <w:r>
              <w:rPr>
                <w:rFonts w:ascii="Arial" w:hAnsi="Arial"/>
                <w:b w:val="0"/>
                <w:sz w:val="15"/>
              </w:rPr>
              <w:t>A sealed evidence pack of an endorsed assessment, built for an auditor or a lender: the assessment, its statement versions and lines, findings, reconciliation, calibration and audit rows in one JSON document whose SHA-256 is kept here; the same content gives the same hash (ADR 0030)</w:t>
            </w:r>
          </w:p>
        </w:tc>
        <w:tc>
          <w:tcPr>
            <w:tcW w:type="dxa" w:w="2948"/>
            <w:shd w:val="clear" w:color="auto" w:fill="E8EEF6"/>
          </w:tcPr>
          <w:p>
            <w:pPr>
              <w:spacing w:after="0" w:before="0"/>
            </w:pPr>
            <w:r/>
            <w:r>
              <w:rPr>
                <w:rFonts w:ascii="Arial" w:hAnsi="Arial"/>
                <w:b w:val="0"/>
                <w:sz w:val="15"/>
              </w:rPr>
              <w:t>AssessmentEvidencePackId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ConfirmedBy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LastReopenedBy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fin.AssessmentEvidencePack</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fin.AssessmentEvidencePack</w:t>
            </w:r>
          </w:p>
        </w:tc>
        <w:tc>
          <w:tcPr>
            <w:tcW w:type="dxa" w:w="2948"/>
          </w:tcPr>
          <w:p>
            <w:pPr>
              <w:spacing w:after="0" w:before="0"/>
            </w:pPr>
            <w:r/>
            <w:r>
              <w:rPr>
                <w:rFonts w:ascii="Arial" w:hAnsi="Arial"/>
                <w:b w:val="0"/>
                <w:sz w:val="15"/>
              </w:rPr>
              <w:t>GeneratedBy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54420" cy="7766787"/>
            <wp:docPr id="51" name="Picture 51"/>
            <wp:cNvGraphicFramePr>
              <a:graphicFrameLocks noChangeAspect="1"/>
            </wp:cNvGraphicFramePr>
            <a:graphic>
              <a:graphicData uri="http://schemas.openxmlformats.org/drawingml/2006/picture">
                <pic:pic>
                  <pic:nvPicPr>
                    <pic:cNvPr id="0" name="m5_financials_2.png"/>
                    <pic:cNvPicPr/>
                  </pic:nvPicPr>
                  <pic:blipFill>
                    <a:blip r:embed="rId61"/>
                    <a:stretch>
                      <a:fillRect/>
                    </a:stretch>
                  </pic:blipFill>
                  <pic:spPr>
                    <a:xfrm>
                      <a:off x="0" y="0"/>
                      <a:ext cx="6154420" cy="7766787"/>
                    </a:xfrm>
                    <a:prstGeom prst="rect"/>
                  </pic:spPr>
                </pic:pic>
              </a:graphicData>
            </a:graphic>
          </wp:inline>
        </w:drawing>
      </w:r>
    </w:p>
    <w:p>
      <w:pPr>
        <w:spacing w:after="120"/>
        <w:jc w:val="center"/>
      </w:pPr>
      <w:r>
        <w:rPr>
          <w:rFonts w:ascii="Arial" w:hAnsi="Arial"/>
          <w:b w:val="0"/>
          <w:i/>
          <w:color w:val="6B7280"/>
          <w:sz w:val="16"/>
        </w:rPr>
        <w:t>Figure 51  Financial statements and balances (part 2 of 22)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fin.BankFlowEntry</w:t>
            </w:r>
          </w:p>
        </w:tc>
        <w:tc>
          <w:tcPr>
            <w:tcW w:type="dxa" w:w="6690"/>
          </w:tcPr>
          <w:p>
            <w:pPr>
              <w:spacing w:after="0" w:before="0"/>
            </w:pPr>
            <w:r/>
            <w:r>
              <w:rPr>
                <w:rFonts w:ascii="Arial" w:hAnsi="Arial"/>
                <w:b w:val="0"/>
                <w:sz w:val="15"/>
              </w:rPr>
              <w:t>Amount transferred to the bank in a month; annual totals are computed automatically (FR-FIN-009/010, BR-FIN-007/008)</w:t>
            </w:r>
          </w:p>
        </w:tc>
        <w:tc>
          <w:tcPr>
            <w:tcW w:type="dxa" w:w="2948"/>
          </w:tcPr>
          <w:p>
            <w:pPr>
              <w:spacing w:after="0" w:before="0"/>
            </w:pPr>
            <w:r/>
            <w:r>
              <w:rPr>
                <w:rFonts w:ascii="Arial" w:hAnsi="Arial"/>
                <w:b w:val="0"/>
                <w:sz w:val="15"/>
              </w:rPr>
              <w:t>BankFlowEntryId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FlowKindListCode, FlowKindListId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Code, 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FlowKindListId, FlowKindId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 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ConfirmedBy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LastReopenedBy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45530" cy="2114993"/>
            <wp:docPr id="52" name="Picture 52"/>
            <wp:cNvGraphicFramePr>
              <a:graphicFrameLocks noChangeAspect="1"/>
            </wp:cNvGraphicFramePr>
            <a:graphic>
              <a:graphicData uri="http://schemas.openxmlformats.org/drawingml/2006/picture">
                <pic:pic>
                  <pic:nvPicPr>
                    <pic:cNvPr id="0" name="m5_financials_3.png"/>
                    <pic:cNvPicPr/>
                  </pic:nvPicPr>
                  <pic:blipFill>
                    <a:blip r:embed="rId62"/>
                    <a:stretch>
                      <a:fillRect/>
                    </a:stretch>
                  </pic:blipFill>
                  <pic:spPr>
                    <a:xfrm>
                      <a:off x="0" y="0"/>
                      <a:ext cx="6145530" cy="2114993"/>
                    </a:xfrm>
                    <a:prstGeom prst="rect"/>
                  </pic:spPr>
                </pic:pic>
              </a:graphicData>
            </a:graphic>
          </wp:inline>
        </w:drawing>
      </w:r>
    </w:p>
    <w:p>
      <w:pPr>
        <w:spacing w:after="120"/>
        <w:jc w:val="center"/>
      </w:pPr>
      <w:r>
        <w:rPr>
          <w:rFonts w:ascii="Arial" w:hAnsi="Arial"/>
          <w:b w:val="0"/>
          <w:i/>
          <w:color w:val="6B7280"/>
          <w:sz w:val="16"/>
        </w:rPr>
        <w:t>Figure 52  Financial statements and balances (part 3 of 22)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fin.CompanyProductLine</w:t>
            </w:r>
          </w:p>
        </w:tc>
        <w:tc>
          <w:tcPr>
            <w:tcW w:type="dxa" w:w="6690"/>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2948"/>
          </w:tcPr>
          <w:p>
            <w:pPr>
              <w:spacing w:after="0" w:before="0"/>
            </w:pPr>
            <w:r/>
            <w:r>
              <w:rPr>
                <w:rFonts w:ascii="Arial" w:hAnsi="Arial"/>
                <w:b w:val="0"/>
                <w:sz w:val="15"/>
              </w:rPr>
              <w:t>CompanyProductLineId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fin.CompanyProductLine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fin.CompanyProductLine</w:t>
            </w:r>
          </w:p>
        </w:tc>
        <w:tc>
          <w:tcPr>
            <w:tcW w:type="dxa" w:w="2948"/>
            <w:shd w:val="clear" w:color="auto" w:fill="E8EEF6"/>
          </w:tcPr>
          <w:p>
            <w:pPr>
              <w:spacing w:after="0" w:before="0"/>
            </w:pPr>
            <w:r/>
            <w:r>
              <w:rPr>
                <w:rFonts w:ascii="Arial" w:hAnsi="Arial"/>
                <w:b w:val="0"/>
                <w:sz w:val="15"/>
              </w:rPr>
              <w:t>ProductCategoryId</w:t>
            </w:r>
          </w:p>
        </w:tc>
        <w:tc>
          <w:tcPr>
            <w:tcW w:type="dxa" w:w="2721"/>
            <w:shd w:val="clear" w:color="auto" w:fill="E8EEF6"/>
          </w:tcPr>
          <w:p>
            <w:pPr>
              <w:spacing w:after="0" w:before="0"/>
            </w:pPr>
            <w:r/>
            <w:r>
              <w:rPr>
                <w:rFonts w:ascii="Arial" w:hAnsi="Arial"/>
                <w:b w:val="0"/>
                <w:sz w:val="15"/>
              </w:rPr>
              <w:t>fin.ProductCategory</w:t>
            </w:r>
          </w:p>
        </w:tc>
        <w:tc>
          <w:tcPr>
            <w:tcW w:type="dxa" w:w="2948"/>
            <w:shd w:val="clear" w:color="auto" w:fill="E8EEF6"/>
          </w:tcPr>
          <w:p>
            <w:pPr>
              <w:spacing w:after="0" w:before="0"/>
            </w:pPr>
            <w:r/>
            <w:r>
              <w:rPr>
                <w:rFonts w:ascii="Arial" w:hAnsi="Arial"/>
                <w:b w:val="0"/>
                <w:sz w:val="15"/>
              </w:rPr>
              <w:t>ProductCategoryId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4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786880" cy="3678131"/>
            <wp:docPr id="53" name="Picture 53"/>
            <wp:cNvGraphicFramePr>
              <a:graphicFrameLocks noChangeAspect="1"/>
            </wp:cNvGraphicFramePr>
            <a:graphic>
              <a:graphicData uri="http://schemas.openxmlformats.org/drawingml/2006/picture">
                <pic:pic>
                  <pic:nvPicPr>
                    <pic:cNvPr id="0" name="m5_financials_4.png"/>
                    <pic:cNvPicPr/>
                  </pic:nvPicPr>
                  <pic:blipFill>
                    <a:blip r:embed="rId63"/>
                    <a:stretch>
                      <a:fillRect/>
                    </a:stretch>
                  </pic:blipFill>
                  <pic:spPr>
                    <a:xfrm>
                      <a:off x="0" y="0"/>
                      <a:ext cx="6786880" cy="3678131"/>
                    </a:xfrm>
                    <a:prstGeom prst="rect"/>
                  </pic:spPr>
                </pic:pic>
              </a:graphicData>
            </a:graphic>
          </wp:inline>
        </w:drawing>
      </w:r>
    </w:p>
    <w:p>
      <w:pPr>
        <w:spacing w:after="120"/>
        <w:jc w:val="center"/>
      </w:pPr>
      <w:r>
        <w:rPr>
          <w:rFonts w:ascii="Arial" w:hAnsi="Arial"/>
          <w:b w:val="0"/>
          <w:i/>
          <w:color w:val="6B7280"/>
          <w:sz w:val="16"/>
        </w:rPr>
        <w:t>Figure 53  Financial statements and balances (part 4 of 22)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fin.ConsolidationMember</w:t>
            </w:r>
          </w:p>
        </w:tc>
        <w:tc>
          <w:tcPr>
            <w:tcW w:type="dxa" w:w="6690"/>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2948"/>
          </w:tcPr>
          <w:p>
            <w:pPr>
              <w:spacing w:after="0" w:before="0"/>
            </w:pPr>
            <w:r/>
            <w:r>
              <w:rPr>
                <w:rFonts w:ascii="Arial" w:hAnsi="Arial"/>
                <w:b w:val="0"/>
                <w:sz w:val="15"/>
              </w:rPr>
              <w:t>ConsolidationMemberId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fin.CountryRegion</w:t>
            </w:r>
          </w:p>
        </w:tc>
        <w:tc>
          <w:tcPr>
            <w:tcW w:type="dxa" w:w="6690"/>
            <w:shd w:val="clear" w:color="auto" w:fill="E8EEF6"/>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2948"/>
            <w:shd w:val="clear" w:color="auto" w:fill="E8EEF6"/>
          </w:tcPr>
          <w:p>
            <w:pPr>
              <w:spacing w:after="0" w:before="0"/>
            </w:pPr>
            <w:r/>
            <w:r>
              <w:rPr>
                <w:rFonts w:ascii="Arial" w:hAnsi="Arial"/>
                <w:b w:val="0"/>
                <w:sz w:val="15"/>
              </w:rPr>
              <w:t>CountryRegionId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StatementBasis, 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Basis, 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fin.ConsolidationMember</w:t>
            </w:r>
          </w:p>
        </w:tc>
        <w:tc>
          <w:tcPr>
            <w:tcW w:type="dxa" w:w="2948"/>
            <w:shd w:val="clear" w:color="auto" w:fill="E8EEF6"/>
          </w:tcPr>
          <w:p>
            <w:pPr>
              <w:spacing w:after="0" w:before="0"/>
            </w:pPr>
            <w:r/>
            <w:r>
              <w:rPr>
                <w:rFonts w:ascii="Arial" w:hAnsi="Arial"/>
                <w:b w:val="0"/>
                <w:sz w:val="15"/>
              </w:rPr>
              <w:t>MemberCompanyId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MemberCompanyId, MemberStatementId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fin.CountryRegion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5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32828"/>
            <wp:docPr id="54" name="Picture 54"/>
            <wp:cNvGraphicFramePr>
              <a:graphicFrameLocks noChangeAspect="1"/>
            </wp:cNvGraphicFramePr>
            <a:graphic>
              <a:graphicData uri="http://schemas.openxmlformats.org/drawingml/2006/picture">
                <pic:pic>
                  <pic:nvPicPr>
                    <pic:cNvPr id="0" name="m5_financials_5.png"/>
                    <pic:cNvPicPr/>
                  </pic:nvPicPr>
                  <pic:blipFill>
                    <a:blip r:embed="rId64"/>
                    <a:stretch>
                      <a:fillRect/>
                    </a:stretch>
                  </pic:blipFill>
                  <pic:spPr>
                    <a:xfrm>
                      <a:off x="0" y="0"/>
                      <a:ext cx="6015990" cy="2132828"/>
                    </a:xfrm>
                    <a:prstGeom prst="rect"/>
                  </pic:spPr>
                </pic:pic>
              </a:graphicData>
            </a:graphic>
          </wp:inline>
        </w:drawing>
      </w:r>
    </w:p>
    <w:p>
      <w:pPr>
        <w:spacing w:after="120"/>
        <w:jc w:val="center"/>
      </w:pPr>
      <w:r>
        <w:rPr>
          <w:rFonts w:ascii="Arial" w:hAnsi="Arial"/>
          <w:b w:val="0"/>
          <w:i/>
          <w:color w:val="6B7280"/>
          <w:sz w:val="16"/>
        </w:rPr>
        <w:t>Figure 54  Financial statements and balances (part 5 of 22)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fin.CountryRiskProfile</w:t>
            </w:r>
          </w:p>
        </w:tc>
        <w:tc>
          <w:tcPr>
            <w:tcW w:type="dxa" w:w="6690"/>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948"/>
          </w:tcPr>
          <w:p>
            <w:pPr>
              <w:spacing w:after="0" w:before="0"/>
            </w:pPr>
            <w:r/>
            <w:r>
              <w:rPr>
                <w:rFonts w:ascii="Arial" w:hAnsi="Arial"/>
                <w:b w:val="0"/>
                <w:sz w:val="15"/>
              </w:rPr>
              <w:t>CountryRiskProfileId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SovereignRatingGradeId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CeilingGradeId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6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24270" cy="7292119"/>
            <wp:docPr id="55" name="Picture 55"/>
            <wp:cNvGraphicFramePr>
              <a:graphicFrameLocks noChangeAspect="1"/>
            </wp:cNvGraphicFramePr>
            <a:graphic>
              <a:graphicData uri="http://schemas.openxmlformats.org/drawingml/2006/picture">
                <pic:pic>
                  <pic:nvPicPr>
                    <pic:cNvPr id="0" name="m5_financials_6.png"/>
                    <pic:cNvPicPr/>
                  </pic:nvPicPr>
                  <pic:blipFill>
                    <a:blip r:embed="rId65"/>
                    <a:stretch>
                      <a:fillRect/>
                    </a:stretch>
                  </pic:blipFill>
                  <pic:spPr>
                    <a:xfrm>
                      <a:off x="0" y="0"/>
                      <a:ext cx="6224270" cy="7292119"/>
                    </a:xfrm>
                    <a:prstGeom prst="rect"/>
                  </pic:spPr>
                </pic:pic>
              </a:graphicData>
            </a:graphic>
          </wp:inline>
        </w:drawing>
      </w:r>
    </w:p>
    <w:p>
      <w:pPr>
        <w:spacing w:after="120"/>
        <w:jc w:val="center"/>
      </w:pPr>
      <w:r>
        <w:rPr>
          <w:rFonts w:ascii="Arial" w:hAnsi="Arial"/>
          <w:b w:val="0"/>
          <w:i/>
          <w:color w:val="6B7280"/>
          <w:sz w:val="16"/>
        </w:rPr>
        <w:t>Figure 55  Financial statements and balances (part 6 of 22)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w:t>
            </w:r>
          </w:p>
        </w:tc>
        <w:tc>
          <w:tcPr>
            <w:tcW w:type="dxa" w:w="6690"/>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948"/>
          </w:tcPr>
          <w:p>
            <w:pPr>
              <w:spacing w:after="0" w:before="0"/>
            </w:pPr>
            <w:r/>
            <w:r>
              <w:rPr>
                <w:rFonts w:ascii="Arial" w:hAnsi="Arial"/>
                <w:b w:val="0"/>
                <w:sz w:val="15"/>
              </w:rPr>
              <w:t>CreditAssessmentId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CompanyId, 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CompanyId, 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UsedPriorStatementId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FinancialGradeId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IndicatedGradeId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CapGradeId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StandaloneGradeId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FacilityGradeId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EndorsedBy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MarketCountryId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AnchorGradeId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CountryCeilingGradeId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7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79870" cy="6417763"/>
            <wp:docPr id="56" name="Picture 56"/>
            <wp:cNvGraphicFramePr>
              <a:graphicFrameLocks noChangeAspect="1"/>
            </wp:cNvGraphicFramePr>
            <a:graphic>
              <a:graphicData uri="http://schemas.openxmlformats.org/drawingml/2006/picture">
                <pic:pic>
                  <pic:nvPicPr>
                    <pic:cNvPr id="0" name="m5_financials_7.png"/>
                    <pic:cNvPicPr/>
                  </pic:nvPicPr>
                  <pic:blipFill>
                    <a:blip r:embed="rId66"/>
                    <a:stretch>
                      <a:fillRect/>
                    </a:stretch>
                  </pic:blipFill>
                  <pic:spPr>
                    <a:xfrm>
                      <a:off x="0" y="0"/>
                      <a:ext cx="6579870" cy="6417763"/>
                    </a:xfrm>
                    <a:prstGeom prst="rect"/>
                  </pic:spPr>
                </pic:pic>
              </a:graphicData>
            </a:graphic>
          </wp:inline>
        </w:drawing>
      </w:r>
    </w:p>
    <w:p>
      <w:pPr>
        <w:spacing w:after="120"/>
        <w:jc w:val="center"/>
      </w:pPr>
      <w:r>
        <w:rPr>
          <w:rFonts w:ascii="Arial" w:hAnsi="Arial"/>
          <w:b w:val="0"/>
          <w:i/>
          <w:color w:val="6B7280"/>
          <w:sz w:val="16"/>
        </w:rPr>
        <w:t>Figure 56  Financial statements and balances (part 7 of 22)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fin.CreditAssessmentBureau</w:t>
            </w:r>
          </w:p>
        </w:tc>
        <w:tc>
          <w:tcPr>
            <w:tcW w:type="dxa" w:w="6690"/>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2948"/>
          </w:tcPr>
          <w:p>
            <w:pPr>
              <w:spacing w:after="0" w:before="0"/>
            </w:pPr>
            <w:r/>
            <w:r>
              <w:rPr>
                <w:rFonts w:ascii="Arial" w:hAnsi="Arial"/>
                <w:b w:val="0"/>
                <w:sz w:val="15"/>
              </w:rPr>
              <w:t>CreditAssessmentBureauId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fin.CreditAssessmentFacility</w:t>
            </w:r>
          </w:p>
        </w:tc>
        <w:tc>
          <w:tcPr>
            <w:tcW w:type="dxa" w:w="6690"/>
            <w:shd w:val="clear" w:color="auto" w:fill="E8EEF6"/>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2948"/>
            <w:shd w:val="clear" w:color="auto" w:fill="E8EEF6"/>
          </w:tcPr>
          <w:p>
            <w:pPr>
              <w:spacing w:after="0" w:before="0"/>
            </w:pPr>
            <w:r/>
            <w:r>
              <w:rPr>
                <w:rFonts w:ascii="Arial" w:hAnsi="Arial"/>
                <w:b w:val="0"/>
                <w:sz w:val="15"/>
              </w:rPr>
              <w:t>CreditAssessmentFacilityId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fin.CreditAssessmentBureau</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fin.CreditAssessmentBureau</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LenderDecisionId</w:t>
            </w:r>
          </w:p>
        </w:tc>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FacilityLenderDecisionId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8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88100" cy="3171191"/>
            <wp:docPr id="57" name="Picture 57"/>
            <wp:cNvGraphicFramePr>
              <a:graphicFrameLocks noChangeAspect="1"/>
            </wp:cNvGraphicFramePr>
            <a:graphic>
              <a:graphicData uri="http://schemas.openxmlformats.org/drawingml/2006/picture">
                <pic:pic>
                  <pic:nvPicPr>
                    <pic:cNvPr id="0" name="m5_financials_8.png"/>
                    <pic:cNvPicPr/>
                  </pic:nvPicPr>
                  <pic:blipFill>
                    <a:blip r:embed="rId67"/>
                    <a:stretch>
                      <a:fillRect/>
                    </a:stretch>
                  </pic:blipFill>
                  <pic:spPr>
                    <a:xfrm>
                      <a:off x="0" y="0"/>
                      <a:ext cx="6388100" cy="3171191"/>
                    </a:xfrm>
                    <a:prstGeom prst="rect"/>
                  </pic:spPr>
                </pic:pic>
              </a:graphicData>
            </a:graphic>
          </wp:inline>
        </w:drawing>
      </w:r>
    </w:p>
    <w:p>
      <w:pPr>
        <w:spacing w:after="120"/>
        <w:jc w:val="center"/>
      </w:pPr>
      <w:r>
        <w:rPr>
          <w:rFonts w:ascii="Arial" w:hAnsi="Arial"/>
          <w:b w:val="0"/>
          <w:i/>
          <w:color w:val="6B7280"/>
          <w:sz w:val="16"/>
        </w:rPr>
        <w:t>Figure 57  Financial statements and balances (part 8 of 22)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fin.CreditAssessmentFactor</w:t>
            </w:r>
          </w:p>
        </w:tc>
        <w:tc>
          <w:tcPr>
            <w:tcW w:type="dxa" w:w="6690"/>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2948"/>
          </w:tcPr>
          <w:p>
            <w:pPr>
              <w:spacing w:after="0" w:before="0"/>
            </w:pPr>
            <w:r/>
            <w:r>
              <w:rPr>
                <w:rFonts w:ascii="Arial" w:hAnsi="Arial"/>
                <w:b w:val="0"/>
                <w:sz w:val="15"/>
              </w:rPr>
              <w:t>CreditAssessmentFactorId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fin.CreditAssessmentFinding</w:t>
            </w:r>
          </w:p>
        </w:tc>
        <w:tc>
          <w:tcPr>
            <w:tcW w:type="dxa" w:w="6690"/>
            <w:shd w:val="clear" w:color="auto" w:fill="E8EEF6"/>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948"/>
            <w:shd w:val="clear" w:color="auto" w:fill="E8EEF6"/>
          </w:tcPr>
          <w:p>
            <w:pPr>
              <w:spacing w:after="0" w:before="0"/>
            </w:pPr>
            <w:r/>
            <w:r>
              <w:rPr>
                <w:rFonts w:ascii="Arial" w:hAnsi="Arial"/>
                <w:b w:val="0"/>
                <w:sz w:val="15"/>
              </w:rPr>
              <w:t>CreditAssessmentFindingId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fin.CreditAssessmentFinding</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9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12559" cy="2984057"/>
            <wp:docPr id="58" name="Picture 58"/>
            <wp:cNvGraphicFramePr>
              <a:graphicFrameLocks noChangeAspect="1"/>
            </wp:cNvGraphicFramePr>
            <a:graphic>
              <a:graphicData uri="http://schemas.openxmlformats.org/drawingml/2006/picture">
                <pic:pic>
                  <pic:nvPicPr>
                    <pic:cNvPr id="0" name="m5_financials_9.png"/>
                    <pic:cNvPicPr/>
                  </pic:nvPicPr>
                  <pic:blipFill>
                    <a:blip r:embed="rId68"/>
                    <a:stretch>
                      <a:fillRect/>
                    </a:stretch>
                  </pic:blipFill>
                  <pic:spPr>
                    <a:xfrm>
                      <a:off x="0" y="0"/>
                      <a:ext cx="6512559" cy="2984057"/>
                    </a:xfrm>
                    <a:prstGeom prst="rect"/>
                  </pic:spPr>
                </pic:pic>
              </a:graphicData>
            </a:graphic>
          </wp:inline>
        </w:drawing>
      </w:r>
    </w:p>
    <w:p>
      <w:pPr>
        <w:spacing w:after="120"/>
        <w:jc w:val="center"/>
      </w:pPr>
      <w:r>
        <w:rPr>
          <w:rFonts w:ascii="Arial" w:hAnsi="Arial"/>
          <w:b w:val="0"/>
          <w:i/>
          <w:color w:val="6B7280"/>
          <w:sz w:val="16"/>
        </w:rPr>
        <w:t>Figure 58  Financial statements and balances (part 9 of 22)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fin.CreditAssessmentGuarantor</w:t>
            </w:r>
          </w:p>
        </w:tc>
        <w:tc>
          <w:tcPr>
            <w:tcW w:type="dxa" w:w="6690"/>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2948"/>
          </w:tcPr>
          <w:p>
            <w:pPr>
              <w:spacing w:after="0" w:before="0"/>
            </w:pPr>
            <w:r/>
            <w:r>
              <w:rPr>
                <w:rFonts w:ascii="Arial" w:hAnsi="Arial"/>
                <w:b w:val="0"/>
                <w:sz w:val="15"/>
              </w:rPr>
              <w:t>CreditAssessmentGuarantorId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10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55080" cy="6650181"/>
            <wp:docPr id="59" name="Picture 59"/>
            <wp:cNvGraphicFramePr>
              <a:graphicFrameLocks noChangeAspect="1"/>
            </wp:cNvGraphicFramePr>
            <a:graphic>
              <a:graphicData uri="http://schemas.openxmlformats.org/drawingml/2006/picture">
                <pic:pic>
                  <pic:nvPicPr>
                    <pic:cNvPr id="0" name="m5_financials_10.png"/>
                    <pic:cNvPicPr/>
                  </pic:nvPicPr>
                  <pic:blipFill>
                    <a:blip r:embed="rId69"/>
                    <a:stretch>
                      <a:fillRect/>
                    </a:stretch>
                  </pic:blipFill>
                  <pic:spPr>
                    <a:xfrm>
                      <a:off x="0" y="0"/>
                      <a:ext cx="6355080" cy="6650181"/>
                    </a:xfrm>
                    <a:prstGeom prst="rect"/>
                  </pic:spPr>
                </pic:pic>
              </a:graphicData>
            </a:graphic>
          </wp:inline>
        </w:drawing>
      </w:r>
    </w:p>
    <w:p>
      <w:pPr>
        <w:spacing w:after="120"/>
        <w:jc w:val="center"/>
      </w:pPr>
      <w:r>
        <w:rPr>
          <w:rFonts w:ascii="Arial" w:hAnsi="Arial"/>
          <w:b w:val="0"/>
          <w:i/>
          <w:color w:val="6B7280"/>
          <w:sz w:val="16"/>
        </w:rPr>
        <w:t>Figure 59  Financial statements and balances (part 10 of 22)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fin.CreditAssessmentInput</w:t>
            </w:r>
          </w:p>
        </w:tc>
        <w:tc>
          <w:tcPr>
            <w:tcW w:type="dxa" w:w="6690"/>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2948"/>
          </w:tcPr>
          <w:p>
            <w:pPr>
              <w:spacing w:after="0" w:before="0"/>
            </w:pPr>
            <w:r/>
            <w:r>
              <w:rPr>
                <w:rFonts w:ascii="Arial" w:hAnsi="Arial"/>
                <w:b w:val="0"/>
                <w:sz w:val="15"/>
              </w:rPr>
              <w:t>CreditAssessmentInputId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SubfactorId</w:t>
            </w:r>
          </w:p>
        </w:tc>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ScorecardSubfactorId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ParentAssessmentId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11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79540" cy="4663274"/>
            <wp:docPr id="60" name="Picture 60"/>
            <wp:cNvGraphicFramePr>
              <a:graphicFrameLocks noChangeAspect="1"/>
            </wp:cNvGraphicFramePr>
            <a:graphic>
              <a:graphicData uri="http://schemas.openxmlformats.org/drawingml/2006/picture">
                <pic:pic>
                  <pic:nvPicPr>
                    <pic:cNvPr id="0" name="m5_financials_11.png"/>
                    <pic:cNvPicPr/>
                  </pic:nvPicPr>
                  <pic:blipFill>
                    <a:blip r:embed="rId70"/>
                    <a:stretch>
                      <a:fillRect/>
                    </a:stretch>
                  </pic:blipFill>
                  <pic:spPr>
                    <a:xfrm>
                      <a:off x="0" y="0"/>
                      <a:ext cx="6479540" cy="4663274"/>
                    </a:xfrm>
                    <a:prstGeom prst="rect"/>
                  </pic:spPr>
                </pic:pic>
              </a:graphicData>
            </a:graphic>
          </wp:inline>
        </w:drawing>
      </w:r>
    </w:p>
    <w:p>
      <w:pPr>
        <w:spacing w:after="120"/>
        <w:jc w:val="center"/>
      </w:pPr>
      <w:r>
        <w:rPr>
          <w:rFonts w:ascii="Arial" w:hAnsi="Arial"/>
          <w:b w:val="0"/>
          <w:i/>
          <w:color w:val="6B7280"/>
          <w:sz w:val="16"/>
        </w:rPr>
        <w:t>Figure 60  Financial statements and balances (part 11 of 22)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fin.CreditAssessmentPlan</w:t>
            </w:r>
          </w:p>
        </w:tc>
        <w:tc>
          <w:tcPr>
            <w:tcW w:type="dxa" w:w="6690"/>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2948"/>
          </w:tcPr>
          <w:p>
            <w:pPr>
              <w:spacing w:after="0" w:before="0"/>
            </w:pPr>
            <w:r/>
            <w:r>
              <w:rPr>
                <w:rFonts w:ascii="Arial" w:hAnsi="Arial"/>
                <w:b w:val="0"/>
                <w:sz w:val="15"/>
              </w:rPr>
              <w:t>CreditAssessmentPlanId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fin.CreditAssessmentPlanStep</w:t>
            </w:r>
          </w:p>
        </w:tc>
        <w:tc>
          <w:tcPr>
            <w:tcW w:type="dxa" w:w="6690"/>
            <w:shd w:val="clear" w:color="auto" w:fill="E8EEF6"/>
          </w:tcPr>
          <w:p>
            <w:pPr>
              <w:spacing w:after="0" w:before="0"/>
            </w:pPr>
            <w:r/>
            <w:r>
              <w:rPr>
                <w:rFonts w:ascii="Arial" w:hAnsi="Arial"/>
                <w:b w:val="0"/>
                <w:sz w:val="15"/>
              </w:rPr>
              <w:t>A step of a strengthening plan: the remedy applied, the amount it moved and the grade after it</w:t>
            </w:r>
          </w:p>
        </w:tc>
        <w:tc>
          <w:tcPr>
            <w:tcW w:type="dxa" w:w="2948"/>
            <w:shd w:val="clear" w:color="auto" w:fill="E8EEF6"/>
          </w:tcPr>
          <w:p>
            <w:pPr>
              <w:spacing w:after="0" w:before="0"/>
            </w:pPr>
            <w:r/>
            <w:r>
              <w:rPr>
                <w:rFonts w:ascii="Arial" w:hAnsi="Arial"/>
                <w:b w:val="0"/>
                <w:sz w:val="15"/>
              </w:rPr>
              <w:t>CreditAssessmentPlanStepId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FinalGradeId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12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6680" cy="8073969"/>
            <wp:docPr id="61" name="Picture 61"/>
            <wp:cNvGraphicFramePr>
              <a:graphicFrameLocks noChangeAspect="1"/>
            </wp:cNvGraphicFramePr>
            <a:graphic>
              <a:graphicData uri="http://schemas.openxmlformats.org/drawingml/2006/picture">
                <pic:pic>
                  <pic:nvPicPr>
                    <pic:cNvPr id="0" name="m5_financials_12.png"/>
                    <pic:cNvPicPr/>
                  </pic:nvPicPr>
                  <pic:blipFill>
                    <a:blip r:embed="rId71"/>
                    <a:stretch>
                      <a:fillRect/>
                    </a:stretch>
                  </pic:blipFill>
                  <pic:spPr>
                    <a:xfrm>
                      <a:off x="0" y="0"/>
                      <a:ext cx="6456680" cy="8073969"/>
                    </a:xfrm>
                    <a:prstGeom prst="rect"/>
                  </pic:spPr>
                </pic:pic>
              </a:graphicData>
            </a:graphic>
          </wp:inline>
        </w:drawing>
      </w:r>
    </w:p>
    <w:p>
      <w:pPr>
        <w:spacing w:after="120"/>
        <w:jc w:val="center"/>
      </w:pPr>
      <w:r>
        <w:rPr>
          <w:rFonts w:ascii="Arial" w:hAnsi="Arial"/>
          <w:b w:val="0"/>
          <w:i/>
          <w:color w:val="6B7280"/>
          <w:sz w:val="16"/>
        </w:rPr>
        <w:t>Figure 61  Financial statements and balances (part 12 of 22)  ·  8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fin.CreditAssessmentReclass</w:t>
            </w:r>
          </w:p>
        </w:tc>
        <w:tc>
          <w:tcPr>
            <w:tcW w:type="dxa" w:w="6690"/>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2948"/>
          </w:tcPr>
          <w:p>
            <w:pPr>
              <w:spacing w:after="0" w:before="0"/>
            </w:pPr>
            <w:r/>
            <w:r>
              <w:rPr>
                <w:rFonts w:ascii="Arial" w:hAnsi="Arial"/>
                <w:b w:val="0"/>
                <w:sz w:val="15"/>
              </w:rPr>
              <w:t>CreditAssessmentReclassId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fin.CreditAssessmentRemedy</w:t>
            </w:r>
          </w:p>
        </w:tc>
        <w:tc>
          <w:tcPr>
            <w:tcW w:type="dxa" w:w="6690"/>
            <w:shd w:val="clear" w:color="auto" w:fill="E8EEF6"/>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2948"/>
            <w:shd w:val="clear" w:color="auto" w:fill="E8EEF6"/>
          </w:tcPr>
          <w:p>
            <w:pPr>
              <w:spacing w:after="0" w:before="0"/>
            </w:pPr>
            <w:r/>
            <w:r>
              <w:rPr>
                <w:rFonts w:ascii="Arial" w:hAnsi="Arial"/>
                <w:b w:val="0"/>
                <w:sz w:val="15"/>
              </w:rPr>
              <w:t>CreditAssessmentRemedyId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fin.CreditAssessmentScenario</w:t>
            </w:r>
          </w:p>
        </w:tc>
        <w:tc>
          <w:tcPr>
            <w:tcW w:type="dxa" w:w="6690"/>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2948"/>
          </w:tcPr>
          <w:p>
            <w:pPr>
              <w:spacing w:after="0" w:before="0"/>
            </w:pPr>
            <w:r/>
            <w:r>
              <w:rPr>
                <w:rFonts w:ascii="Arial" w:hAnsi="Arial"/>
                <w:b w:val="0"/>
                <w:sz w:val="15"/>
              </w:rPr>
              <w:t>CreditAssessmentScenarioId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fin.CreditAssessmentTrigger</w:t>
            </w:r>
          </w:p>
        </w:tc>
        <w:tc>
          <w:tcPr>
            <w:tcW w:type="dxa" w:w="6690"/>
            <w:shd w:val="clear" w:color="auto" w:fill="E8EEF6"/>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2948"/>
            <w:shd w:val="clear" w:color="auto" w:fill="E8EEF6"/>
          </w:tcPr>
          <w:p>
            <w:pPr>
              <w:spacing w:after="0" w:before="0"/>
            </w:pPr>
            <w:r/>
            <w:r>
              <w:rPr>
                <w:rFonts w:ascii="Arial" w:hAnsi="Arial"/>
                <w:b w:val="0"/>
                <w:sz w:val="15"/>
              </w:rPr>
              <w:t>CreditAssessmentTriggerId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fin.CreditMetric</w:t>
            </w:r>
          </w:p>
        </w:tc>
        <w:tc>
          <w:tcPr>
            <w:tcW w:type="dxa" w:w="6690"/>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2948"/>
          </w:tcPr>
          <w:p>
            <w:pPr>
              <w:spacing w:after="0" w:before="0"/>
            </w:pPr>
            <w:r/>
            <w:r>
              <w:rPr>
                <w:rFonts w:ascii="Arial" w:hAnsi="Arial"/>
                <w:b w:val="0"/>
                <w:sz w:val="15"/>
              </w:rPr>
              <w:t>CreditMetricId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w:t>
            </w:r>
          </w:p>
        </w:tc>
        <w:tc>
          <w:tcPr>
            <w:tcW w:type="dxa" w:w="6690"/>
            <w:shd w:val="clear" w:color="auto" w:fill="E8EEF6"/>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2948"/>
            <w:shd w:val="clear" w:color="auto" w:fill="E8EEF6"/>
          </w:tcPr>
          <w:p>
            <w:pPr>
              <w:spacing w:after="0" w:before="0"/>
            </w:pPr>
            <w:r/>
            <w:r>
              <w:rPr>
                <w:rFonts w:ascii="Arial" w:hAnsi="Arial"/>
                <w:b w:val="0"/>
                <w:sz w:val="15"/>
              </w:rPr>
              <w:t>CreditRemedyId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fin.CreditRemedyStep</w:t>
            </w:r>
          </w:p>
        </w:tc>
        <w:tc>
          <w:tcPr>
            <w:tcW w:type="dxa" w:w="6690"/>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2948"/>
          </w:tcPr>
          <w:p>
            <w:pPr>
              <w:spacing w:after="0" w:before="0"/>
            </w:pPr>
            <w:r/>
            <w:r>
              <w:rPr>
                <w:rFonts w:ascii="Arial" w:hAnsi="Arial"/>
                <w:b w:val="0"/>
                <w:sz w:val="15"/>
              </w:rPr>
              <w:t>CreditRemedyStepId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fin.CreditRemedyTrigger</w:t>
            </w:r>
          </w:p>
        </w:tc>
        <w:tc>
          <w:tcPr>
            <w:tcW w:type="dxa" w:w="6690"/>
            <w:shd w:val="clear" w:color="auto" w:fill="E8EEF6"/>
          </w:tcPr>
          <w:p>
            <w:pPr>
              <w:spacing w:after="0" w:before="0"/>
            </w:pPr>
            <w:r/>
            <w:r>
              <w:rPr>
                <w:rFonts w:ascii="Arial" w:hAnsi="Arial"/>
                <w:b w:val="0"/>
                <w:sz w:val="15"/>
              </w:rPr>
              <w:t>A finding a remedy answers: a metric or an adjustment code</w:t>
            </w:r>
          </w:p>
        </w:tc>
        <w:tc>
          <w:tcPr>
            <w:tcW w:type="dxa" w:w="2948"/>
            <w:shd w:val="clear" w:color="auto" w:fill="E8EEF6"/>
          </w:tcPr>
          <w:p>
            <w:pPr>
              <w:spacing w:after="0" w:before="0"/>
            </w:pPr>
            <w:r/>
            <w:r>
              <w:rPr>
                <w:rFonts w:ascii="Arial" w:hAnsi="Arial"/>
                <w:b w:val="0"/>
                <w:sz w:val="15"/>
              </w:rPr>
              <w:t>CreditRemedyTriggerId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fin.CreditAssessmentReclass</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ProFormaGradeId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MacroScenarioId</w:t>
            </w:r>
          </w:p>
        </w:tc>
        <w:tc>
          <w:tcPr>
            <w:tcW w:type="dxa" w:w="2721"/>
            <w:shd w:val="clear" w:color="auto" w:fill="E8EEF6"/>
          </w:tcPr>
          <w:p>
            <w:pPr>
              <w:spacing w:after="0" w:before="0"/>
            </w:pPr>
            <w:r/>
            <w:r>
              <w:rPr>
                <w:rFonts w:ascii="Arial" w:hAnsi="Arial"/>
                <w:b w:val="0"/>
                <w:sz w:val="15"/>
              </w:rPr>
              <w:t>fin.MacroScenario</w:t>
            </w:r>
          </w:p>
        </w:tc>
        <w:tc>
          <w:tcPr>
            <w:tcW w:type="dxa" w:w="2948"/>
            <w:shd w:val="clear" w:color="auto" w:fill="E8EEF6"/>
          </w:tcPr>
          <w:p>
            <w:pPr>
              <w:spacing w:after="0" w:before="0"/>
            </w:pPr>
            <w:r/>
            <w:r>
              <w:rPr>
                <w:rFonts w:ascii="Arial" w:hAnsi="Arial"/>
                <w:b w:val="0"/>
                <w:sz w:val="15"/>
              </w:rPr>
              <w:t>MacroScenarioId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fin.CreditAssessmentTrigger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fin.CreditAssessmentTrigger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fin.CreditRemedyStep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fin.CreditRemedyTrigger</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13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99810" cy="6818657"/>
            <wp:docPr id="62" name="Picture 62"/>
            <wp:cNvGraphicFramePr>
              <a:graphicFrameLocks noChangeAspect="1"/>
            </wp:cNvGraphicFramePr>
            <a:graphic>
              <a:graphicData uri="http://schemas.openxmlformats.org/drawingml/2006/picture">
                <pic:pic>
                  <pic:nvPicPr>
                    <pic:cNvPr id="0" name="m5_financials_13.png"/>
                    <pic:cNvPicPr/>
                  </pic:nvPicPr>
                  <pic:blipFill>
                    <a:blip r:embed="rId72"/>
                    <a:stretch>
                      <a:fillRect/>
                    </a:stretch>
                  </pic:blipFill>
                  <pic:spPr>
                    <a:xfrm>
                      <a:off x="0" y="0"/>
                      <a:ext cx="6099810" cy="6818657"/>
                    </a:xfrm>
                    <a:prstGeom prst="rect"/>
                  </pic:spPr>
                </pic:pic>
              </a:graphicData>
            </a:graphic>
          </wp:inline>
        </w:drawing>
      </w:r>
    </w:p>
    <w:p>
      <w:pPr>
        <w:spacing w:after="120"/>
        <w:jc w:val="center"/>
      </w:pPr>
      <w:r>
        <w:rPr>
          <w:rFonts w:ascii="Arial" w:hAnsi="Arial"/>
          <w:b w:val="0"/>
          <w:i/>
          <w:color w:val="6B7280"/>
          <w:sz w:val="16"/>
        </w:rPr>
        <w:t>Figure 62  Financial statements and balances (part 13 of 22)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fin.CreditText</w:t>
            </w:r>
          </w:p>
        </w:tc>
        <w:tc>
          <w:tcPr>
            <w:tcW w:type="dxa" w:w="6690"/>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2948"/>
          </w:tcPr>
          <w:p>
            <w:pPr>
              <w:spacing w:after="0" w:before="0"/>
            </w:pPr>
            <w:r/>
            <w:r>
              <w:rPr>
                <w:rFonts w:ascii="Arial" w:hAnsi="Arial"/>
                <w:b w:val="0"/>
                <w:sz w:val="15"/>
              </w:rPr>
              <w:t>CreditTextId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fin.EarlyWarningAlert</w:t>
            </w:r>
          </w:p>
        </w:tc>
        <w:tc>
          <w:tcPr>
            <w:tcW w:type="dxa" w:w="6690"/>
            <w:shd w:val="clear" w:color="auto" w:fill="E8EEF6"/>
          </w:tcPr>
          <w:p>
            <w:pPr>
              <w:spacing w:after="0" w:before="0"/>
            </w:pPr>
            <w:r/>
            <w:r>
              <w:rPr>
                <w:rFonts w:ascii="Arial" w:hAnsi="Arial"/>
                <w:b w:val="0"/>
                <w:sz w:val="15"/>
              </w:rPr>
              <w:t>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2948"/>
            <w:shd w:val="clear" w:color="auto" w:fill="E8EEF6"/>
          </w:tcPr>
          <w:p>
            <w:pPr>
              <w:spacing w:after="0" w:before="0"/>
            </w:pPr>
            <w:r/>
            <w:r>
              <w:rPr>
                <w:rFonts w:ascii="Arial" w:hAnsi="Arial"/>
                <w:b w:val="0"/>
                <w:sz w:val="15"/>
              </w:rPr>
              <w:t>EarlyWarningAlertId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fin.IndustryProfile</w:t>
            </w:r>
          </w:p>
        </w:tc>
        <w:tc>
          <w:tcPr>
            <w:tcW w:type="dxa" w:w="6690"/>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948"/>
            <w:shd w:val="clear" w:color="auto" w:fill="E8EEF6"/>
          </w:tcPr>
          <w:p>
            <w:pPr>
              <w:spacing w:after="0" w:before="0"/>
            </w:pPr>
            <w:r/>
            <w:r>
              <w:rPr>
                <w:rFonts w:ascii="Arial" w:hAnsi="Arial"/>
                <w:b w:val="0"/>
                <w:sz w:val="15"/>
              </w:rPr>
              <w:t>IndustryProfileId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fin.EarlyWarningAlert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fin.EarlyWarningAlert</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fin.IndustryProfile</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14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06160" cy="6072906"/>
            <wp:docPr id="63" name="Picture 63"/>
            <wp:cNvGraphicFramePr>
              <a:graphicFrameLocks noChangeAspect="1"/>
            </wp:cNvGraphicFramePr>
            <a:graphic>
              <a:graphicData uri="http://schemas.openxmlformats.org/drawingml/2006/picture">
                <pic:pic>
                  <pic:nvPicPr>
                    <pic:cNvPr id="0" name="m5_financials_14.png"/>
                    <pic:cNvPicPr/>
                  </pic:nvPicPr>
                  <pic:blipFill>
                    <a:blip r:embed="rId73"/>
                    <a:stretch>
                      <a:fillRect/>
                    </a:stretch>
                  </pic:blipFill>
                  <pic:spPr>
                    <a:xfrm>
                      <a:off x="0" y="0"/>
                      <a:ext cx="6106160" cy="6072906"/>
                    </a:xfrm>
                    <a:prstGeom prst="rect"/>
                  </pic:spPr>
                </pic:pic>
              </a:graphicData>
            </a:graphic>
          </wp:inline>
        </w:drawing>
      </w:r>
    </w:p>
    <w:p>
      <w:pPr>
        <w:spacing w:after="120"/>
        <w:jc w:val="center"/>
      </w:pPr>
      <w:r>
        <w:rPr>
          <w:rFonts w:ascii="Arial" w:hAnsi="Arial"/>
          <w:b w:val="0"/>
          <w:i/>
          <w:color w:val="6B7280"/>
          <w:sz w:val="16"/>
        </w:rPr>
        <w:t>Figure 63  Financial statements and balances (part 14 of 22)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fin.IndustrySensitivity</w:t>
            </w:r>
          </w:p>
        </w:tc>
        <w:tc>
          <w:tcPr>
            <w:tcW w:type="dxa" w:w="6690"/>
          </w:tcPr>
          <w:p>
            <w:pPr>
              <w:spacing w:after="0" w:before="0"/>
            </w:pPr>
            <w:r/>
            <w:r>
              <w:rPr>
                <w:rFonts w:ascii="Arial" w:hAnsi="Arial"/>
                <w:b w:val="0"/>
                <w:sz w:val="15"/>
              </w:rPr>
              <w:t>The sensitivity 0 (none) to 5 (extreme) of an activity to a driver of stress (docs/35 section 14)</w:t>
            </w:r>
          </w:p>
        </w:tc>
        <w:tc>
          <w:tcPr>
            <w:tcW w:type="dxa" w:w="2948"/>
          </w:tcPr>
          <w:p>
            <w:pPr>
              <w:spacing w:after="0" w:before="0"/>
            </w:pPr>
            <w:r/>
            <w:r>
              <w:rPr>
                <w:rFonts w:ascii="Arial" w:hAnsi="Arial"/>
                <w:b w:val="0"/>
                <w:sz w:val="15"/>
              </w:rPr>
              <w:t>IndustrySensitivityId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fin.LenderRating</w:t>
            </w:r>
          </w:p>
        </w:tc>
        <w:tc>
          <w:tcPr>
            <w:tcW w:type="dxa" w:w="6690"/>
            <w:shd w:val="clear" w:color="auto" w:fill="E8EEF6"/>
          </w:tcPr>
          <w:p>
            <w:pPr>
              <w:spacing w:after="0" w:before="0"/>
            </w:pPr>
            <w:r/>
            <w:r>
              <w:rPr>
                <w:rFonts w:ascii="Arial" w:hAnsi="Arial"/>
                <w:b w:val="0"/>
                <w:sz w:val="15"/>
              </w:rPr>
              <w:t>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948"/>
            <w:shd w:val="clear" w:color="auto" w:fill="E8EEF6"/>
          </w:tcPr>
          <w:p>
            <w:pPr>
              <w:spacing w:after="0" w:before="0"/>
            </w:pPr>
            <w:r/>
            <w:r>
              <w:rPr>
                <w:rFonts w:ascii="Arial" w:hAnsi="Arial"/>
                <w:b w:val="0"/>
                <w:sz w:val="15"/>
              </w:rPr>
              <w:t>LenderRatingId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fin.LineCatalogItemAlias</w:t>
            </w:r>
          </w:p>
        </w:tc>
        <w:tc>
          <w:tcPr>
            <w:tcW w:type="dxa" w:w="6690"/>
            <w:shd w:val="clear" w:color="auto" w:fill="E8EEF6"/>
          </w:tcPr>
          <w:p>
            <w:pPr>
              <w:spacing w:after="0" w:before="0"/>
            </w:pPr>
            <w:r/>
            <w:r>
              <w:rPr>
                <w:rFonts w:ascii="Arial" w:hAnsi="Arial"/>
                <w:b w:val="0"/>
                <w:sz w:val="15"/>
              </w:rPr>
              <w:t>Alternative names (aliases) for a line item, used for paste and matching</w:t>
            </w:r>
          </w:p>
        </w:tc>
        <w:tc>
          <w:tcPr>
            <w:tcW w:type="dxa" w:w="2948"/>
            <w:shd w:val="clear" w:color="auto" w:fill="E8EEF6"/>
          </w:tcPr>
          <w:p>
            <w:pPr>
              <w:spacing w:after="0" w:before="0"/>
            </w:pPr>
            <w:r/>
            <w:r>
              <w:rPr>
                <w:rFonts w:ascii="Arial" w:hAnsi="Arial"/>
                <w:b w:val="0"/>
                <w:sz w:val="15"/>
              </w:rPr>
              <w:t>LineCatalogItemAliasId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fin.IndustrySensitivity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fin.IndustrySensitivity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LenderInstitutionId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15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62040" cy="5065089"/>
            <wp:docPr id="64" name="Picture 64"/>
            <wp:cNvGraphicFramePr>
              <a:graphicFrameLocks noChangeAspect="1"/>
            </wp:cNvGraphicFramePr>
            <a:graphic>
              <a:graphicData uri="http://schemas.openxmlformats.org/drawingml/2006/picture">
                <pic:pic>
                  <pic:nvPicPr>
                    <pic:cNvPr id="0" name="m5_financials_15.png"/>
                    <pic:cNvPicPr/>
                  </pic:nvPicPr>
                  <pic:blipFill>
                    <a:blip r:embed="rId74"/>
                    <a:stretch>
                      <a:fillRect/>
                    </a:stretch>
                  </pic:blipFill>
                  <pic:spPr>
                    <a:xfrm>
                      <a:off x="0" y="0"/>
                      <a:ext cx="6162040" cy="5065089"/>
                    </a:xfrm>
                    <a:prstGeom prst="rect"/>
                  </pic:spPr>
                </pic:pic>
              </a:graphicData>
            </a:graphic>
          </wp:inline>
        </w:drawing>
      </w:r>
    </w:p>
    <w:p>
      <w:pPr>
        <w:spacing w:after="120"/>
        <w:jc w:val="center"/>
      </w:pPr>
      <w:r>
        <w:rPr>
          <w:rFonts w:ascii="Arial" w:hAnsi="Arial"/>
          <w:b w:val="0"/>
          <w:i/>
          <w:color w:val="6B7280"/>
          <w:sz w:val="16"/>
        </w:rPr>
        <w:t>Figure 64  Financial statements and balances (part 15 of 22)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fin.MacroScenario</w:t>
            </w:r>
          </w:p>
        </w:tc>
        <w:tc>
          <w:tcPr>
            <w:tcW w:type="dxa" w:w="6690"/>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948"/>
          </w:tcPr>
          <w:p>
            <w:pPr>
              <w:spacing w:after="0" w:before="0"/>
            </w:pPr>
            <w:r/>
            <w:r>
              <w:rPr>
                <w:rFonts w:ascii="Arial" w:hAnsi="Arial"/>
                <w:b w:val="0"/>
                <w:sz w:val="15"/>
              </w:rPr>
              <w:t>MacroScenarioId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fin.MacroScenarioCountry</w:t>
            </w:r>
          </w:p>
        </w:tc>
        <w:tc>
          <w:tcPr>
            <w:tcW w:type="dxa" w:w="6690"/>
            <w:shd w:val="clear" w:color="auto" w:fill="E8EEF6"/>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2948"/>
            <w:shd w:val="clear" w:color="auto" w:fill="E8EEF6"/>
          </w:tcPr>
          <w:p>
            <w:pPr>
              <w:spacing w:after="0" w:before="0"/>
            </w:pPr>
            <w:r/>
            <w:r>
              <w:rPr>
                <w:rFonts w:ascii="Arial" w:hAnsi="Arial"/>
                <w:b w:val="0"/>
                <w:sz w:val="15"/>
              </w:rPr>
              <w:t>MacroScenarioCountryId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fin.MacroScenarioIntensity</w:t>
            </w:r>
          </w:p>
        </w:tc>
        <w:tc>
          <w:tcPr>
            <w:tcW w:type="dxa" w:w="6690"/>
          </w:tcPr>
          <w:p>
            <w:pPr>
              <w:spacing w:after="0" w:before="0"/>
            </w:pPr>
            <w:r/>
            <w:r>
              <w:rPr>
                <w:rFonts w:ascii="Arial" w:hAnsi="Arial"/>
                <w:b w:val="0"/>
                <w:sz w:val="15"/>
              </w:rPr>
              <w:t>The intensity 0 to 1 of a driver in a macro scenario (docs/35 section 14)</w:t>
            </w:r>
          </w:p>
        </w:tc>
        <w:tc>
          <w:tcPr>
            <w:tcW w:type="dxa" w:w="2948"/>
          </w:tcPr>
          <w:p>
            <w:pPr>
              <w:spacing w:after="0" w:before="0"/>
            </w:pPr>
            <w:r/>
            <w:r>
              <w:rPr>
                <w:rFonts w:ascii="Arial" w:hAnsi="Arial"/>
                <w:b w:val="0"/>
                <w:sz w:val="15"/>
              </w:rPr>
              <w:t>MacroScenarioIntensityId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fin.MacroScenarioCountry</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fin.MacroScenarioCountry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fin.MacroScenarioIntensity</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fin.MacroScenarioIntensity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BaseTemplateId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16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964420" cy="6992138"/>
            <wp:docPr id="65" name="Picture 65"/>
            <wp:cNvGraphicFramePr>
              <a:graphicFrameLocks noChangeAspect="1"/>
            </wp:cNvGraphicFramePr>
            <a:graphic>
              <a:graphicData uri="http://schemas.openxmlformats.org/drawingml/2006/picture">
                <pic:pic>
                  <pic:nvPicPr>
                    <pic:cNvPr id="0" name="m5_financials_16.png"/>
                    <pic:cNvPicPr/>
                  </pic:nvPicPr>
                  <pic:blipFill>
                    <a:blip r:embed="rId75"/>
                    <a:stretch>
                      <a:fillRect/>
                    </a:stretch>
                  </pic:blipFill>
                  <pic:spPr>
                    <a:xfrm>
                      <a:off x="0" y="0"/>
                      <a:ext cx="9964420" cy="6992138"/>
                    </a:xfrm>
                    <a:prstGeom prst="rect"/>
                  </pic:spPr>
                </pic:pic>
              </a:graphicData>
            </a:graphic>
          </wp:inline>
        </w:drawing>
      </w:r>
    </w:p>
    <w:p>
      <w:pPr>
        <w:spacing w:after="120"/>
        <w:jc w:val="center"/>
      </w:pPr>
      <w:r>
        <w:rPr>
          <w:rFonts w:ascii="Arial" w:hAnsi="Arial"/>
          <w:b w:val="0"/>
          <w:i/>
          <w:color w:val="6B7280"/>
          <w:sz w:val="16"/>
        </w:rPr>
        <w:t>Figure 65  Financial statements and balances (part 16 of 22)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fin.PresentationVersion</w:t>
            </w:r>
          </w:p>
        </w:tc>
        <w:tc>
          <w:tcPr>
            <w:tcW w:type="dxa" w:w="6690"/>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948"/>
          </w:tcPr>
          <w:p>
            <w:pPr>
              <w:spacing w:after="0" w:before="0"/>
            </w:pPr>
            <w:r/>
            <w:r>
              <w:rPr>
                <w:rFonts w:ascii="Arial" w:hAnsi="Arial"/>
                <w:b w:val="0"/>
                <w:sz w:val="15"/>
              </w:rPr>
              <w:t>PresentationVersionId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fin.PresentationVersionStep</w:t>
            </w:r>
          </w:p>
        </w:tc>
        <w:tc>
          <w:tcPr>
            <w:tcW w:type="dxa" w:w="6690"/>
            <w:shd w:val="clear" w:color="auto" w:fill="E8EEF6"/>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2948"/>
            <w:shd w:val="clear" w:color="auto" w:fill="E8EEF6"/>
          </w:tcPr>
          <w:p>
            <w:pPr>
              <w:spacing w:after="0" w:before="0"/>
            </w:pPr>
            <w:r/>
            <w:r>
              <w:rPr>
                <w:rFonts w:ascii="Arial" w:hAnsi="Arial"/>
                <w:b w:val="0"/>
                <w:sz w:val="15"/>
              </w:rPr>
              <w:t>PresentationVersionStepId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fin.ProductCategory</w:t>
            </w:r>
          </w:p>
        </w:tc>
        <w:tc>
          <w:tcPr>
            <w:tcW w:type="dxa" w:w="6690"/>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fin.RatingGrade</w:t>
            </w:r>
          </w:p>
        </w:tc>
        <w:tc>
          <w:tcPr>
            <w:tcW w:type="dxa" w:w="6690"/>
            <w:shd w:val="clear" w:color="auto" w:fill="E8EEF6"/>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2948"/>
            <w:shd w:val="clear" w:color="auto" w:fill="E8EEF6"/>
          </w:tcPr>
          <w:p>
            <w:pPr>
              <w:spacing w:after="0" w:before="0"/>
            </w:pPr>
            <w:r/>
            <w:r>
              <w:rPr>
                <w:rFonts w:ascii="Arial" w:hAnsi="Arial"/>
                <w:b w:val="0"/>
                <w:sz w:val="15"/>
              </w:rPr>
              <w:t>RatingGradeId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SourceStatementId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SourceAssessmentId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ResultStatementId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TrialAssessmentId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ChosenBy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VersionId</w:t>
            </w:r>
          </w:p>
        </w:tc>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PresentationVersionId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17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89930" cy="3129804"/>
            <wp:docPr id="66" name="Picture 66"/>
            <wp:cNvGraphicFramePr>
              <a:graphicFrameLocks noChangeAspect="1"/>
            </wp:cNvGraphicFramePr>
            <a:graphic>
              <a:graphicData uri="http://schemas.openxmlformats.org/drawingml/2006/picture">
                <pic:pic>
                  <pic:nvPicPr>
                    <pic:cNvPr id="0" name="m5_financials_17.png"/>
                    <pic:cNvPicPr/>
                  </pic:nvPicPr>
                  <pic:blipFill>
                    <a:blip r:embed="rId76"/>
                    <a:stretch>
                      <a:fillRect/>
                    </a:stretch>
                  </pic:blipFill>
                  <pic:spPr>
                    <a:xfrm>
                      <a:off x="0" y="0"/>
                      <a:ext cx="5789930" cy="3129804"/>
                    </a:xfrm>
                    <a:prstGeom prst="rect"/>
                  </pic:spPr>
                </pic:pic>
              </a:graphicData>
            </a:graphic>
          </wp:inline>
        </w:drawing>
      </w:r>
    </w:p>
    <w:p>
      <w:pPr>
        <w:spacing w:after="120"/>
        <w:jc w:val="center"/>
      </w:pPr>
      <w:r>
        <w:rPr>
          <w:rFonts w:ascii="Arial" w:hAnsi="Arial"/>
          <w:b w:val="0"/>
          <w:i/>
          <w:color w:val="6B7280"/>
          <w:sz w:val="16"/>
        </w:rPr>
        <w:t>Figure 66  Financial statements and balances (part 17 of 22)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fin.ReceivableLossRate</w:t>
            </w:r>
          </w:p>
        </w:tc>
        <w:tc>
          <w:tcPr>
            <w:tcW w:type="dxa" w:w="6690"/>
          </w:tcPr>
          <w:p>
            <w:pPr>
              <w:spacing w:after="0" w:before="0"/>
            </w:pPr>
            <w:r/>
            <w:r>
              <w:rPr>
                <w:rFonts w:ascii="Arial" w:hAnsi="Arial"/>
                <w:b w:val="0"/>
                <w:sz w:val="15"/>
              </w:rPr>
              <w:t>The loss rate of a receivables ageing bucket for the provision matrix the company compares its recorded allowance with (IFRS 9 simplified approach; owner decision 35, ADR 0030); the defaults of the pack FIN.PROVISION are for the treasury to approve or change</w:t>
            </w:r>
          </w:p>
        </w:tc>
        <w:tc>
          <w:tcPr>
            <w:tcW w:type="dxa" w:w="2948"/>
          </w:tcPr>
          <w:p>
            <w:pPr>
              <w:spacing w:after="0" w:before="0"/>
            </w:pPr>
            <w:r/>
            <w:r>
              <w:rPr>
                <w:rFonts w:ascii="Arial" w:hAnsi="Arial"/>
                <w:b w:val="0"/>
                <w:sz w:val="15"/>
              </w:rPr>
              <w:t>ReceivableLossRateId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fin.ReportingPeriodLock</w:t>
            </w:r>
          </w:p>
        </w:tc>
        <w:tc>
          <w:tcPr>
            <w:tcW w:type="dxa" w:w="6690"/>
            <w:shd w:val="clear" w:color="auto" w:fill="E8EEF6"/>
          </w:tcPr>
          <w:p>
            <w:pPr>
              <w:spacing w:after="0" w:before="0"/>
            </w:pPr>
            <w:r/>
            <w:r>
              <w:rPr>
                <w:rFonts w:ascii="Arial" w:hAnsi="Arial"/>
                <w:b w:val="0"/>
                <w:sz w:val="15"/>
              </w:rPr>
              <w:t>The close of a company's reporting periods: through LockedThrough no actual statement, version, monthly balance or bank flow of the company is added, changed or removed; locked once its figures are approved or confirmed, reopened with a reason by someone other than the one who locked it (optional for each company; docs/38 item 2, ADR 0031)</w:t>
            </w:r>
          </w:p>
        </w:tc>
        <w:tc>
          <w:tcPr>
            <w:tcW w:type="dxa" w:w="2948"/>
            <w:shd w:val="clear" w:color="auto" w:fill="E8EEF6"/>
          </w:tcPr>
          <w:p>
            <w:pPr>
              <w:spacing w:after="0" w:before="0"/>
            </w:pPr>
            <w:r/>
            <w:r>
              <w:rPr>
                <w:rFonts w:ascii="Arial" w:hAnsi="Arial"/>
                <w:b w:val="0"/>
                <w:sz w:val="15"/>
              </w:rPr>
              <w:t>ReportingPeriodLockId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fin.ReceivableLossRate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fin.ReportingPeriodLock</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fin.ReportingPeriodLock</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fin.ReportingPeriodLock</w:t>
            </w:r>
          </w:p>
        </w:tc>
        <w:tc>
          <w:tcPr>
            <w:tcW w:type="dxa" w:w="2948"/>
            <w:shd w:val="clear" w:color="auto" w:fill="E8EEF6"/>
          </w:tcPr>
          <w:p>
            <w:pPr>
              <w:spacing w:after="0" w:before="0"/>
            </w:pPr>
            <w:r/>
            <w:r>
              <w:rPr>
                <w:rFonts w:ascii="Arial" w:hAnsi="Arial"/>
                <w:b w:val="0"/>
                <w:sz w:val="15"/>
              </w:rPr>
              <w:t>ReopenedBy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18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27700" cy="4892237"/>
            <wp:docPr id="67" name="Picture 67"/>
            <wp:cNvGraphicFramePr>
              <a:graphicFrameLocks noChangeAspect="1"/>
            </wp:cNvGraphicFramePr>
            <a:graphic>
              <a:graphicData uri="http://schemas.openxmlformats.org/drawingml/2006/picture">
                <pic:pic>
                  <pic:nvPicPr>
                    <pic:cNvPr id="0" name="m5_financials_18.png"/>
                    <pic:cNvPicPr/>
                  </pic:nvPicPr>
                  <pic:blipFill>
                    <a:blip r:embed="rId77"/>
                    <a:stretch>
                      <a:fillRect/>
                    </a:stretch>
                  </pic:blipFill>
                  <pic:spPr>
                    <a:xfrm>
                      <a:off x="0" y="0"/>
                      <a:ext cx="5727700" cy="4892237"/>
                    </a:xfrm>
                    <a:prstGeom prst="rect"/>
                  </pic:spPr>
                </pic:pic>
              </a:graphicData>
            </a:graphic>
          </wp:inline>
        </w:drawing>
      </w:r>
    </w:p>
    <w:p>
      <w:pPr>
        <w:spacing w:after="120"/>
        <w:jc w:val="center"/>
      </w:pPr>
      <w:r>
        <w:rPr>
          <w:rFonts w:ascii="Arial" w:hAnsi="Arial"/>
          <w:b w:val="0"/>
          <w:i/>
          <w:color w:val="6B7280"/>
          <w:sz w:val="16"/>
        </w:rPr>
        <w:t>Figure 67  Financial statements and balances (part 18 of 22)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fin.RevenueEstimate</w:t>
            </w:r>
          </w:p>
        </w:tc>
        <w:tc>
          <w:tcPr>
            <w:tcW w:type="dxa" w:w="6690"/>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2948"/>
          </w:tcPr>
          <w:p>
            <w:pPr>
              <w:spacing w:after="0" w:before="0"/>
            </w:pPr>
            <w:r/>
            <w:r>
              <w:rPr>
                <w:rFonts w:ascii="Arial" w:hAnsi="Arial"/>
                <w:b w:val="0"/>
                <w:sz w:val="15"/>
              </w:rPr>
              <w:t>RevenueEstimateId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fin.RiskAnchor</w:t>
            </w:r>
          </w:p>
        </w:tc>
        <w:tc>
          <w:tcPr>
            <w:tcW w:type="dxa" w:w="6690"/>
            <w:shd w:val="clear" w:color="auto" w:fill="E8EEF6"/>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2948"/>
            <w:shd w:val="clear" w:color="auto" w:fill="E8EEF6"/>
          </w:tcPr>
          <w:p>
            <w:pPr>
              <w:spacing w:after="0" w:before="0"/>
            </w:pPr>
            <w:r/>
            <w:r>
              <w:rPr>
                <w:rFonts w:ascii="Arial" w:hAnsi="Arial"/>
                <w:b w:val="0"/>
                <w:sz w:val="15"/>
              </w:rPr>
              <w:t>RiskAnchorId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19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076690" cy="4147681"/>
            <wp:docPr id="68" name="Picture 68"/>
            <wp:cNvGraphicFramePr>
              <a:graphicFrameLocks noChangeAspect="1"/>
            </wp:cNvGraphicFramePr>
            <a:graphic>
              <a:graphicData uri="http://schemas.openxmlformats.org/drawingml/2006/picture">
                <pic:pic>
                  <pic:nvPicPr>
                    <pic:cNvPr id="0" name="m5_financials_19.png"/>
                    <pic:cNvPicPr/>
                  </pic:nvPicPr>
                  <pic:blipFill>
                    <a:blip r:embed="rId78"/>
                    <a:stretch>
                      <a:fillRect/>
                    </a:stretch>
                  </pic:blipFill>
                  <pic:spPr>
                    <a:xfrm>
                      <a:off x="0" y="0"/>
                      <a:ext cx="9076690" cy="4147681"/>
                    </a:xfrm>
                    <a:prstGeom prst="rect"/>
                  </pic:spPr>
                </pic:pic>
              </a:graphicData>
            </a:graphic>
          </wp:inline>
        </w:drawing>
      </w:r>
    </w:p>
    <w:p>
      <w:pPr>
        <w:spacing w:after="120"/>
        <w:jc w:val="center"/>
      </w:pPr>
      <w:r>
        <w:rPr>
          <w:rFonts w:ascii="Arial" w:hAnsi="Arial"/>
          <w:b w:val="0"/>
          <w:i/>
          <w:color w:val="6B7280"/>
          <w:sz w:val="16"/>
        </w:rPr>
        <w:t>Figure 68  Financial statements and balances (part 19 of 22)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w:t>
            </w:r>
          </w:p>
        </w:tc>
        <w:tc>
          <w:tcPr>
            <w:tcW w:type="dxa" w:w="6690"/>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2948"/>
          </w:tcPr>
          <w:p>
            <w:pPr>
              <w:spacing w:after="0" w:before="0"/>
            </w:pPr>
            <w:r/>
            <w:r>
              <w:rPr>
                <w:rFonts w:ascii="Arial" w:hAnsi="Arial"/>
                <w:b w:val="0"/>
                <w:sz w:val="15"/>
              </w:rPr>
              <w:t>ScorecardId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fin.ScorecardAdjustment</w:t>
            </w:r>
          </w:p>
        </w:tc>
        <w:tc>
          <w:tcPr>
            <w:tcW w:type="dxa" w:w="6690"/>
            <w:shd w:val="clear" w:color="auto" w:fill="E8EEF6"/>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2948"/>
            <w:shd w:val="clear" w:color="auto" w:fill="E8EEF6"/>
          </w:tcPr>
          <w:p>
            <w:pPr>
              <w:spacing w:after="0" w:before="0"/>
            </w:pPr>
            <w:r/>
            <w:r>
              <w:rPr>
                <w:rFonts w:ascii="Arial" w:hAnsi="Arial"/>
                <w:b w:val="0"/>
                <w:sz w:val="15"/>
              </w:rPr>
              <w:t>ScorecardAdjustmentId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fin.ScorecardItemRule</w:t>
            </w:r>
          </w:p>
        </w:tc>
        <w:tc>
          <w:tcPr>
            <w:tcW w:type="dxa" w:w="6690"/>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2948"/>
          </w:tcPr>
          <w:p>
            <w:pPr>
              <w:spacing w:after="0" w:before="0"/>
            </w:pPr>
            <w:r/>
            <w:r>
              <w:rPr>
                <w:rFonts w:ascii="Arial" w:hAnsi="Arial"/>
                <w:b w:val="0"/>
                <w:sz w:val="15"/>
              </w:rPr>
              <w:t>ScorecardItemRuleId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fin.ScorecardMetric</w:t>
            </w:r>
          </w:p>
        </w:tc>
        <w:tc>
          <w:tcPr>
            <w:tcW w:type="dxa" w:w="6690"/>
            <w:shd w:val="clear" w:color="auto" w:fill="E8EEF6"/>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2948"/>
            <w:shd w:val="clear" w:color="auto" w:fill="E8EEF6"/>
          </w:tcPr>
          <w:p>
            <w:pPr>
              <w:spacing w:after="0" w:before="0"/>
            </w:pPr>
            <w:r/>
            <w:r>
              <w:rPr>
                <w:rFonts w:ascii="Arial" w:hAnsi="Arial"/>
                <w:b w:val="0"/>
                <w:sz w:val="15"/>
              </w:rPr>
              <w:t>ScorecardMetricId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fin.ScorecardAdjustment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fin.ScorecardAdjustment</w:t>
            </w:r>
          </w:p>
        </w:tc>
        <w:tc>
          <w:tcPr>
            <w:tcW w:type="dxa" w:w="2948"/>
          </w:tcPr>
          <w:p>
            <w:pPr>
              <w:spacing w:after="0" w:before="0"/>
            </w:pPr>
            <w:r/>
            <w:r>
              <w:rPr>
                <w:rFonts w:ascii="Arial" w:hAnsi="Arial"/>
                <w:b w:val="0"/>
                <w:sz w:val="15"/>
              </w:rPr>
              <w:t>CapGradeId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fin.ScorecardItemRule</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fin.ScorecardItemRule</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fin.ScorecardMetric</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fin.ScorecardMetric</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20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48680" cy="4763932"/>
            <wp:docPr id="69" name="Picture 69"/>
            <wp:cNvGraphicFramePr>
              <a:graphicFrameLocks noChangeAspect="1"/>
            </wp:cNvGraphicFramePr>
            <a:graphic>
              <a:graphicData uri="http://schemas.openxmlformats.org/drawingml/2006/picture">
                <pic:pic>
                  <pic:nvPicPr>
                    <pic:cNvPr id="0" name="m5_financials_20.png"/>
                    <pic:cNvPicPr/>
                  </pic:nvPicPr>
                  <pic:blipFill>
                    <a:blip r:embed="rId79"/>
                    <a:stretch>
                      <a:fillRect/>
                    </a:stretch>
                  </pic:blipFill>
                  <pic:spPr>
                    <a:xfrm>
                      <a:off x="0" y="0"/>
                      <a:ext cx="5948680" cy="4763932"/>
                    </a:xfrm>
                    <a:prstGeom prst="rect"/>
                  </pic:spPr>
                </pic:pic>
              </a:graphicData>
            </a:graphic>
          </wp:inline>
        </w:drawing>
      </w:r>
    </w:p>
    <w:p>
      <w:pPr>
        <w:spacing w:after="120"/>
        <w:jc w:val="center"/>
      </w:pPr>
      <w:r>
        <w:rPr>
          <w:rFonts w:ascii="Arial" w:hAnsi="Arial"/>
          <w:b w:val="0"/>
          <w:i/>
          <w:color w:val="6B7280"/>
          <w:sz w:val="16"/>
        </w:rPr>
        <w:t>Figure 69  Financial statements and balances (part 20 of 22)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fin.ScorecardParameter</w:t>
            </w:r>
          </w:p>
        </w:tc>
        <w:tc>
          <w:tcPr>
            <w:tcW w:type="dxa" w:w="6690"/>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2948"/>
          </w:tcPr>
          <w:p>
            <w:pPr>
              <w:spacing w:after="0" w:before="0"/>
            </w:pPr>
            <w:r/>
            <w:r>
              <w:rPr>
                <w:rFonts w:ascii="Arial" w:hAnsi="Arial"/>
                <w:b w:val="0"/>
                <w:sz w:val="15"/>
              </w:rPr>
              <w:t>ScorecardParameterId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fin.ScorecardSubfactor</w:t>
            </w:r>
          </w:p>
        </w:tc>
        <w:tc>
          <w:tcPr>
            <w:tcW w:type="dxa" w:w="6690"/>
            <w:shd w:val="clear" w:color="auto" w:fill="E8EEF6"/>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2948"/>
            <w:shd w:val="clear" w:color="auto" w:fill="E8EEF6"/>
          </w:tcPr>
          <w:p>
            <w:pPr>
              <w:spacing w:after="0" w:before="0"/>
            </w:pPr>
            <w:r/>
            <w:r>
              <w:rPr>
                <w:rFonts w:ascii="Arial" w:hAnsi="Arial"/>
                <w:b w:val="0"/>
                <w:sz w:val="15"/>
              </w:rPr>
              <w:t>ScorecardSubfactorId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fin.ShockDriver</w:t>
            </w:r>
          </w:p>
        </w:tc>
        <w:tc>
          <w:tcPr>
            <w:tcW w:type="dxa" w:w="6690"/>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2948"/>
          </w:tcPr>
          <w:p>
            <w:pPr>
              <w:spacing w:after="0" w:before="0"/>
            </w:pPr>
            <w:r/>
            <w:r>
              <w:rPr>
                <w:rFonts w:ascii="Arial" w:hAnsi="Arial"/>
                <w:b w:val="0"/>
                <w:sz w:val="15"/>
              </w:rPr>
              <w:t>ShockDriverId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fin.StandardLine</w:t>
            </w:r>
          </w:p>
        </w:tc>
        <w:tc>
          <w:tcPr>
            <w:tcW w:type="dxa" w:w="6690"/>
            <w:shd w:val="clear" w:color="auto" w:fill="E8EEF6"/>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2948"/>
            <w:shd w:val="clear" w:color="auto" w:fill="E8EEF6"/>
          </w:tcPr>
          <w:p>
            <w:pPr>
              <w:spacing w:after="0" w:before="0"/>
            </w:pPr>
            <w:r/>
            <w:r>
              <w:rPr>
                <w:rFonts w:ascii="Arial" w:hAnsi="Arial"/>
                <w:b w:val="0"/>
                <w:sz w:val="15"/>
              </w:rPr>
              <w:t>StandardLineId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fin.ScorecardParameter</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fin.ScorecardSubfactor</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21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5217738"/>
            <wp:docPr id="70" name="Picture 70"/>
            <wp:cNvGraphicFramePr>
              <a:graphicFrameLocks noChangeAspect="1"/>
            </wp:cNvGraphicFramePr>
            <a:graphic>
              <a:graphicData uri="http://schemas.openxmlformats.org/drawingml/2006/picture">
                <pic:pic>
                  <pic:nvPicPr>
                    <pic:cNvPr id="0" name="m5_financials_21.png"/>
                    <pic:cNvPicPr/>
                  </pic:nvPicPr>
                  <pic:blipFill>
                    <a:blip r:embed="rId80"/>
                    <a:stretch>
                      <a:fillRect/>
                    </a:stretch>
                  </pic:blipFill>
                  <pic:spPr>
                    <a:xfrm>
                      <a:off x="0" y="0"/>
                      <a:ext cx="6015990" cy="5217738"/>
                    </a:xfrm>
                    <a:prstGeom prst="rect"/>
                  </pic:spPr>
                </pic:pic>
              </a:graphicData>
            </a:graphic>
          </wp:inline>
        </w:drawing>
      </w:r>
    </w:p>
    <w:p>
      <w:pPr>
        <w:spacing w:after="120"/>
        <w:jc w:val="center"/>
      </w:pPr>
      <w:r>
        <w:rPr>
          <w:rFonts w:ascii="Arial" w:hAnsi="Arial"/>
          <w:b w:val="0"/>
          <w:i/>
          <w:color w:val="6B7280"/>
          <w:sz w:val="16"/>
        </w:rPr>
        <w:t>Figure 70  Financial statements and balances (part 21 of 22)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fin.StandardLineTotal</w:t>
            </w:r>
          </w:p>
        </w:tc>
        <w:tc>
          <w:tcPr>
            <w:tcW w:type="dxa" w:w="6690"/>
          </w:tcPr>
          <w:p>
            <w:pPr>
              <w:spacing w:after="0" w:before="0"/>
            </w:pPr>
            <w:r/>
            <w:r>
              <w:rPr>
                <w:rFonts w:ascii="Arial" w:hAnsi="Arial"/>
                <w:b w:val="0"/>
                <w:sz w:val="15"/>
              </w:rPr>
              <w:t>The components of a standard total and their sign, so a total is recomputed after a pro-forma change (docs/35 section 12)</w:t>
            </w:r>
          </w:p>
        </w:tc>
        <w:tc>
          <w:tcPr>
            <w:tcW w:type="dxa" w:w="2948"/>
          </w:tcPr>
          <w:p>
            <w:pPr>
              <w:spacing w:after="0" w:before="0"/>
            </w:pPr>
            <w:r/>
            <w:r>
              <w:rPr>
                <w:rFonts w:ascii="Arial" w:hAnsi="Arial"/>
                <w:b w:val="0"/>
                <w:sz w:val="15"/>
              </w:rPr>
              <w:t>StandardLineTotalId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fin.StatementLine</w:t>
            </w:r>
          </w:p>
        </w:tc>
        <w:tc>
          <w:tcPr>
            <w:tcW w:type="dxa" w:w="6690"/>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shd w:val="clear" w:color="auto" w:fill="E8EEF6"/>
          </w:tcPr>
          <w:p>
            <w:pPr>
              <w:spacing w:after="0" w:before="0"/>
            </w:pPr>
            <w:r/>
            <w:r>
              <w:rPr>
                <w:rFonts w:ascii="Arial" w:hAnsi="Arial"/>
                <w:b w:val="0"/>
                <w:sz w:val="15"/>
              </w:rPr>
              <w:t>StatementLineId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fin.StatementRatio</w:t>
            </w:r>
          </w:p>
        </w:tc>
        <w:tc>
          <w:tcPr>
            <w:tcW w:type="dxa" w:w="6690"/>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2948"/>
          </w:tcPr>
          <w:p>
            <w:pPr>
              <w:spacing w:after="0" w:before="0"/>
            </w:pPr>
            <w:r/>
            <w:r>
              <w:rPr>
                <w:rFonts w:ascii="Arial" w:hAnsi="Arial"/>
                <w:b w:val="0"/>
                <w:sz w:val="15"/>
              </w:rPr>
              <w:t>StatementRatioId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fin.StrengtheningPlan</w:t>
            </w:r>
          </w:p>
        </w:tc>
        <w:tc>
          <w:tcPr>
            <w:tcW w:type="dxa" w:w="6690"/>
            <w:shd w:val="clear" w:color="auto" w:fill="E8EEF6"/>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2948"/>
            <w:shd w:val="clear" w:color="auto" w:fill="E8EEF6"/>
          </w:tcPr>
          <w:p>
            <w:pPr>
              <w:spacing w:after="0" w:before="0"/>
            </w:pPr>
            <w:r/>
            <w:r>
              <w:rPr>
                <w:rFonts w:ascii="Arial" w:hAnsi="Arial"/>
                <w:b w:val="0"/>
                <w:sz w:val="15"/>
              </w:rPr>
              <w:t>StrengtheningPlanId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fin.StatementRatio</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fin.StatementRatio</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22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1600" cy="2115892"/>
            <wp:docPr id="71" name="Picture 71"/>
            <wp:cNvGraphicFramePr>
              <a:graphicFrameLocks noChangeAspect="1"/>
            </wp:cNvGraphicFramePr>
            <a:graphic>
              <a:graphicData uri="http://schemas.openxmlformats.org/drawingml/2006/picture">
                <pic:pic>
                  <pic:nvPicPr>
                    <pic:cNvPr id="0" name="m5_financials_22.png"/>
                    <pic:cNvPicPr/>
                  </pic:nvPicPr>
                  <pic:blipFill>
                    <a:blip r:embed="rId81"/>
                    <a:stretch>
                      <a:fillRect/>
                    </a:stretch>
                  </pic:blipFill>
                  <pic:spPr>
                    <a:xfrm>
                      <a:off x="0" y="0"/>
                      <a:ext cx="6451600" cy="2115892"/>
                    </a:xfrm>
                    <a:prstGeom prst="rect"/>
                  </pic:spPr>
                </pic:pic>
              </a:graphicData>
            </a:graphic>
          </wp:inline>
        </w:drawing>
      </w:r>
    </w:p>
    <w:p>
      <w:pPr>
        <w:spacing w:after="120"/>
        <w:jc w:val="center"/>
      </w:pPr>
      <w:r>
        <w:rPr>
          <w:rFonts w:ascii="Arial" w:hAnsi="Arial"/>
          <w:b w:val="0"/>
          <w:i/>
          <w:color w:val="6B7280"/>
          <w:sz w:val="16"/>
        </w:rPr>
        <w:t>Figure 71  Financial statements and balances (part 22 of 22)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fin.StrengtheningPlanMember</w:t>
            </w:r>
          </w:p>
        </w:tc>
        <w:tc>
          <w:tcPr>
            <w:tcW w:type="dxa" w:w="6690"/>
          </w:tcPr>
          <w:p>
            <w:pPr>
              <w:spacing w:after="0" w:before="0"/>
            </w:pPr>
            <w:r/>
            <w:r>
              <w:rPr>
                <w:rFonts w:ascii="Arial" w:hAnsi="Arial"/>
                <w:b w:val="0"/>
                <w:sz w:val="15"/>
              </w:rPr>
              <w:t>A remedy of a package plan, in the order the plan applies it</w:t>
            </w:r>
          </w:p>
        </w:tc>
        <w:tc>
          <w:tcPr>
            <w:tcW w:type="dxa" w:w="2948"/>
          </w:tcPr>
          <w:p>
            <w:pPr>
              <w:spacing w:after="0" w:before="0"/>
            </w:pPr>
            <w:r/>
            <w:r>
              <w:rPr>
                <w:rFonts w:ascii="Arial" w:hAnsi="Arial"/>
                <w:b w:val="0"/>
                <w:sz w:val="15"/>
              </w:rPr>
              <w:t>StrengtheningPlanMemberId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fin.StrengtheningPlanMember</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fin.StrengtheningPlanMember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72" name="Picture 72"/>
            <wp:cNvGraphicFramePr>
              <a:graphicFrameLocks noChangeAspect="1"/>
            </wp:cNvGraphicFramePr>
            <a:graphic>
              <a:graphicData uri="http://schemas.openxmlformats.org/drawingml/2006/picture">
                <pic:pic>
                  <pic:nvPicPr>
                    <pic:cNvPr id="0" name="m6_wf_templates_1.png"/>
                    <pic:cNvPicPr/>
                  </pic:nvPicPr>
                  <pic:blipFill>
                    <a:blip r:embed="rId82"/>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72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7</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73" name="Picture 73"/>
            <wp:cNvGraphicFramePr>
              <a:graphicFrameLocks noChangeAspect="1"/>
            </wp:cNvGraphicFramePr>
            <a:graphic>
              <a:graphicData uri="http://schemas.openxmlformats.org/drawingml/2006/picture">
                <pic:pic>
                  <pic:nvPicPr>
                    <pic:cNvPr id="0" name="m6_wf_templates_2.png"/>
                    <pic:cNvPicPr/>
                  </pic:nvPicPr>
                  <pic:blipFill>
                    <a:blip r:embed="rId83"/>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73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74" name="Picture 74"/>
            <wp:cNvGraphicFramePr>
              <a:graphicFrameLocks noChangeAspect="1"/>
            </wp:cNvGraphicFramePr>
            <a:graphic>
              <a:graphicData uri="http://schemas.openxmlformats.org/drawingml/2006/picture">
                <pic:pic>
                  <pic:nvPicPr>
                    <pic:cNvPr id="0" name="m6_wf_templates_3.png"/>
                    <pic:cNvPicPr/>
                  </pic:nvPicPr>
                  <pic:blipFill>
                    <a:blip r:embed="rId84"/>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74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75" name="Picture 75"/>
            <wp:cNvGraphicFramePr>
              <a:graphicFrameLocks noChangeAspect="1"/>
            </wp:cNvGraphicFramePr>
            <a:graphic>
              <a:graphicData uri="http://schemas.openxmlformats.org/drawingml/2006/picture">
                <pic:pic>
                  <pic:nvPicPr>
                    <pic:cNvPr id="0" name="m6_wf_templates_4.png"/>
                    <pic:cNvPicPr/>
                  </pic:nvPicPr>
                  <pic:blipFill>
                    <a:blip r:embed="rId85"/>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75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4385596"/>
            <wp:docPr id="76" name="Picture 76"/>
            <wp:cNvGraphicFramePr>
              <a:graphicFrameLocks noChangeAspect="1"/>
            </wp:cNvGraphicFramePr>
            <a:graphic>
              <a:graphicData uri="http://schemas.openxmlformats.org/drawingml/2006/picture">
                <pic:pic>
                  <pic:nvPicPr>
                    <pic:cNvPr id="0" name="m6_requests_1.png"/>
                    <pic:cNvPicPr/>
                  </pic:nvPicPr>
                  <pic:blipFill>
                    <a:blip r:embed="rId86"/>
                    <a:stretch>
                      <a:fillRect/>
                    </a:stretch>
                  </pic:blipFill>
                  <pic:spPr>
                    <a:xfrm>
                      <a:off x="0" y="0"/>
                      <a:ext cx="6405880" cy="4385596"/>
                    </a:xfrm>
                    <a:prstGeom prst="rect"/>
                  </pic:spPr>
                </pic:pic>
              </a:graphicData>
            </a:graphic>
          </wp:inline>
        </w:drawing>
      </w:r>
    </w:p>
    <w:p>
      <w:pPr>
        <w:spacing w:after="120"/>
        <w:jc w:val="center"/>
      </w:pPr>
      <w:r>
        <w:rPr>
          <w:rFonts w:ascii="Arial" w:hAnsi="Arial"/>
          <w:b w:val="0"/>
          <w:i/>
          <w:color w:val="6B7280"/>
          <w:sz w:val="16"/>
        </w:rPr>
        <w:t>Figure 76  Requests, approvals and actions (part 1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ParentRequestId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CopiedFromRequestId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5816600" cy="4199261"/>
            <wp:docPr id="77" name="Picture 77"/>
            <wp:cNvGraphicFramePr>
              <a:graphicFrameLocks noChangeAspect="1"/>
            </wp:cNvGraphicFramePr>
            <a:graphic>
              <a:graphicData uri="http://schemas.openxmlformats.org/drawingml/2006/picture">
                <pic:pic>
                  <pic:nvPicPr>
                    <pic:cNvPr id="0" name="m6_requests_2.png"/>
                    <pic:cNvPicPr/>
                  </pic:nvPicPr>
                  <pic:blipFill>
                    <a:blip r:embed="rId87"/>
                    <a:stretch>
                      <a:fillRect/>
                    </a:stretch>
                  </pic:blipFill>
                  <pic:spPr>
                    <a:xfrm>
                      <a:off x="0" y="0"/>
                      <a:ext cx="5816600" cy="4199261"/>
                    </a:xfrm>
                    <a:prstGeom prst="rect"/>
                  </pic:spPr>
                </pic:pic>
              </a:graphicData>
            </a:graphic>
          </wp:inline>
        </w:drawing>
      </w:r>
    </w:p>
    <w:p>
      <w:pPr>
        <w:spacing w:after="120"/>
        <w:jc w:val="center"/>
      </w:pPr>
      <w:r>
        <w:rPr>
          <w:rFonts w:ascii="Arial" w:hAnsi="Arial"/>
          <w:b w:val="0"/>
          <w:i/>
          <w:color w:val="6B7280"/>
          <w:sz w:val="16"/>
        </w:rPr>
        <w:t>Figure 77  Requests, approvals and actions (part 2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LetterOfCreditId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34150" cy="8092870"/>
            <wp:docPr id="78" name="Picture 78"/>
            <wp:cNvGraphicFramePr>
              <a:graphicFrameLocks noChangeAspect="1"/>
            </wp:cNvGraphicFramePr>
            <a:graphic>
              <a:graphicData uri="http://schemas.openxmlformats.org/drawingml/2006/picture">
                <pic:pic>
                  <pic:nvPicPr>
                    <pic:cNvPr id="0" name="m6_requests_3.png"/>
                    <pic:cNvPicPr/>
                  </pic:nvPicPr>
                  <pic:blipFill>
                    <a:blip r:embed="rId88"/>
                    <a:stretch>
                      <a:fillRect/>
                    </a:stretch>
                  </pic:blipFill>
                  <pic:spPr>
                    <a:xfrm>
                      <a:off x="0" y="0"/>
                      <a:ext cx="6534150" cy="8092870"/>
                    </a:xfrm>
                    <a:prstGeom prst="rect"/>
                  </pic:spPr>
                </pic:pic>
              </a:graphicData>
            </a:graphic>
          </wp:inline>
        </w:drawing>
      </w:r>
    </w:p>
    <w:p>
      <w:pPr>
        <w:spacing w:after="120"/>
        <w:jc w:val="center"/>
      </w:pPr>
      <w:r>
        <w:rPr>
          <w:rFonts w:ascii="Arial" w:hAnsi="Arial"/>
          <w:b w:val="0"/>
          <w:i/>
          <w:color w:val="6B7280"/>
          <w:sz w:val="16"/>
        </w:rPr>
        <w:t>Figure 78  Requests, approvals and actions (part 3 of 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79" name="Picture 79"/>
            <wp:cNvGraphicFramePr>
              <a:graphicFrameLocks noChangeAspect="1"/>
            </wp:cNvGraphicFramePr>
            <a:graphic>
              <a:graphicData uri="http://schemas.openxmlformats.org/drawingml/2006/picture">
                <pic:pic>
                  <pic:nvPicPr>
                    <pic:cNvPr id="0" name="m6_requests_4.png"/>
                    <pic:cNvPicPr/>
                  </pic:nvPicPr>
                  <pic:blipFill>
                    <a:blip r:embed="rId89"/>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79  Requests, approvals and actions (part 4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80" name="Picture 80"/>
            <wp:cNvGraphicFramePr>
              <a:graphicFrameLocks noChangeAspect="1"/>
            </wp:cNvGraphicFramePr>
            <a:graphic>
              <a:graphicData uri="http://schemas.openxmlformats.org/drawingml/2006/picture">
                <pic:pic>
                  <pic:nvPicPr>
                    <pic:cNvPr id="0" name="m6_requests_5.png"/>
                    <pic:cNvPicPr/>
                  </pic:nvPicPr>
                  <pic:blipFill>
                    <a:blip r:embed="rId90"/>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80  Requests, approvals and actions (part 5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81" name="Picture 81"/>
            <wp:cNvGraphicFramePr>
              <a:graphicFrameLocks noChangeAspect="1"/>
            </wp:cNvGraphicFramePr>
            <a:graphic>
              <a:graphicData uri="http://schemas.openxmlformats.org/drawingml/2006/picture">
                <pic:pic>
                  <pic:nvPicPr>
                    <pic:cNvPr id="0" name="m6_requests_6.png"/>
                    <pic:cNvPicPr/>
                  </pic:nvPicPr>
                  <pic:blipFill>
                    <a:blip r:embed="rId91"/>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81  Requests, approvals and actions (part 6 of 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7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82" name="Picture 82"/>
            <wp:cNvGraphicFramePr>
              <a:graphicFrameLocks noChangeAspect="1"/>
            </wp:cNvGraphicFramePr>
            <a:graphic>
              <a:graphicData uri="http://schemas.openxmlformats.org/drawingml/2006/picture">
                <pic:pic>
                  <pic:nvPicPr>
                    <pic:cNvPr id="0" name="m6_requests_7.png"/>
                    <pic:cNvPicPr/>
                  </pic:nvPicPr>
                  <pic:blipFill>
                    <a:blip r:embed="rId92"/>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82  Requests, approvals and actions (part 7 of 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83" name="Picture 83"/>
            <wp:cNvGraphicFramePr>
              <a:graphicFrameLocks noChangeAspect="1"/>
            </wp:cNvGraphicFramePr>
            <a:graphic>
              <a:graphicData uri="http://schemas.openxmlformats.org/drawingml/2006/picture">
                <pic:pic>
                  <pic:nvPicPr>
                    <pic:cNvPr id="0" name="m6_notifications.png"/>
                    <pic:cNvPicPr/>
                  </pic:nvPicPr>
                  <pic:blipFill>
                    <a:blip r:embed="rId93"/>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83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84" name="Picture 84"/>
            <wp:cNvGraphicFramePr>
              <a:graphicFrameLocks noChangeAspect="1"/>
            </wp:cNvGraphicFramePr>
            <a:graphic>
              <a:graphicData uri="http://schemas.openxmlformats.org/drawingml/2006/picture">
                <pic:pic>
                  <pic:nvPicPr>
                    <pic:cNvPr id="0" name="m7_8_lc_terms_1.png"/>
                    <pic:cNvPicPr/>
                  </pic:nvPicPr>
                  <pic:blipFill>
                    <a:blip r:embed="rId94"/>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84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85" name="Picture 85"/>
            <wp:cNvGraphicFramePr>
              <a:graphicFrameLocks noChangeAspect="1"/>
            </wp:cNvGraphicFramePr>
            <a:graphic>
              <a:graphicData uri="http://schemas.openxmlformats.org/drawingml/2006/picture">
                <pic:pic>
                  <pic:nvPicPr>
                    <pic:cNvPr id="0" name="m7_8_lc_terms_2.png"/>
                    <pic:cNvPicPr/>
                  </pic:nvPicPr>
                  <pic:blipFill>
                    <a:blip r:embed="rId95"/>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85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86" name="Picture 86"/>
            <wp:cNvGraphicFramePr>
              <a:graphicFrameLocks noChangeAspect="1"/>
            </wp:cNvGraphicFramePr>
            <a:graphic>
              <a:graphicData uri="http://schemas.openxmlformats.org/drawingml/2006/picture">
                <pic:pic>
                  <pic:nvPicPr>
                    <pic:cNvPr id="0" name="m7_8_lc_terms_3.png"/>
                    <pic:cNvPicPr/>
                  </pic:nvPicPr>
                  <pic:blipFill>
                    <a:blip r:embed="rId96"/>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86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87" name="Picture 87"/>
            <wp:cNvGraphicFramePr>
              <a:graphicFrameLocks noChangeAspect="1"/>
            </wp:cNvGraphicFramePr>
            <a:graphic>
              <a:graphicData uri="http://schemas.openxmlformats.org/drawingml/2006/picture">
                <pic:pic>
                  <pic:nvPicPr>
                    <pic:cNvPr id="0" name="m7_8_lc_terms_4.png"/>
                    <pic:cNvPicPr/>
                  </pic:nvPicPr>
                  <pic:blipFill>
                    <a:blip r:embed="rId97"/>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87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88" name="Picture 88"/>
            <wp:cNvGraphicFramePr>
              <a:graphicFrameLocks noChangeAspect="1"/>
            </wp:cNvGraphicFramePr>
            <a:graphic>
              <a:graphicData uri="http://schemas.openxmlformats.org/drawingml/2006/picture">
                <pic:pic>
                  <pic:nvPicPr>
                    <pic:cNvPr id="0" name="m7_8_lc_terms_5.png"/>
                    <pic:cNvPicPr/>
                  </pic:nvPicPr>
                  <pic:blipFill>
                    <a:blip r:embed="rId98"/>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88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89" name="Picture 89"/>
            <wp:cNvGraphicFramePr>
              <a:graphicFrameLocks noChangeAspect="1"/>
            </wp:cNvGraphicFramePr>
            <a:graphic>
              <a:graphicData uri="http://schemas.openxmlformats.org/drawingml/2006/picture">
                <pic:pic>
                  <pic:nvPicPr>
                    <pic:cNvPr id="0" name="m7_8_lc_ops_1.png"/>
                    <pic:cNvPicPr/>
                  </pic:nvPicPr>
                  <pic:blipFill>
                    <a:blip r:embed="rId99"/>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89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90" name="Picture 90"/>
            <wp:cNvGraphicFramePr>
              <a:graphicFrameLocks noChangeAspect="1"/>
            </wp:cNvGraphicFramePr>
            <a:graphic>
              <a:graphicData uri="http://schemas.openxmlformats.org/drawingml/2006/picture">
                <pic:pic>
                  <pic:nvPicPr>
                    <pic:cNvPr id="0" name="m7_8_lc_ops_2.png"/>
                    <pic:cNvPicPr/>
                  </pic:nvPicPr>
                  <pic:blipFill>
                    <a:blip r:embed="rId100"/>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90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91" name="Picture 91"/>
            <wp:cNvGraphicFramePr>
              <a:graphicFrameLocks noChangeAspect="1"/>
            </wp:cNvGraphicFramePr>
            <a:graphic>
              <a:graphicData uri="http://schemas.openxmlformats.org/drawingml/2006/picture">
                <pic:pic>
                  <pic:nvPicPr>
                    <pic:cNvPr id="0" name="m7_8_lc_ops_3.png"/>
                    <pic:cNvPicPr/>
                  </pic:nvPicPr>
                  <pic:blipFill>
                    <a:blip r:embed="rId101"/>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91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92850" cy="7149077"/>
            <wp:docPr id="92" name="Picture 92"/>
            <wp:cNvGraphicFramePr>
              <a:graphicFrameLocks noChangeAspect="1"/>
            </wp:cNvGraphicFramePr>
            <a:graphic>
              <a:graphicData uri="http://schemas.openxmlformats.org/drawingml/2006/picture">
                <pic:pic>
                  <pic:nvPicPr>
                    <pic:cNvPr id="0" name="m7_8_lc_ops_4.png"/>
                    <pic:cNvPicPr/>
                  </pic:nvPicPr>
                  <pic:blipFill>
                    <a:blip r:embed="rId102"/>
                    <a:stretch>
                      <a:fillRect/>
                    </a:stretch>
                  </pic:blipFill>
                  <pic:spPr>
                    <a:xfrm>
                      <a:off x="0" y="0"/>
                      <a:ext cx="6292850" cy="7149077"/>
                    </a:xfrm>
                    <a:prstGeom prst="rect"/>
                  </pic:spPr>
                </pic:pic>
              </a:graphicData>
            </a:graphic>
          </wp:inline>
        </w:drawing>
      </w:r>
    </w:p>
    <w:p>
      <w:pPr>
        <w:spacing w:after="120"/>
        <w:jc w:val="center"/>
      </w:pPr>
      <w:r>
        <w:rPr>
          <w:rFonts w:ascii="Arial" w:hAnsi="Arial"/>
          <w:b w:val="0"/>
          <w:i/>
          <w:color w:val="6B7280"/>
          <w:sz w:val="16"/>
        </w:rPr>
        <w:t>Figure 92  Letters of credit and proforma invoices (part 4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WithdrawalDocumentId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93" name="Picture 93"/>
            <wp:cNvGraphicFramePr>
              <a:graphicFrameLocks noChangeAspect="1"/>
            </wp:cNvGraphicFramePr>
            <a:graphic>
              <a:graphicData uri="http://schemas.openxmlformats.org/drawingml/2006/picture">
                <pic:pic>
                  <pic:nvPicPr>
                    <pic:cNvPr id="0" name="m7_8_lc_ops_5.png"/>
                    <pic:cNvPicPr/>
                  </pic:nvPicPr>
                  <pic:blipFill>
                    <a:blip r:embed="rId103"/>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93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94" name="Picture 94"/>
            <wp:cNvGraphicFramePr>
              <a:graphicFrameLocks noChangeAspect="1"/>
            </wp:cNvGraphicFramePr>
            <a:graphic>
              <a:graphicData uri="http://schemas.openxmlformats.org/drawingml/2006/picture">
                <pic:pic>
                  <pic:nvPicPr>
                    <pic:cNvPr id="0" name="m7_8_lc_ops_6.png"/>
                    <pic:cNvPicPr/>
                  </pic:nvPicPr>
                  <pic:blipFill>
                    <a:blip r:embed="rId104"/>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94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95" name="Picture 95"/>
            <wp:cNvGraphicFramePr>
              <a:graphicFrameLocks noChangeAspect="1"/>
            </wp:cNvGraphicFramePr>
            <a:graphic>
              <a:graphicData uri="http://schemas.openxmlformats.org/drawingml/2006/picture">
                <pic:pic>
                  <pic:nvPicPr>
                    <pic:cNvPr id="0" name="m7_8_lc_ops_7.png"/>
                    <pic:cNvPicPr/>
                  </pic:nvPicPr>
                  <pic:blipFill>
                    <a:blip r:embed="rId105"/>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95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96" name="Picture 96"/>
            <wp:cNvGraphicFramePr>
              <a:graphicFrameLocks noChangeAspect="1"/>
            </wp:cNvGraphicFramePr>
            <a:graphic>
              <a:graphicData uri="http://schemas.openxmlformats.org/drawingml/2006/picture">
                <pic:pic>
                  <pic:nvPicPr>
                    <pic:cNvPr id="0" name="m7_8_lc_ops_8.png"/>
                    <pic:cNvPicPr/>
                  </pic:nvPicPr>
                  <pic:blipFill>
                    <a:blip r:embed="rId106"/>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96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97" name="Picture 97"/>
            <wp:cNvGraphicFramePr>
              <a:graphicFrameLocks noChangeAspect="1"/>
            </wp:cNvGraphicFramePr>
            <a:graphic>
              <a:graphicData uri="http://schemas.openxmlformats.org/drawingml/2006/picture">
                <pic:pic>
                  <pic:nvPicPr>
                    <pic:cNvPr id="0" name="m7_8_lc_ops_9.png"/>
                    <pic:cNvPicPr/>
                  </pic:nvPicPr>
                  <pic:blipFill>
                    <a:blip r:embed="rId107"/>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97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confirmed 2026-10-19,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Decided by the owner (2026-10-19, docs/31-owner-decisions.md): the treasury manager sets the status at which the six rows must be complete. Until that status is set, no database rule is written.</w:t>
            </w:r>
          </w:p>
        </w:tc>
        <w:tc>
          <w:tcPr>
            <w:tcW w:type="dxa" w:w="2721"/>
          </w:tcPr>
          <w:p>
            <w:pPr>
              <w:spacing w:after="0" w:before="0"/>
            </w:pPr>
            <w:r/>
            <w:r>
              <w:rPr>
                <w:rFonts w:ascii="Arial" w:hAnsi="Arial"/>
                <w:b w:val="0"/>
                <w:sz w:val="15"/>
              </w:rPr>
              <w:t>The treasury manager names the status (draft, submitted or approved); then a rule is added to db/static with a test.</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Decided by the owner (2026-10-19, docs/31-owner-decisions.md): a licensed copy of the ICC text is provided, and a specialist checks each article number against it and records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Closed. The owner approved the recommended default of each of the 148 questions still open (2026-10-19, docs/31-owner-decisions.md decision 31); all 155 are now marked decided in section 14 of the specifications and in docs/10-detailed-analysis/90-consolidated-open-questions.md.</w:t>
            </w:r>
          </w:p>
        </w:tc>
        <w:tc>
          <w:tcPr>
            <w:tcW w:type="dxa" w:w="2721"/>
          </w:tcPr>
          <w:p>
            <w:pPr>
              <w:spacing w:after="0" w:before="0"/>
            </w:pPr>
            <w:r/>
            <w:r>
              <w:rPr>
                <w:rFonts w:ascii="Arial" w:hAnsi="Arial"/>
                <w:b w:val="0"/>
                <w:sz w:val="15"/>
              </w:rPr>
              <w:t>None. A question raised later is added to section 14 of its specification with a recommended default.</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255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aud.AuditChainAnchor</w:t>
            </w:r>
          </w:p>
        </w:tc>
        <w:tc>
          <w:tcPr>
            <w:tcW w:type="dxa" w:w="10205"/>
          </w:tcPr>
          <w:p>
            <w:pPr>
              <w:spacing w:after="0" w:before="0"/>
            </w:pPr>
            <w:r/>
            <w:r>
              <w:rPr>
                <w:rFonts w:ascii="Arial" w:hAnsi="Arial"/>
                <w:b w:val="0"/>
                <w:sz w:val="15"/>
              </w:rPr>
              <w:t>Anchor of an audit chain: its head at a moment, also kept outside the database (DOC-S12 section 5.3)</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aud.AuditChainHead</w:t>
            </w:r>
          </w:p>
        </w:tc>
        <w:tc>
          <w:tcPr>
            <w:tcW w:type="dxa" w:w="10205"/>
            <w:shd w:val="clear" w:color="auto" w:fill="E8EEF6"/>
          </w:tcPr>
          <w:p>
            <w:pPr>
              <w:spacing w:after="0" w:before="0"/>
            </w:pPr>
            <w:r/>
            <w:r>
              <w:rPr>
                <w:rFonts w:ascii="Arial" w:hAnsi="Arial"/>
                <w:b w:val="0"/>
                <w:sz w:val="15"/>
              </w:rPr>
              <w:t>Head of each audit hash chain: its last sequence number and hash (FR-PLT-025)</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m0_audit_docs_2</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fac.FacilityLenderDecision</w:t>
            </w:r>
          </w:p>
        </w:tc>
        <w:tc>
          <w:tcPr>
            <w:tcW w:type="dxa" w:w="10205"/>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fin.AssessmentEvidencePack</w:t>
            </w:r>
          </w:p>
        </w:tc>
        <w:tc>
          <w:tcPr>
            <w:tcW w:type="dxa" w:w="10205"/>
            <w:shd w:val="clear" w:color="auto" w:fill="E8EEF6"/>
          </w:tcPr>
          <w:p>
            <w:pPr>
              <w:spacing w:after="0" w:before="0"/>
            </w:pPr>
            <w:r/>
            <w:r>
              <w:rPr>
                <w:rFonts w:ascii="Arial" w:hAnsi="Arial"/>
                <w:b w:val="0"/>
                <w:sz w:val="15"/>
              </w:rPr>
              <w:t>A sealed evidence pack of an endorsed assessment, built for an auditor or a lender: the assessment, its statement versions and lines, findings, reconciliation, calibration and audit rows in one JSON document whose SHA-256 is kept here; the same content gives the same hash (ADR 0030)</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fin.CompanyProductLine</w:t>
            </w:r>
          </w:p>
        </w:tc>
        <w:tc>
          <w:tcPr>
            <w:tcW w:type="dxa" w:w="10205"/>
            <w:shd w:val="clear" w:color="auto" w:fill="E8EEF6"/>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fin.ConsolidationMember</w:t>
            </w:r>
          </w:p>
        </w:tc>
        <w:tc>
          <w:tcPr>
            <w:tcW w:type="dxa" w:w="10205"/>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fin.CountryRegion</w:t>
            </w:r>
          </w:p>
        </w:tc>
        <w:tc>
          <w:tcPr>
            <w:tcW w:type="dxa" w:w="10205"/>
            <w:shd w:val="clear" w:color="auto" w:fill="E8EEF6"/>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fin.CountryRiskProfile</w:t>
            </w:r>
          </w:p>
        </w:tc>
        <w:tc>
          <w:tcPr>
            <w:tcW w:type="dxa" w:w="10205"/>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1701"/>
          </w:tcPr>
          <w:p>
            <w:pPr>
              <w:spacing w:after="0" w:before="0"/>
            </w:pPr>
            <w:r/>
            <w:r>
              <w:rPr>
                <w:rFonts w:ascii="Arial" w:hAnsi="Arial"/>
                <w:b w:val="0"/>
                <w:sz w:val="15"/>
              </w:rPr>
              <w:t>m5_financials_5</w:t>
            </w:r>
          </w:p>
        </w:tc>
      </w:tr>
      <w:tr>
        <w:trPr>
          <w:cantSplit w:val="true"/>
        </w:trPr>
        <w:tc>
          <w:tcPr>
            <w:tcW w:type="dxa" w:w="3515"/>
            <w:shd w:val="clear" w:color="auto" w:fill="E8EEF6"/>
          </w:tcPr>
          <w:p>
            <w:pPr>
              <w:spacing w:after="0" w:before="0"/>
            </w:pPr>
            <w:r/>
            <w:r>
              <w:rPr>
                <w:rFonts w:ascii="Arial" w:hAnsi="Arial"/>
                <w:b w:val="0"/>
                <w:sz w:val="15"/>
              </w:rPr>
              <w:t>fin.CreditAssessment</w:t>
            </w:r>
          </w:p>
        </w:tc>
        <w:tc>
          <w:tcPr>
            <w:tcW w:type="dxa" w:w="10205"/>
            <w:shd w:val="clear" w:color="auto" w:fill="E8EEF6"/>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1701"/>
            <w:shd w:val="clear" w:color="auto" w:fill="E8EEF6"/>
          </w:tcPr>
          <w:p>
            <w:pPr>
              <w:spacing w:after="0" w:before="0"/>
            </w:pPr>
            <w:r/>
            <w:r>
              <w:rPr>
                <w:rFonts w:ascii="Arial" w:hAnsi="Arial"/>
                <w:b w:val="0"/>
                <w:sz w:val="15"/>
              </w:rPr>
              <w:t>m5_financials_6</w:t>
            </w:r>
          </w:p>
        </w:tc>
      </w:tr>
      <w:tr>
        <w:trPr>
          <w:cantSplit w:val="true"/>
        </w:trPr>
        <w:tc>
          <w:tcPr>
            <w:tcW w:type="dxa" w:w="3515"/>
          </w:tcPr>
          <w:p>
            <w:pPr>
              <w:spacing w:after="0" w:before="0"/>
            </w:pPr>
            <w:r/>
            <w:r>
              <w:rPr>
                <w:rFonts w:ascii="Arial" w:hAnsi="Arial"/>
                <w:b w:val="0"/>
                <w:sz w:val="15"/>
              </w:rPr>
              <w:t>fin.CreditAssessmentBureau</w:t>
            </w:r>
          </w:p>
        </w:tc>
        <w:tc>
          <w:tcPr>
            <w:tcW w:type="dxa" w:w="10205"/>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1701"/>
          </w:tcPr>
          <w:p>
            <w:pPr>
              <w:spacing w:after="0" w:before="0"/>
            </w:pPr>
            <w:r/>
            <w:r>
              <w:rPr>
                <w:rFonts w:ascii="Arial" w:hAnsi="Arial"/>
                <w:b w:val="0"/>
                <w:sz w:val="15"/>
              </w:rPr>
              <w:t>m5_financials_7</w:t>
            </w:r>
          </w:p>
        </w:tc>
      </w:tr>
      <w:tr>
        <w:trPr>
          <w:cantSplit w:val="true"/>
        </w:trPr>
        <w:tc>
          <w:tcPr>
            <w:tcW w:type="dxa" w:w="3515"/>
            <w:shd w:val="clear" w:color="auto" w:fill="E8EEF6"/>
          </w:tcPr>
          <w:p>
            <w:pPr>
              <w:spacing w:after="0" w:before="0"/>
            </w:pPr>
            <w:r/>
            <w:r>
              <w:rPr>
                <w:rFonts w:ascii="Arial" w:hAnsi="Arial"/>
                <w:b w:val="0"/>
                <w:sz w:val="15"/>
              </w:rPr>
              <w:t>fin.CreditAssessmentFacility</w:t>
            </w:r>
          </w:p>
        </w:tc>
        <w:tc>
          <w:tcPr>
            <w:tcW w:type="dxa" w:w="10205"/>
            <w:shd w:val="clear" w:color="auto" w:fill="E8EEF6"/>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1701"/>
            <w:shd w:val="clear" w:color="auto" w:fill="E8EEF6"/>
          </w:tcPr>
          <w:p>
            <w:pPr>
              <w:spacing w:after="0" w:before="0"/>
            </w:pPr>
            <w:r/>
            <w:r>
              <w:rPr>
                <w:rFonts w:ascii="Arial" w:hAnsi="Arial"/>
                <w:b w:val="0"/>
                <w:sz w:val="15"/>
              </w:rPr>
              <w:t>m5_financials_7</w:t>
            </w:r>
          </w:p>
        </w:tc>
      </w:tr>
      <w:tr>
        <w:trPr>
          <w:cantSplit w:val="true"/>
        </w:trPr>
        <w:tc>
          <w:tcPr>
            <w:tcW w:type="dxa" w:w="3515"/>
          </w:tcPr>
          <w:p>
            <w:pPr>
              <w:spacing w:after="0" w:before="0"/>
            </w:pPr>
            <w:r/>
            <w:r>
              <w:rPr>
                <w:rFonts w:ascii="Arial" w:hAnsi="Arial"/>
                <w:b w:val="0"/>
                <w:sz w:val="15"/>
              </w:rPr>
              <w:t>fin.CreditAssessmentFactor</w:t>
            </w:r>
          </w:p>
        </w:tc>
        <w:tc>
          <w:tcPr>
            <w:tcW w:type="dxa" w:w="10205"/>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1701"/>
          </w:tcPr>
          <w:p>
            <w:pPr>
              <w:spacing w:after="0" w:before="0"/>
            </w:pPr>
            <w:r/>
            <w:r>
              <w:rPr>
                <w:rFonts w:ascii="Arial" w:hAnsi="Arial"/>
                <w:b w:val="0"/>
                <w:sz w:val="15"/>
              </w:rPr>
              <w:t>m5_financials_8</w:t>
            </w:r>
          </w:p>
        </w:tc>
      </w:tr>
      <w:tr>
        <w:trPr>
          <w:cantSplit w:val="true"/>
        </w:trPr>
        <w:tc>
          <w:tcPr>
            <w:tcW w:type="dxa" w:w="3515"/>
            <w:shd w:val="clear" w:color="auto" w:fill="E8EEF6"/>
          </w:tcPr>
          <w:p>
            <w:pPr>
              <w:spacing w:after="0" w:before="0"/>
            </w:pPr>
            <w:r/>
            <w:r>
              <w:rPr>
                <w:rFonts w:ascii="Arial" w:hAnsi="Arial"/>
                <w:b w:val="0"/>
                <w:sz w:val="15"/>
              </w:rPr>
              <w:t>fin.CreditAssessmentFinding</w:t>
            </w:r>
          </w:p>
        </w:tc>
        <w:tc>
          <w:tcPr>
            <w:tcW w:type="dxa" w:w="10205"/>
            <w:shd w:val="clear" w:color="auto" w:fill="E8EEF6"/>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1701"/>
            <w:shd w:val="clear" w:color="auto" w:fill="E8EEF6"/>
          </w:tcPr>
          <w:p>
            <w:pPr>
              <w:spacing w:after="0" w:before="0"/>
            </w:pPr>
            <w:r/>
            <w:r>
              <w:rPr>
                <w:rFonts w:ascii="Arial" w:hAnsi="Arial"/>
                <w:b w:val="0"/>
                <w:sz w:val="15"/>
              </w:rPr>
              <w:t>m5_financials_8</w:t>
            </w:r>
          </w:p>
        </w:tc>
      </w:tr>
      <w:tr>
        <w:trPr>
          <w:cantSplit w:val="true"/>
        </w:trPr>
        <w:tc>
          <w:tcPr>
            <w:tcW w:type="dxa" w:w="3515"/>
          </w:tcPr>
          <w:p>
            <w:pPr>
              <w:spacing w:after="0" w:before="0"/>
            </w:pPr>
            <w:r/>
            <w:r>
              <w:rPr>
                <w:rFonts w:ascii="Arial" w:hAnsi="Arial"/>
                <w:b w:val="0"/>
                <w:sz w:val="15"/>
              </w:rPr>
              <w:t>fin.CreditAssessmentGuarantor</w:t>
            </w:r>
          </w:p>
        </w:tc>
        <w:tc>
          <w:tcPr>
            <w:tcW w:type="dxa" w:w="10205"/>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1701"/>
          </w:tcPr>
          <w:p>
            <w:pPr>
              <w:spacing w:after="0" w:before="0"/>
            </w:pPr>
            <w:r/>
            <w:r>
              <w:rPr>
                <w:rFonts w:ascii="Arial" w:hAnsi="Arial"/>
                <w:b w:val="0"/>
                <w:sz w:val="15"/>
              </w:rPr>
              <w:t>m5_financials_9</w:t>
            </w:r>
          </w:p>
        </w:tc>
      </w:tr>
      <w:tr>
        <w:trPr>
          <w:cantSplit w:val="true"/>
        </w:trPr>
        <w:tc>
          <w:tcPr>
            <w:tcW w:type="dxa" w:w="3515"/>
            <w:shd w:val="clear" w:color="auto" w:fill="E8EEF6"/>
          </w:tcPr>
          <w:p>
            <w:pPr>
              <w:spacing w:after="0" w:before="0"/>
            </w:pPr>
            <w:r/>
            <w:r>
              <w:rPr>
                <w:rFonts w:ascii="Arial" w:hAnsi="Arial"/>
                <w:b w:val="0"/>
                <w:sz w:val="15"/>
              </w:rPr>
              <w:t>fin.CreditAssessmentInput</w:t>
            </w:r>
          </w:p>
        </w:tc>
        <w:tc>
          <w:tcPr>
            <w:tcW w:type="dxa" w:w="10205"/>
            <w:shd w:val="clear" w:color="auto" w:fill="E8EEF6"/>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fin.CreditAssessmentPlan</w:t>
            </w:r>
          </w:p>
        </w:tc>
        <w:tc>
          <w:tcPr>
            <w:tcW w:type="dxa" w:w="10205"/>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fin.CreditAssessmentPlanStep</w:t>
            </w:r>
          </w:p>
        </w:tc>
        <w:tc>
          <w:tcPr>
            <w:tcW w:type="dxa" w:w="10205"/>
            <w:shd w:val="clear" w:color="auto" w:fill="E8EEF6"/>
          </w:tcPr>
          <w:p>
            <w:pPr>
              <w:spacing w:after="0" w:before="0"/>
            </w:pPr>
            <w:r/>
            <w:r>
              <w:rPr>
                <w:rFonts w:ascii="Arial" w:hAnsi="Arial"/>
                <w:b w:val="0"/>
                <w:sz w:val="15"/>
              </w:rPr>
              <w:t>A step of a strengthening plan: the remedy applied, the amount it moved and the grade after it</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fin.CreditAssessmentReclass</w:t>
            </w:r>
          </w:p>
        </w:tc>
        <w:tc>
          <w:tcPr>
            <w:tcW w:type="dxa" w:w="10205"/>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fin.CreditAssessmentRemedy</w:t>
            </w:r>
          </w:p>
        </w:tc>
        <w:tc>
          <w:tcPr>
            <w:tcW w:type="dxa" w:w="10205"/>
            <w:shd w:val="clear" w:color="auto" w:fill="E8EEF6"/>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fin.CreditAssessmentScenario</w:t>
            </w:r>
          </w:p>
        </w:tc>
        <w:tc>
          <w:tcPr>
            <w:tcW w:type="dxa" w:w="10205"/>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fin.CreditAssessmentTrigger</w:t>
            </w:r>
          </w:p>
        </w:tc>
        <w:tc>
          <w:tcPr>
            <w:tcW w:type="dxa" w:w="10205"/>
            <w:shd w:val="clear" w:color="auto" w:fill="E8EEF6"/>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fin.CreditMetric</w:t>
            </w:r>
          </w:p>
        </w:tc>
        <w:tc>
          <w:tcPr>
            <w:tcW w:type="dxa" w:w="10205"/>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fin.CreditRemedy</w:t>
            </w:r>
          </w:p>
        </w:tc>
        <w:tc>
          <w:tcPr>
            <w:tcW w:type="dxa" w:w="10205"/>
            <w:shd w:val="clear" w:color="auto" w:fill="E8EEF6"/>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fin.CreditRemedyStep</w:t>
            </w:r>
          </w:p>
        </w:tc>
        <w:tc>
          <w:tcPr>
            <w:tcW w:type="dxa" w:w="10205"/>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fin.CreditRemedyTrigger</w:t>
            </w:r>
          </w:p>
        </w:tc>
        <w:tc>
          <w:tcPr>
            <w:tcW w:type="dxa" w:w="10205"/>
            <w:shd w:val="clear" w:color="auto" w:fill="E8EEF6"/>
          </w:tcPr>
          <w:p>
            <w:pPr>
              <w:spacing w:after="0" w:before="0"/>
            </w:pPr>
            <w:r/>
            <w:r>
              <w:rPr>
                <w:rFonts w:ascii="Arial" w:hAnsi="Arial"/>
                <w:b w:val="0"/>
                <w:sz w:val="15"/>
              </w:rPr>
              <w:t>A finding a remedy answers: a metric or an adjustment code</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fin.CreditText</w:t>
            </w:r>
          </w:p>
        </w:tc>
        <w:tc>
          <w:tcPr>
            <w:tcW w:type="dxa" w:w="10205"/>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fin.EarlyWarningAlert</w:t>
            </w:r>
          </w:p>
        </w:tc>
        <w:tc>
          <w:tcPr>
            <w:tcW w:type="dxa" w:w="10205"/>
            <w:shd w:val="clear" w:color="auto" w:fill="E8EEF6"/>
          </w:tcPr>
          <w:p>
            <w:pPr>
              <w:spacing w:after="0" w:before="0"/>
            </w:pPr>
            <w:r/>
            <w:r>
              <w:rPr>
                <w:rFonts w:ascii="Arial" w:hAnsi="Arial"/>
                <w:b w:val="0"/>
                <w:sz w:val="15"/>
              </w:rPr>
              <w:t>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fin.IndustryProfile</w:t>
            </w:r>
          </w:p>
        </w:tc>
        <w:tc>
          <w:tcPr>
            <w:tcW w:type="dxa" w:w="10205"/>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fin.IndustrySensitivity</w:t>
            </w:r>
          </w:p>
        </w:tc>
        <w:tc>
          <w:tcPr>
            <w:tcW w:type="dxa" w:w="10205"/>
          </w:tcPr>
          <w:p>
            <w:pPr>
              <w:spacing w:after="0" w:before="0"/>
            </w:pPr>
            <w:r/>
            <w:r>
              <w:rPr>
                <w:rFonts w:ascii="Arial" w:hAnsi="Arial"/>
                <w:b w:val="0"/>
                <w:sz w:val="15"/>
              </w:rPr>
              <w:t>The sensitivity 0 (none) to 5 (extreme) of an activity to a driver of stress (docs/35 section 14)</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fin.LenderRating</w:t>
            </w:r>
          </w:p>
        </w:tc>
        <w:tc>
          <w:tcPr>
            <w:tcW w:type="dxa" w:w="10205"/>
            <w:shd w:val="clear" w:color="auto" w:fill="E8EEF6"/>
          </w:tcPr>
          <w:p>
            <w:pPr>
              <w:spacing w:after="0" w:before="0"/>
            </w:pPr>
            <w:r/>
            <w:r>
              <w:rPr>
                <w:rFonts w:ascii="Arial" w:hAnsi="Arial"/>
                <w:b w:val="0"/>
                <w:sz w:val="15"/>
              </w:rPr>
              <w:t>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fin.MacroScenario</w:t>
            </w:r>
          </w:p>
        </w:tc>
        <w:tc>
          <w:tcPr>
            <w:tcW w:type="dxa" w:w="10205"/>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fin.MacroScenarioCountry</w:t>
            </w:r>
          </w:p>
        </w:tc>
        <w:tc>
          <w:tcPr>
            <w:tcW w:type="dxa" w:w="10205"/>
            <w:shd w:val="clear" w:color="auto" w:fill="E8EEF6"/>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fin.MacroScenarioIntensity</w:t>
            </w:r>
          </w:p>
        </w:tc>
        <w:tc>
          <w:tcPr>
            <w:tcW w:type="dxa" w:w="10205"/>
          </w:tcPr>
          <w:p>
            <w:pPr>
              <w:spacing w:after="0" w:before="0"/>
            </w:pPr>
            <w:r/>
            <w:r>
              <w:rPr>
                <w:rFonts w:ascii="Arial" w:hAnsi="Arial"/>
                <w:b w:val="0"/>
                <w:sz w:val="15"/>
              </w:rPr>
              <w:t>The intensity 0 to 1 of a driver in a macro scenario (docs/35 section 14)</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fin.MeasureFormula</w:t>
            </w:r>
          </w:p>
        </w:tc>
        <w:tc>
          <w:tcPr>
            <w:tcW w:type="dxa" w:w="10205"/>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fin.PresentationVersion</w:t>
            </w:r>
          </w:p>
        </w:tc>
        <w:tc>
          <w:tcPr>
            <w:tcW w:type="dxa" w:w="10205"/>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fin.PresentationVersionStep</w:t>
            </w:r>
          </w:p>
        </w:tc>
        <w:tc>
          <w:tcPr>
            <w:tcW w:type="dxa" w:w="10205"/>
            <w:shd w:val="clear" w:color="auto" w:fill="E8EEF6"/>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fin.ProductCategory</w:t>
            </w:r>
          </w:p>
        </w:tc>
        <w:tc>
          <w:tcPr>
            <w:tcW w:type="dxa" w:w="10205"/>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fin.RatingGrade</w:t>
            </w:r>
          </w:p>
        </w:tc>
        <w:tc>
          <w:tcPr>
            <w:tcW w:type="dxa" w:w="10205"/>
            <w:shd w:val="clear" w:color="auto" w:fill="E8EEF6"/>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fin.ReceivableLossRate</w:t>
            </w:r>
          </w:p>
        </w:tc>
        <w:tc>
          <w:tcPr>
            <w:tcW w:type="dxa" w:w="10205"/>
          </w:tcPr>
          <w:p>
            <w:pPr>
              <w:spacing w:after="0" w:before="0"/>
            </w:pPr>
            <w:r/>
            <w:r>
              <w:rPr>
                <w:rFonts w:ascii="Arial" w:hAnsi="Arial"/>
                <w:b w:val="0"/>
                <w:sz w:val="15"/>
              </w:rPr>
              <w:t>The loss rate of a receivables ageing bucket for the provision matrix the company compares its recorded allowance with (IFRS 9 simplified approach; owner decision 35, ADR 0030); the defaults of the pack FIN.PROVISION are for the treasury to approve or change</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fin.ReportingPeriodLock</w:t>
            </w:r>
          </w:p>
        </w:tc>
        <w:tc>
          <w:tcPr>
            <w:tcW w:type="dxa" w:w="10205"/>
            <w:shd w:val="clear" w:color="auto" w:fill="E8EEF6"/>
          </w:tcPr>
          <w:p>
            <w:pPr>
              <w:spacing w:after="0" w:before="0"/>
            </w:pPr>
            <w:r/>
            <w:r>
              <w:rPr>
                <w:rFonts w:ascii="Arial" w:hAnsi="Arial"/>
                <w:b w:val="0"/>
                <w:sz w:val="15"/>
              </w:rPr>
              <w:t>The close of a company's reporting periods: through LockedThrough no actual statement, version, monthly balance or bank flow of the company is added, changed or removed; locked once its figures are approved or confirmed, reopened with a reason by someone other than the one who locked it (optional for each company; docs/38 item 2, ADR 0031)</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fin.RevenueEstimate</w:t>
            </w:r>
          </w:p>
        </w:tc>
        <w:tc>
          <w:tcPr>
            <w:tcW w:type="dxa" w:w="10205"/>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fin.RiskAnchor</w:t>
            </w:r>
          </w:p>
        </w:tc>
        <w:tc>
          <w:tcPr>
            <w:tcW w:type="dxa" w:w="10205"/>
            <w:shd w:val="clear" w:color="auto" w:fill="E8EEF6"/>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fin.Scorecard</w:t>
            </w:r>
          </w:p>
        </w:tc>
        <w:tc>
          <w:tcPr>
            <w:tcW w:type="dxa" w:w="10205"/>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1701"/>
          </w:tcPr>
          <w:p>
            <w:pPr>
              <w:spacing w:after="0" w:before="0"/>
            </w:pPr>
            <w:r/>
            <w:r>
              <w:rPr>
                <w:rFonts w:ascii="Arial" w:hAnsi="Arial"/>
                <w:b w:val="0"/>
                <w:sz w:val="15"/>
              </w:rPr>
              <w:t>m5_financials_19</w:t>
            </w:r>
          </w:p>
        </w:tc>
      </w:tr>
      <w:tr>
        <w:trPr>
          <w:cantSplit w:val="true"/>
        </w:trPr>
        <w:tc>
          <w:tcPr>
            <w:tcW w:type="dxa" w:w="3515"/>
            <w:shd w:val="clear" w:color="auto" w:fill="E8EEF6"/>
          </w:tcPr>
          <w:p>
            <w:pPr>
              <w:spacing w:after="0" w:before="0"/>
            </w:pPr>
            <w:r/>
            <w:r>
              <w:rPr>
                <w:rFonts w:ascii="Arial" w:hAnsi="Arial"/>
                <w:b w:val="0"/>
                <w:sz w:val="15"/>
              </w:rPr>
              <w:t>fin.ScorecardAdjustment</w:t>
            </w:r>
          </w:p>
        </w:tc>
        <w:tc>
          <w:tcPr>
            <w:tcW w:type="dxa" w:w="10205"/>
            <w:shd w:val="clear" w:color="auto" w:fill="E8EEF6"/>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1701"/>
            <w:shd w:val="clear" w:color="auto" w:fill="E8EEF6"/>
          </w:tcPr>
          <w:p>
            <w:pPr>
              <w:spacing w:after="0" w:before="0"/>
            </w:pPr>
            <w:r/>
            <w:r>
              <w:rPr>
                <w:rFonts w:ascii="Arial" w:hAnsi="Arial"/>
                <w:b w:val="0"/>
                <w:sz w:val="15"/>
              </w:rPr>
              <w:t>m5_financials_19</w:t>
            </w:r>
          </w:p>
        </w:tc>
      </w:tr>
      <w:tr>
        <w:trPr>
          <w:cantSplit w:val="true"/>
        </w:trPr>
        <w:tc>
          <w:tcPr>
            <w:tcW w:type="dxa" w:w="3515"/>
          </w:tcPr>
          <w:p>
            <w:pPr>
              <w:spacing w:after="0" w:before="0"/>
            </w:pPr>
            <w:r/>
            <w:r>
              <w:rPr>
                <w:rFonts w:ascii="Arial" w:hAnsi="Arial"/>
                <w:b w:val="0"/>
                <w:sz w:val="15"/>
              </w:rPr>
              <w:t>fin.ScorecardItemRule</w:t>
            </w:r>
          </w:p>
        </w:tc>
        <w:tc>
          <w:tcPr>
            <w:tcW w:type="dxa" w:w="10205"/>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1701"/>
          </w:tcPr>
          <w:p>
            <w:pPr>
              <w:spacing w:after="0" w:before="0"/>
            </w:pPr>
            <w:r/>
            <w:r>
              <w:rPr>
                <w:rFonts w:ascii="Arial" w:hAnsi="Arial"/>
                <w:b w:val="0"/>
                <w:sz w:val="15"/>
              </w:rPr>
              <w:t>m5_financials_19</w:t>
            </w:r>
          </w:p>
        </w:tc>
      </w:tr>
      <w:tr>
        <w:trPr>
          <w:cantSplit w:val="true"/>
        </w:trPr>
        <w:tc>
          <w:tcPr>
            <w:tcW w:type="dxa" w:w="3515"/>
            <w:shd w:val="clear" w:color="auto" w:fill="E8EEF6"/>
          </w:tcPr>
          <w:p>
            <w:pPr>
              <w:spacing w:after="0" w:before="0"/>
            </w:pPr>
            <w:r/>
            <w:r>
              <w:rPr>
                <w:rFonts w:ascii="Arial" w:hAnsi="Arial"/>
                <w:b w:val="0"/>
                <w:sz w:val="15"/>
              </w:rPr>
              <w:t>fin.ScorecardMetric</w:t>
            </w:r>
          </w:p>
        </w:tc>
        <w:tc>
          <w:tcPr>
            <w:tcW w:type="dxa" w:w="10205"/>
            <w:shd w:val="clear" w:color="auto" w:fill="E8EEF6"/>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1701"/>
            <w:shd w:val="clear" w:color="auto" w:fill="E8EEF6"/>
          </w:tcPr>
          <w:p>
            <w:pPr>
              <w:spacing w:after="0" w:before="0"/>
            </w:pPr>
            <w:r/>
            <w:r>
              <w:rPr>
                <w:rFonts w:ascii="Arial" w:hAnsi="Arial"/>
                <w:b w:val="0"/>
                <w:sz w:val="15"/>
              </w:rPr>
              <w:t>m5_financials_19</w:t>
            </w:r>
          </w:p>
        </w:tc>
      </w:tr>
      <w:tr>
        <w:trPr>
          <w:cantSplit w:val="true"/>
        </w:trPr>
        <w:tc>
          <w:tcPr>
            <w:tcW w:type="dxa" w:w="3515"/>
          </w:tcPr>
          <w:p>
            <w:pPr>
              <w:spacing w:after="0" w:before="0"/>
            </w:pPr>
            <w:r/>
            <w:r>
              <w:rPr>
                <w:rFonts w:ascii="Arial" w:hAnsi="Arial"/>
                <w:b w:val="0"/>
                <w:sz w:val="15"/>
              </w:rPr>
              <w:t>fin.ScorecardParameter</w:t>
            </w:r>
          </w:p>
        </w:tc>
        <w:tc>
          <w:tcPr>
            <w:tcW w:type="dxa" w:w="10205"/>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1701"/>
          </w:tcPr>
          <w:p>
            <w:pPr>
              <w:spacing w:after="0" w:before="0"/>
            </w:pPr>
            <w:r/>
            <w:r>
              <w:rPr>
                <w:rFonts w:ascii="Arial" w:hAnsi="Arial"/>
                <w:b w:val="0"/>
                <w:sz w:val="15"/>
              </w:rPr>
              <w:t>m5_financials_20</w:t>
            </w:r>
          </w:p>
        </w:tc>
      </w:tr>
      <w:tr>
        <w:trPr>
          <w:cantSplit w:val="true"/>
        </w:trPr>
        <w:tc>
          <w:tcPr>
            <w:tcW w:type="dxa" w:w="3515"/>
            <w:shd w:val="clear" w:color="auto" w:fill="E8EEF6"/>
          </w:tcPr>
          <w:p>
            <w:pPr>
              <w:spacing w:after="0" w:before="0"/>
            </w:pPr>
            <w:r/>
            <w:r>
              <w:rPr>
                <w:rFonts w:ascii="Arial" w:hAnsi="Arial"/>
                <w:b w:val="0"/>
                <w:sz w:val="15"/>
              </w:rPr>
              <w:t>fin.ScorecardSubfactor</w:t>
            </w:r>
          </w:p>
        </w:tc>
        <w:tc>
          <w:tcPr>
            <w:tcW w:type="dxa" w:w="10205"/>
            <w:shd w:val="clear" w:color="auto" w:fill="E8EEF6"/>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1701"/>
            <w:shd w:val="clear" w:color="auto" w:fill="E8EEF6"/>
          </w:tcPr>
          <w:p>
            <w:pPr>
              <w:spacing w:after="0" w:before="0"/>
            </w:pPr>
            <w:r/>
            <w:r>
              <w:rPr>
                <w:rFonts w:ascii="Arial" w:hAnsi="Arial"/>
                <w:b w:val="0"/>
                <w:sz w:val="15"/>
              </w:rPr>
              <w:t>m5_financials_20</w:t>
            </w:r>
          </w:p>
        </w:tc>
      </w:tr>
      <w:tr>
        <w:trPr>
          <w:cantSplit w:val="true"/>
        </w:trPr>
        <w:tc>
          <w:tcPr>
            <w:tcW w:type="dxa" w:w="3515"/>
          </w:tcPr>
          <w:p>
            <w:pPr>
              <w:spacing w:after="0" w:before="0"/>
            </w:pPr>
            <w:r/>
            <w:r>
              <w:rPr>
                <w:rFonts w:ascii="Arial" w:hAnsi="Arial"/>
                <w:b w:val="0"/>
                <w:sz w:val="15"/>
              </w:rPr>
              <w:t>fin.ShockDriver</w:t>
            </w:r>
          </w:p>
        </w:tc>
        <w:tc>
          <w:tcPr>
            <w:tcW w:type="dxa" w:w="10205"/>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1701"/>
          </w:tcPr>
          <w:p>
            <w:pPr>
              <w:spacing w:after="0" w:before="0"/>
            </w:pPr>
            <w:r/>
            <w:r>
              <w:rPr>
                <w:rFonts w:ascii="Arial" w:hAnsi="Arial"/>
                <w:b w:val="0"/>
                <w:sz w:val="15"/>
              </w:rPr>
              <w:t>m5_financials_20</w:t>
            </w:r>
          </w:p>
        </w:tc>
      </w:tr>
      <w:tr>
        <w:trPr>
          <w:cantSplit w:val="true"/>
        </w:trPr>
        <w:tc>
          <w:tcPr>
            <w:tcW w:type="dxa" w:w="3515"/>
            <w:shd w:val="clear" w:color="auto" w:fill="E8EEF6"/>
          </w:tcPr>
          <w:p>
            <w:pPr>
              <w:spacing w:after="0" w:before="0"/>
            </w:pPr>
            <w:r/>
            <w:r>
              <w:rPr>
                <w:rFonts w:ascii="Arial" w:hAnsi="Arial"/>
                <w:b w:val="0"/>
                <w:sz w:val="15"/>
              </w:rPr>
              <w:t>fin.StandardLine</w:t>
            </w:r>
          </w:p>
        </w:tc>
        <w:tc>
          <w:tcPr>
            <w:tcW w:type="dxa" w:w="10205"/>
            <w:shd w:val="clear" w:color="auto" w:fill="E8EEF6"/>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701"/>
            <w:shd w:val="clear" w:color="auto" w:fill="E8EEF6"/>
          </w:tcPr>
          <w:p>
            <w:pPr>
              <w:spacing w:after="0" w:before="0"/>
            </w:pPr>
            <w:r/>
            <w:r>
              <w:rPr>
                <w:rFonts w:ascii="Arial" w:hAnsi="Arial"/>
                <w:b w:val="0"/>
                <w:sz w:val="15"/>
              </w:rPr>
              <w:t>m5_financials_20</w:t>
            </w:r>
          </w:p>
        </w:tc>
      </w:tr>
      <w:tr>
        <w:trPr>
          <w:cantSplit w:val="true"/>
        </w:trPr>
        <w:tc>
          <w:tcPr>
            <w:tcW w:type="dxa" w:w="3515"/>
          </w:tcPr>
          <w:p>
            <w:pPr>
              <w:spacing w:after="0" w:before="0"/>
            </w:pPr>
            <w:r/>
            <w:r>
              <w:rPr>
                <w:rFonts w:ascii="Arial" w:hAnsi="Arial"/>
                <w:b w:val="0"/>
                <w:sz w:val="15"/>
              </w:rPr>
              <w:t>fin.StandardLineTotal</w:t>
            </w:r>
          </w:p>
        </w:tc>
        <w:tc>
          <w:tcPr>
            <w:tcW w:type="dxa" w:w="10205"/>
          </w:tcPr>
          <w:p>
            <w:pPr>
              <w:spacing w:after="0" w:before="0"/>
            </w:pPr>
            <w:r/>
            <w:r>
              <w:rPr>
                <w:rFonts w:ascii="Arial" w:hAnsi="Arial"/>
                <w:b w:val="0"/>
                <w:sz w:val="15"/>
              </w:rPr>
              <w:t>The components of a standard total and their sign, so a total is recomputed after a pro-forma change (docs/35 section 12)</w:t>
            </w:r>
          </w:p>
        </w:tc>
        <w:tc>
          <w:tcPr>
            <w:tcW w:type="dxa" w:w="1701"/>
          </w:tcPr>
          <w:p>
            <w:pPr>
              <w:spacing w:after="0" w:before="0"/>
            </w:pPr>
            <w:r/>
            <w:r>
              <w:rPr>
                <w:rFonts w:ascii="Arial" w:hAnsi="Arial"/>
                <w:b w:val="0"/>
                <w:sz w:val="15"/>
              </w:rPr>
              <w:t>m5_financials_21</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m5_financials_21</w:t>
            </w:r>
          </w:p>
        </w:tc>
      </w:tr>
      <w:tr>
        <w:trPr>
          <w:cantSplit w:val="true"/>
        </w:trPr>
        <w:tc>
          <w:tcPr>
            <w:tcW w:type="dxa" w:w="3515"/>
          </w:tcPr>
          <w:p>
            <w:pPr>
              <w:spacing w:after="0" w:before="0"/>
            </w:pPr>
            <w:r/>
            <w:r>
              <w:rPr>
                <w:rFonts w:ascii="Arial" w:hAnsi="Arial"/>
                <w:b w:val="0"/>
                <w:sz w:val="15"/>
              </w:rPr>
              <w:t>fin.StatementRatio</w:t>
            </w:r>
          </w:p>
        </w:tc>
        <w:tc>
          <w:tcPr>
            <w:tcW w:type="dxa" w:w="10205"/>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1701"/>
          </w:tcPr>
          <w:p>
            <w:pPr>
              <w:spacing w:after="0" w:before="0"/>
            </w:pPr>
            <w:r/>
            <w:r>
              <w:rPr>
                <w:rFonts w:ascii="Arial" w:hAnsi="Arial"/>
                <w:b w:val="0"/>
                <w:sz w:val="15"/>
              </w:rPr>
              <w:t>m5_financials_21</w:t>
            </w:r>
          </w:p>
        </w:tc>
      </w:tr>
      <w:tr>
        <w:trPr>
          <w:cantSplit w:val="true"/>
        </w:trPr>
        <w:tc>
          <w:tcPr>
            <w:tcW w:type="dxa" w:w="3515"/>
            <w:shd w:val="clear" w:color="auto" w:fill="E8EEF6"/>
          </w:tcPr>
          <w:p>
            <w:pPr>
              <w:spacing w:after="0" w:before="0"/>
            </w:pPr>
            <w:r/>
            <w:r>
              <w:rPr>
                <w:rFonts w:ascii="Arial" w:hAnsi="Arial"/>
                <w:b w:val="0"/>
                <w:sz w:val="15"/>
              </w:rPr>
              <w:t>fin.StrengtheningPlan</w:t>
            </w:r>
          </w:p>
        </w:tc>
        <w:tc>
          <w:tcPr>
            <w:tcW w:type="dxa" w:w="10205"/>
            <w:shd w:val="clear" w:color="auto" w:fill="E8EEF6"/>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1701"/>
            <w:shd w:val="clear" w:color="auto" w:fill="E8EEF6"/>
          </w:tcPr>
          <w:p>
            <w:pPr>
              <w:spacing w:after="0" w:before="0"/>
            </w:pPr>
            <w:r/>
            <w:r>
              <w:rPr>
                <w:rFonts w:ascii="Arial" w:hAnsi="Arial"/>
                <w:b w:val="0"/>
                <w:sz w:val="15"/>
              </w:rPr>
              <w:t>m5_financials_21</w:t>
            </w:r>
          </w:p>
        </w:tc>
      </w:tr>
      <w:tr>
        <w:trPr>
          <w:cantSplit w:val="true"/>
        </w:trPr>
        <w:tc>
          <w:tcPr>
            <w:tcW w:type="dxa" w:w="3515"/>
          </w:tcPr>
          <w:p>
            <w:pPr>
              <w:spacing w:after="0" w:before="0"/>
            </w:pPr>
            <w:r/>
            <w:r>
              <w:rPr>
                <w:rFonts w:ascii="Arial" w:hAnsi="Arial"/>
                <w:b w:val="0"/>
                <w:sz w:val="15"/>
              </w:rPr>
              <w:t>fin.StrengtheningPlanMember</w:t>
            </w:r>
          </w:p>
        </w:tc>
        <w:tc>
          <w:tcPr>
            <w:tcW w:type="dxa" w:w="10205"/>
          </w:tcPr>
          <w:p>
            <w:pPr>
              <w:spacing w:after="0" w:before="0"/>
            </w:pPr>
            <w:r/>
            <w:r>
              <w:rPr>
                <w:rFonts w:ascii="Arial" w:hAnsi="Arial"/>
                <w:b w:val="0"/>
                <w:sz w:val="15"/>
              </w:rPr>
              <w:t>A remedy of a package plan, in the order the plan applies it</w:t>
            </w:r>
          </w:p>
        </w:tc>
        <w:tc>
          <w:tcPr>
            <w:tcW w:type="dxa" w:w="1701"/>
          </w:tcPr>
          <w:p>
            <w:pPr>
              <w:spacing w:after="0" w:before="0"/>
            </w:pPr>
            <w:r/>
            <w:r>
              <w:rPr>
                <w:rFonts w:ascii="Arial" w:hAnsi="Arial"/>
                <w:b w:val="0"/>
                <w:sz w:val="15"/>
              </w:rPr>
              <w:t>m5_financials_22</w:t>
            </w:r>
          </w:p>
        </w:tc>
      </w:tr>
      <w:tr>
        <w:trPr>
          <w:cantSplit w:val="true"/>
        </w:trPr>
        <w:tc>
          <w:tcPr>
            <w:tcW w:type="dxa" w:w="3515"/>
            <w:shd w:val="clear" w:color="auto" w:fill="E8EEF6"/>
          </w:tcPr>
          <w:p>
            <w:pPr>
              <w:spacing w:after="0" w:before="0"/>
            </w:pPr>
            <w:r/>
            <w:r>
              <w:rPr>
                <w:rFonts w:ascii="Arial" w:hAnsi="Arial"/>
                <w:b w:val="0"/>
                <w:sz w:val="15"/>
              </w:rPr>
              <w:t>ins.Contact</w:t>
            </w:r>
          </w:p>
        </w:tc>
        <w:tc>
          <w:tcPr>
            <w:tcW w:type="dxa" w:w="10205"/>
            <w:shd w:val="clear" w:color="auto" w:fill="E8EEF6"/>
          </w:tcPr>
          <w:p>
            <w:pPr>
              <w:spacing w:after="0" w:before="0"/>
            </w:pPr>
            <w:r/>
            <w:r>
              <w:rPr>
                <w:rFonts w:ascii="Arial" w:hAnsi="Arial"/>
                <w:b w:val="0"/>
                <w:sz w:val="15"/>
              </w:rPr>
              <w:t>Contact at a bank: a lightweight record with no identity; PartyId is optional, for promotion (FR-INS-007/008, BR-INS-005/006/014)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w:t>
            </w:r>
          </w:p>
        </w:tc>
        <w:tc>
          <w:tcPr>
            <w:tcW w:type="dxa" w:w="10205"/>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ins.InstitutionUnit</w:t>
            </w:r>
          </w:p>
        </w:tc>
        <w:tc>
          <w:tcPr>
            <w:tcW w:type="dxa" w:w="10205"/>
            <w:shd w:val="clear" w:color="auto" w:fill="E8EEF6"/>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ins.Relationship</w:t>
            </w:r>
          </w:p>
        </w:tc>
        <w:tc>
          <w:tcPr>
            <w:tcW w:type="dxa" w:w="10205"/>
          </w:tcPr>
          <w:p>
            <w:pPr>
              <w:spacing w:after="0" w:before="0"/>
            </w:pPr>
            <w:r/>
            <w:r>
              <w:rPr>
                <w:rFonts w:ascii="Arial" w:hAnsi="Arial"/>
                <w:b w:val="0"/>
                <w:sz w:val="15"/>
              </w:rPr>
              <w:t>Company–institution relationship (D-4); unique regardless of status (FR-INS-009, BR-INS-007/011)</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ins.RelationshipContact</w:t>
            </w:r>
          </w:p>
        </w:tc>
        <w:tc>
          <w:tcPr>
            <w:tcW w:type="dxa" w:w="10205"/>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ins.RelationshipProduct</w:t>
            </w:r>
          </w:p>
        </w:tc>
        <w:tc>
          <w:tcPr>
            <w:tcW w:type="dxa" w:w="10205"/>
          </w:tcPr>
          <w:p>
            <w:pPr>
              <w:spacing w:after="0" w:before="0"/>
            </w:pPr>
            <w:r/>
            <w:r>
              <w:rPr>
                <w:rFonts w:ascii="Arial" w:hAnsi="Arial"/>
                <w:b w:val="0"/>
                <w:sz w:val="15"/>
              </w:rPr>
              <w:t>Product handled within a relationship, with a default contact and channel (FR-INS-011..013, BR-INS-010)</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lc.Counterparty</w:t>
            </w:r>
          </w:p>
        </w:tc>
        <w:tc>
          <w:tcPr>
            <w:tcW w:type="dxa" w:w="10205"/>
            <w:shd w:val="clear" w:color="auto" w:fill="E8EEF6"/>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lc.LcAmendment</w:t>
            </w:r>
          </w:p>
        </w:tc>
        <w:tc>
          <w:tcPr>
            <w:tcW w:type="dxa" w:w="10205"/>
          </w:tcPr>
          <w:p>
            <w:pPr>
              <w:spacing w:after="0" w:before="0"/>
            </w:pPr>
            <w:r/>
            <w:r>
              <w:rPr>
                <w:rFonts w:ascii="Arial" w:hAnsi="Arial"/>
                <w:b w:val="0"/>
                <w:sz w:val="15"/>
              </w:rPr>
              <w:t>Amendment to an issued or received letter of credit (FR-LCI-018/019, FR-LCE-020, BR-LCI-011/012, BR-LCE-014); statuses in section 8</w:t>
            </w:r>
          </w:p>
        </w:tc>
        <w:tc>
          <w:tcPr>
            <w:tcW w:type="dxa" w:w="1701"/>
          </w:tcPr>
          <w:p>
            <w:pPr>
              <w:spacing w:after="0" w:before="0"/>
            </w:pPr>
            <w:r/>
            <w:r>
              <w:rPr>
                <w:rFonts w:ascii="Arial" w:hAnsi="Arial"/>
                <w:b w:val="0"/>
                <w:sz w:val="15"/>
              </w:rPr>
              <w:t>m7_8_lc_ops_4</w:t>
            </w:r>
          </w:p>
        </w:tc>
      </w:tr>
      <w:tr>
        <w:trPr>
          <w:cantSplit w:val="true"/>
        </w:trPr>
        <w:tc>
          <w:tcPr>
            <w:tcW w:type="dxa" w:w="3515"/>
            <w:shd w:val="clear" w:color="auto" w:fill="E8EEF6"/>
          </w:tcPr>
          <w:p>
            <w:pPr>
              <w:spacing w:after="0" w:before="0"/>
            </w:pPr>
            <w:r/>
            <w:r>
              <w:rPr>
                <w:rFonts w:ascii="Arial" w:hAnsi="Arial"/>
                <w:b w:val="0"/>
                <w:sz w:val="15"/>
              </w:rPr>
              <w:t>lc.LcChargesMatrix</w:t>
            </w:r>
          </w:p>
        </w:tc>
        <w:tc>
          <w:tcPr>
            <w:tcW w:type="dxa" w:w="10205"/>
            <w:shd w:val="clear" w:color="auto" w:fill="E8EEF6"/>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1701"/>
            <w:shd w:val="clear" w:color="auto" w:fill="E8EEF6"/>
          </w:tcPr>
          <w:p>
            <w:pPr>
              <w:spacing w:after="0" w:before="0"/>
            </w:pPr>
            <w:r/>
            <w:r>
              <w:rPr>
                <w:rFonts w:ascii="Arial" w:hAnsi="Arial"/>
                <w:b w:val="0"/>
                <w:sz w:val="15"/>
              </w:rPr>
              <w:t>m7_8_lc_terms_4</w:t>
            </w:r>
          </w:p>
        </w:tc>
      </w:tr>
      <w:tr>
        <w:trPr>
          <w:cantSplit w:val="true"/>
        </w:trPr>
        <w:tc>
          <w:tcPr>
            <w:tcW w:type="dxa" w:w="3515"/>
          </w:tcPr>
          <w:p>
            <w:pPr>
              <w:spacing w:after="0" w:before="0"/>
            </w:pPr>
            <w:r/>
            <w:r>
              <w:rPr>
                <w:rFonts w:ascii="Arial" w:hAnsi="Arial"/>
                <w:b w:val="0"/>
                <w:sz w:val="15"/>
              </w:rPr>
              <w:t>lc.LcDiscrepancy</w:t>
            </w:r>
          </w:p>
        </w:tc>
        <w:tc>
          <w:tcPr>
            <w:tcW w:type="dxa" w:w="10205"/>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tcPr>
          <w:p>
            <w:pPr>
              <w:spacing w:after="0" w:before="0"/>
            </w:pPr>
            <w:r/>
            <w:r>
              <w:rPr>
                <w:rFonts w:ascii="Arial" w:hAnsi="Arial"/>
                <w:b w:val="0"/>
                <w:sz w:val="15"/>
              </w:rPr>
              <w:t>m7_8_lc_ops_6</w:t>
            </w:r>
          </w:p>
        </w:tc>
      </w:tr>
      <w:tr>
        <w:trPr>
          <w:cantSplit w:val="true"/>
        </w:trPr>
        <w:tc>
          <w:tcPr>
            <w:tcW w:type="dxa" w:w="3515"/>
            <w:shd w:val="clear" w:color="auto" w:fill="E8EEF6"/>
          </w:tcPr>
          <w:p>
            <w:pPr>
              <w:spacing w:after="0" w:before="0"/>
            </w:pPr>
            <w:r/>
            <w:r>
              <w:rPr>
                <w:rFonts w:ascii="Arial" w:hAnsi="Arial"/>
                <w:b w:val="0"/>
                <w:sz w:val="15"/>
              </w:rPr>
              <w:t>lc.LcDocumentClause</w:t>
            </w:r>
          </w:p>
        </w:tc>
        <w:tc>
          <w:tcPr>
            <w:tcW w:type="dxa" w:w="10205"/>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lc.LcDocumentClauseUcpRef</w:t>
            </w:r>
          </w:p>
        </w:tc>
        <w:tc>
          <w:tcPr>
            <w:tcW w:type="dxa" w:w="10205"/>
          </w:tcPr>
          <w:p>
            <w:pPr>
              <w:spacing w:after="0" w:before="0"/>
            </w:pPr>
            <w:r/>
            <w:r>
              <w:rPr>
                <w:rFonts w:ascii="Arial" w:hAnsi="Arial"/>
                <w:b w:val="0"/>
                <w:sz w:val="15"/>
              </w:rPr>
              <w:t>UCP 600 reference for a document clause: article and paragraph (UcpRefs in specification)</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lc.LcDrawing</w:t>
            </w:r>
          </w:p>
        </w:tc>
        <w:tc>
          <w:tcPr>
            <w:tcW w:type="dxa" w:w="10205"/>
            <w:shd w:val="clear" w:color="auto" w:fill="E8EEF6"/>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lc.LcDrawingAllocation</w:t>
            </w:r>
          </w:p>
        </w:tc>
        <w:tc>
          <w:tcPr>
            <w:tcW w:type="dxa" w:w="10205"/>
          </w:tcPr>
          <w:p>
            <w:pPr>
              <w:spacing w:after="0" w:before="0"/>
            </w:pPr>
            <w:r/>
            <w:r>
              <w:rPr>
                <w:rFonts w:ascii="Arial" w:hAnsi="Arial"/>
                <w:b w:val="0"/>
                <w:sz w:val="15"/>
              </w:rPr>
              <w:t>Allocation of an export drawing across sales orders (FR-LCE-016/017, BR-LCE-011/013)</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lc.LcExternalRef</w:t>
            </w:r>
          </w:p>
        </w:tc>
        <w:tc>
          <w:tcPr>
            <w:tcW w:type="dxa" w:w="10205"/>
            <w:shd w:val="clear" w:color="auto" w:fill="E8EEF6"/>
          </w:tcPr>
          <w:p>
            <w:pPr>
              <w:spacing w:after="0" w:before="0"/>
            </w:pPr>
            <w:r/>
            <w:r>
              <w:rPr>
                <w:rFonts w:ascii="Arial" w:hAnsi="Arial"/>
                <w:b w:val="0"/>
                <w:sz w:val="15"/>
              </w:rPr>
              <w:t>External reference for a credit (ERP and similar); no uniqueness; search on the normalised value (FR-LCI-013, BR-REQ-006)</w:t>
            </w:r>
          </w:p>
        </w:tc>
        <w:tc>
          <w:tcPr>
            <w:tcW w:type="dxa" w:w="1701"/>
            <w:shd w:val="clear" w:color="auto" w:fill="E8EEF6"/>
          </w:tcPr>
          <w:p>
            <w:pPr>
              <w:spacing w:after="0" w:before="0"/>
            </w:pPr>
            <w:r/>
            <w:r>
              <w:rPr>
                <w:rFonts w:ascii="Arial" w:hAnsi="Arial"/>
                <w:b w:val="0"/>
                <w:sz w:val="15"/>
              </w:rPr>
              <w:t>m7_8_lc_ops_3</w:t>
            </w:r>
          </w:p>
        </w:tc>
      </w:tr>
      <w:tr>
        <w:trPr>
          <w:cantSplit w:val="true"/>
        </w:trPr>
        <w:tc>
          <w:tcPr>
            <w:tcW w:type="dxa" w:w="3515"/>
          </w:tcPr>
          <w:p>
            <w:pPr>
              <w:spacing w:after="0" w:before="0"/>
            </w:pPr>
            <w:r/>
            <w:r>
              <w:rPr>
                <w:rFonts w:ascii="Arial" w:hAnsi="Arial"/>
                <w:b w:val="0"/>
                <w:sz w:val="15"/>
              </w:rPr>
              <w:t>lc.LcFieldDefinition</w:t>
            </w:r>
          </w:p>
        </w:tc>
        <w:tc>
          <w:tcPr>
            <w:tcW w:type="dxa" w:w="10205"/>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lc.LcFieldUcpRef</w:t>
            </w:r>
          </w:p>
        </w:tc>
        <w:tc>
          <w:tcPr>
            <w:tcW w:type="dxa" w:w="10205"/>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lc.LcFormFieldMap</w:t>
            </w:r>
          </w:p>
        </w:tc>
        <w:tc>
          <w:tcPr>
            <w:tcW w:type="dxa" w:w="10205"/>
          </w:tcPr>
          <w:p>
            <w:pPr>
              <w:spacing w:after="0" w:before="0"/>
            </w:pPr>
            <w:r/>
            <w:r>
              <w:rPr>
                <w:rFonts w:ascii="Arial" w:hAnsi="Arial"/>
                <w:b w:val="0"/>
                <w:sz w:val="15"/>
              </w:rPr>
              <w:t>Mapping of a system field to a PDF field or a portal-form item (FR-LCT-027, BR-LCT-020)</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lc.LcFormTemplate</w:t>
            </w:r>
          </w:p>
        </w:tc>
        <w:tc>
          <w:tcPr>
            <w:tcW w:type="dxa" w:w="10205"/>
            <w:shd w:val="clear" w:color="auto" w:fill="E8EEF6"/>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lc.LcSalesOrder</w:t>
            </w:r>
          </w:p>
        </w:tc>
        <w:tc>
          <w:tcPr>
            <w:tcW w:type="dxa" w:w="10205"/>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lc.LcTerms</w:t>
            </w:r>
          </w:p>
        </w:tc>
        <w:tc>
          <w:tcPr>
            <w:tcW w:type="dxa" w:w="10205"/>
            <w:shd w:val="clear" w:color="auto" w:fill="E8EEF6"/>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1701"/>
            <w:shd w:val="clear" w:color="auto" w:fill="E8EEF6"/>
          </w:tcPr>
          <w:p>
            <w:pPr>
              <w:spacing w:after="0" w:before="0"/>
            </w:pPr>
            <w:r/>
            <w:r>
              <w:rPr>
                <w:rFonts w:ascii="Arial" w:hAnsi="Arial"/>
                <w:b w:val="0"/>
                <w:sz w:val="15"/>
              </w:rPr>
              <w:t>m7_8_lc_terms_2</w:t>
            </w:r>
          </w:p>
        </w:tc>
      </w:tr>
      <w:tr>
        <w:trPr>
          <w:cantSplit w:val="true"/>
        </w:trPr>
        <w:tc>
          <w:tcPr>
            <w:tcW w:type="dxa" w:w="3515"/>
          </w:tcPr>
          <w:p>
            <w:pPr>
              <w:spacing w:after="0" w:before="0"/>
            </w:pPr>
            <w:r/>
            <w:r>
              <w:rPr>
                <w:rFonts w:ascii="Arial" w:hAnsi="Arial"/>
                <w:b w:val="0"/>
                <w:sz w:val="15"/>
              </w:rPr>
              <w:t>lc.LcTermsComparison</w:t>
            </w:r>
          </w:p>
        </w:tc>
        <w:tc>
          <w:tcPr>
            <w:tcW w:type="dxa" w:w="10205"/>
          </w:tcPr>
          <w:p>
            <w:pPr>
              <w:spacing w:after="0" w:before="0"/>
            </w:pPr>
            <w:r/>
            <w:r>
              <w:rPr>
                <w:rFonts w:ascii="Arial" w:hAnsi="Arial"/>
                <w:b w:val="0"/>
                <w:sz w:val="15"/>
              </w:rPr>
              <w:t>Result of comparing received credit terms with the proforma (FR-LCT-031, FR-LCE-023,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lc.LcTermsComparisonLine</w:t>
            </w:r>
          </w:p>
        </w:tc>
        <w:tc>
          <w:tcPr>
            <w:tcW w:type="dxa" w:w="10205"/>
            <w:shd w:val="clear" w:color="auto" w:fill="E8EEF6"/>
          </w:tcPr>
          <w:p>
            <w:pPr>
              <w:spacing w:after="0" w:before="0"/>
            </w:pPr>
            <w:r/>
            <w:r>
              <w:rPr>
                <w:rFonts w:ascii="Arial" w:hAnsi="Arial"/>
                <w:b w:val="0"/>
                <w:sz w:val="15"/>
              </w:rPr>
              <w:t>One field difference, its verdict and the treasury decision (FR-LCT-031,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lc.LcTermsDocument</w:t>
            </w:r>
          </w:p>
        </w:tc>
        <w:tc>
          <w:tcPr>
            <w:tcW w:type="dxa" w:w="10205"/>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1701"/>
          </w:tcPr>
          <w:p>
            <w:pPr>
              <w:spacing w:after="0" w:before="0"/>
            </w:pPr>
            <w:r/>
            <w:r>
              <w:rPr>
                <w:rFonts w:ascii="Arial" w:hAnsi="Arial"/>
                <w:b w:val="0"/>
                <w:sz w:val="15"/>
              </w:rPr>
              <w:t>m7_8_lc_terms_3</w:t>
            </w:r>
          </w:p>
        </w:tc>
      </w:tr>
      <w:tr>
        <w:trPr>
          <w:cantSplit w:val="true"/>
        </w:trPr>
        <w:tc>
          <w:tcPr>
            <w:tcW w:type="dxa" w:w="3515"/>
            <w:shd w:val="clear" w:color="auto" w:fill="E8EEF6"/>
          </w:tcPr>
          <w:p>
            <w:pPr>
              <w:spacing w:after="0" w:before="0"/>
            </w:pPr>
            <w:r/>
            <w:r>
              <w:rPr>
                <w:rFonts w:ascii="Arial" w:hAnsi="Arial"/>
                <w:b w:val="0"/>
                <w:sz w:val="15"/>
              </w:rPr>
              <w:t>lc.LetterOfCredit</w:t>
            </w:r>
          </w:p>
        </w:tc>
        <w:tc>
          <w:tcPr>
            <w:tcW w:type="dxa" w:w="10205"/>
            <w:shd w:val="clear" w:color="auto" w:fill="E8EEF6"/>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shd w:val="clear" w:color="auto" w:fill="E8EEF6"/>
          </w:tcPr>
          <w:p>
            <w:pPr>
              <w:spacing w:after="0" w:before="0"/>
            </w:pPr>
            <w:r/>
            <w:r>
              <w:rPr>
                <w:rFonts w:ascii="Arial" w:hAnsi="Arial"/>
                <w:b w:val="0"/>
                <w:sz w:val="15"/>
              </w:rPr>
              <w:t>m7_8_lc_ops_2</w:t>
            </w:r>
          </w:p>
        </w:tc>
      </w:tr>
      <w:tr>
        <w:trPr>
          <w:cantSplit w:val="true"/>
        </w:trPr>
        <w:tc>
          <w:tcPr>
            <w:tcW w:type="dxa" w:w="3515"/>
          </w:tcPr>
          <w:p>
            <w:pPr>
              <w:spacing w:after="0" w:before="0"/>
            </w:pPr>
            <w:r/>
            <w:r>
              <w:rPr>
                <w:rFonts w:ascii="Arial" w:hAnsi="Arial"/>
                <w:b w:val="0"/>
                <w:sz w:val="15"/>
              </w:rPr>
              <w:t>lc.ProformaInvoice</w:t>
            </w:r>
          </w:p>
        </w:tc>
        <w:tc>
          <w:tcPr>
            <w:tcW w:type="dxa" w:w="10205"/>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tcPr>
          <w:p>
            <w:pPr>
              <w:spacing w:after="0" w:before="0"/>
            </w:pPr>
            <w:r/>
            <w:r>
              <w:rPr>
                <w:rFonts w:ascii="Arial" w:hAnsi="Arial"/>
                <w:b w:val="0"/>
                <w:sz w:val="15"/>
              </w:rPr>
              <w:t>m7_8_lc_ops_7</w:t>
            </w:r>
          </w:p>
        </w:tc>
      </w:tr>
      <w:tr>
        <w:trPr>
          <w:cantSplit w:val="true"/>
        </w:trPr>
        <w:tc>
          <w:tcPr>
            <w:tcW w:type="dxa" w:w="3515"/>
            <w:shd w:val="clear" w:color="auto" w:fill="E8EEF6"/>
          </w:tcPr>
          <w:p>
            <w:pPr>
              <w:spacing w:after="0" w:before="0"/>
            </w:pPr>
            <w:r/>
            <w:r>
              <w:rPr>
                <w:rFonts w:ascii="Arial" w:hAnsi="Arial"/>
                <w:b w:val="0"/>
                <w:sz w:val="15"/>
              </w:rPr>
              <w:t>lc.ProformaLine</w:t>
            </w:r>
          </w:p>
        </w:tc>
        <w:tc>
          <w:tcPr>
            <w:tcW w:type="dxa" w:w="10205"/>
            <w:shd w:val="clear" w:color="auto" w:fill="E8EEF6"/>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1701"/>
            <w:shd w:val="clear" w:color="auto" w:fill="E8EEF6"/>
          </w:tcPr>
          <w:p>
            <w:pPr>
              <w:spacing w:after="0" w:before="0"/>
            </w:pPr>
            <w:r/>
            <w:r>
              <w:rPr>
                <w:rFonts w:ascii="Arial" w:hAnsi="Arial"/>
                <w:b w:val="0"/>
                <w:sz w:val="15"/>
              </w:rPr>
              <w:t>m7_8_lc_ops_8</w:t>
            </w:r>
          </w:p>
        </w:tc>
      </w:tr>
      <w:tr>
        <w:trPr>
          <w:cantSplit w:val="true"/>
        </w:trPr>
        <w:tc>
          <w:tcPr>
            <w:tcW w:type="dxa" w:w="3515"/>
          </w:tcPr>
          <w:p>
            <w:pPr>
              <w:spacing w:after="0" w:before="0"/>
            </w:pPr>
            <w:r/>
            <w:r>
              <w:rPr>
                <w:rFonts w:ascii="Arial" w:hAnsi="Arial"/>
                <w:b w:val="0"/>
                <w:sz w:val="15"/>
              </w:rPr>
              <w:t>ntf.DigestBatch</w:t>
            </w:r>
          </w:p>
        </w:tc>
        <w:tc>
          <w:tcPr>
            <w:tcW w:type="dxa" w:w="10205"/>
          </w:tcPr>
          <w:p>
            <w:pPr>
              <w:spacing w:after="0" w:before="0"/>
            </w:pPr>
            <w:r/>
            <w:r>
              <w:rPr>
                <w:rFonts w:ascii="Arial" w:hAnsi="Arial"/>
                <w:b w:val="0"/>
                <w:sz w:val="15"/>
              </w:rPr>
              <w:t>Digest batch for a user, channel and period; never sent empty (FR-NTF-014, BR-NTF-004, JOB-NTF-DIGEST)</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w:t>
            </w:r>
          </w:p>
        </w:tc>
        <w:tc>
          <w:tcPr>
            <w:tcW w:type="dxa" w:w="10205"/>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ntf.NotificationDelivery</w:t>
            </w:r>
          </w:p>
        </w:tc>
        <w:tc>
          <w:tcPr>
            <w:tcW w:type="dxa" w:w="10205"/>
          </w:tcPr>
          <w:p>
            <w:pPr>
              <w:spacing w:after="0" w:before="0"/>
            </w:pPr>
            <w:r/>
            <w:r>
              <w:rPr>
                <w:rFonts w:ascii="Arial" w:hAnsi="Arial"/>
                <w:b w:val="0"/>
                <w:sz w:val="15"/>
              </w:rPr>
              <w:t>Delivery of a notification per channel, with status and retries (FR-NTF-019, BR-NTF-009, section 8)</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ntf.NotificationEventType</w:t>
            </w:r>
          </w:p>
        </w:tc>
        <w:tc>
          <w:tcPr>
            <w:tcW w:type="dxa" w:w="10205"/>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ntf.NotificationPreference</w:t>
            </w:r>
          </w:p>
        </w:tc>
        <w:tc>
          <w:tcPr>
            <w:tcW w:type="dxa" w:w="10205"/>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ntf.NotificationRule</w:t>
            </w:r>
          </w:p>
        </w:tc>
        <w:tc>
          <w:tcPr>
            <w:tcW w:type="dxa" w:w="10205"/>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ntf.NotificationTemplate</w:t>
            </w:r>
          </w:p>
        </w:tc>
        <w:tc>
          <w:tcPr>
            <w:tcW w:type="dxa" w:w="10205"/>
          </w:tcPr>
          <w:p>
            <w:pPr>
              <w:spacing w:after="0" w:before="0"/>
            </w:pPr>
            <w:r/>
            <w:r>
              <w:rPr>
                <w:rFonts w:ascii="Arial" w:hAnsi="Arial"/>
                <w:b w:val="0"/>
                <w:sz w:val="15"/>
              </w:rPr>
              <w:t>Message template per (event, channel, language); deleting it reverts to the seed template (FR-NTF-012, FR-NTF-025)</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obl.Covenant</w:t>
            </w:r>
          </w:p>
        </w:tc>
        <w:tc>
          <w:tcPr>
            <w:tcW w:type="dxa" w:w="10205"/>
            <w:shd w:val="clear" w:color="auto" w:fill="E8EEF6"/>
          </w:tcPr>
          <w:p>
            <w:pPr>
              <w:spacing w:after="0" w:before="0"/>
            </w:pPr>
            <w:r/>
            <w:r>
              <w:rPr>
                <w:rFonts w:ascii="Arial" w:hAnsi="Arial"/>
                <w:b w:val="0"/>
                <w:sz w:val="15"/>
              </w:rPr>
              <w:t>Covenant revision with dates; graduated limits are several revisions (FR-OBL-006, BR-OBL-001/005/006, Q-OBL-01)</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obl.CovenantAccount</w:t>
            </w:r>
          </w:p>
        </w:tc>
        <w:tc>
          <w:tcPr>
            <w:tcW w:type="dxa" w:w="10205"/>
          </w:tcPr>
          <w:p>
            <w:pPr>
              <w:spacing w:after="0" w:before="0"/>
            </w:pPr>
            <w:r/>
            <w:r>
              <w:rPr>
                <w:rFonts w:ascii="Arial" w:hAnsi="Arial"/>
                <w:b w:val="0"/>
                <w:sz w:val="15"/>
              </w:rPr>
              <w:t>Accounts covered by a covenant when specific accounts are selected (AccountIds)</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w:t>
            </w:r>
          </w:p>
        </w:tc>
        <w:tc>
          <w:tcPr>
            <w:tcW w:type="dxa" w:w="10205"/>
            <w:shd w:val="clear" w:color="auto" w:fill="E8EEF6"/>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obl.CovenantTestStatement</w:t>
            </w:r>
          </w:p>
        </w:tc>
        <w:tc>
          <w:tcPr>
            <w:tcW w:type="dxa" w:w="10205"/>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plat.OperatorSession</w:t>
            </w:r>
          </w:p>
        </w:tc>
        <w:tc>
          <w:tcPr>
            <w:tcW w:type="dxa" w:w="10205"/>
          </w:tcPr>
          <w:p>
            <w:pPr>
              <w:spacing w:after="0" w:before="0"/>
            </w:pPr>
            <w:r/>
            <w:r>
              <w:rPr>
                <w:rFonts w:ascii="Arial" w:hAnsi="Arial"/>
                <w:b w:val="0"/>
                <w:sz w:val="15"/>
              </w:rPr>
              <w:t>Platform operator sessions: 15-minute idle and 8-hour absolute timeout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plat.OperatorToken</w:t>
            </w:r>
          </w:p>
        </w:tc>
        <w:tc>
          <w:tcPr>
            <w:tcW w:type="dxa" w:w="10205"/>
            <w:shd w:val="clear" w:color="auto" w:fill="E8EEF6"/>
          </w:tcPr>
          <w:p>
            <w:pPr>
              <w:spacing w:after="0" w:before="0"/>
            </w:pPr>
            <w:r/>
            <w:r>
              <w:rPr>
                <w:rFonts w:ascii="Arial" w:hAnsi="Arial"/>
                <w:b w:val="0"/>
                <w:sz w:val="15"/>
              </w:rPr>
              <w:t>One-time operator set-up links: password and MFA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plat.SchemaMigration</w:t>
            </w:r>
          </w:p>
        </w:tc>
        <w:tc>
          <w:tcPr>
            <w:tcW w:type="dxa" w:w="10205"/>
          </w:tcPr>
          <w:p>
            <w:pPr>
              <w:spacing w:after="0" w:before="0"/>
            </w:pPr>
            <w:r/>
            <w:r>
              <w:rPr>
                <w:rFonts w:ascii="Arial" w:hAnsi="Arial"/>
                <w:b w:val="0"/>
                <w:sz w:val="15"/>
              </w:rPr>
              <w:t>Journal of the schema scripts applied to this database (DOC-B11 section 6)</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ref.Industry</w:t>
            </w:r>
          </w:p>
        </w:tc>
        <w:tc>
          <w:tcPr>
            <w:tcW w:type="dxa" w:w="10205"/>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255</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936</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211</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725</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644</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81</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662</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804</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97</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