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(255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4,200 مُعرَّفة في النماذج + الأعمدة الآلية = </w:t>
            </w:r>
            <w:r>
              <w:rPr>
                <w:rFonts w:ascii="Arial" w:cs="Arial" w:eastAsia="Arial" w:hAnsi="Arial"/>
                <w:b/>
                <w:bCs/>
                <w:sz w:val="18"/>
                <w:szCs w:val="18"/>
                <w:rtl/>
              </w:rPr>
              <w:t xml:space="preserve">4,821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936</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1,494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AssessmentEvidencePack</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ReceivableLossRate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ReportingPeriodLock</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4,200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150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AC6،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2026-10-21T01:38:19.467Z</dcterms:created>
  <dcterms:modified xsi:type="dcterms:W3CDTF">2026-10-21T01:38:19.467Z</dcterms:modified>
</cp:coreProperties>
</file>

<file path=docProps/custom.xml><?xml version="1.0" encoding="utf-8"?>
<Properties xmlns="http://schemas.openxmlformats.org/officeDocument/2006/custom-properties" xmlns:vt="http://schemas.openxmlformats.org/officeDocument/2006/docPropsVTypes"/>
</file>