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DOC-B02 — سجل سيناريوهات القبول للشريحتين S0 وS1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السجل</w:t>
        </w:r>
      </w:hyperlink>
    </w:p>
    <w:p>
      <w:pPr>
        <w:bidi/>
        <w:spacing w:after="50" w:before="0"/>
        <w:ind w:left="0"/>
      </w:pPr>
      <w:hyperlink w:history="1" w:anchor="_sec5">
        <w:r>
          <w:rPr>
            <w:rFonts w:ascii="Arial" w:cs="Arial" w:eastAsia="Arial" w:hAnsi="Arial"/>
            <w:b/>
            <w:bCs/>
            <w:color w:val="1F3A5F"/>
            <w:sz w:val="20"/>
            <w:szCs w:val="20"/>
            <w:rtl/>
          </w:rPr>
          <w:t xml:space="preserve">3. نصوص السيناريوهات الجديدة</w:t>
        </w:r>
      </w:hyperlink>
    </w:p>
    <w:p>
      <w:pPr>
        <w:bidi/>
        <w:spacing w:after="50" w:before="0"/>
        <w:ind w:left="0"/>
      </w:pPr>
      <w:hyperlink w:history="1" w:anchor="_sec13">
        <w:r>
          <w:rPr>
            <w:rFonts w:ascii="Arial" w:cs="Arial" w:eastAsia="Arial" w:hAnsi="Arial"/>
            <w:b/>
            <w:bCs/>
            <w:color w:val="1F3A5F"/>
            <w:sz w:val="20"/>
            <w:szCs w:val="20"/>
            <w:rtl/>
          </w:rPr>
          <w:t xml:space="preserve">4. معايير الخروج المرتبطة</w:t>
        </w:r>
      </w:hyperlink>
    </w:p>
    <w:p>
      <w:pPr>
        <w:bidi/>
        <w:spacing w:after="50" w:before="0"/>
        <w:ind w:left="0"/>
      </w:pPr>
      <w:hyperlink w:history="1" w:anchor="_sec14">
        <w:r>
          <w:rPr>
            <w:rFonts w:ascii="Arial" w:cs="Arial" w:eastAsia="Arial" w:hAnsi="Arial"/>
            <w:b/>
            <w:bCs/>
            <w:color w:val="1F3A5F"/>
            <w:sz w:val="20"/>
            <w:szCs w:val="20"/>
            <w:rtl/>
          </w:rPr>
          <w:t xml:space="preserve">5. جدول التغطية: المتطلب إلى السيناريو</w:t>
        </w:r>
      </w:hyperlink>
    </w:p>
    <w:p>
      <w:pPr>
        <w:bidi/>
        <w:spacing w:after="50" w:before="0"/>
        <w:ind w:left="0"/>
      </w:pPr>
      <w:hyperlink w:history="1" w:anchor="_sec22">
        <w:r>
          <w:rPr>
            <w:rFonts w:ascii="Arial" w:cs="Arial" w:eastAsia="Arial" w:hAnsi="Arial"/>
            <w:b/>
            <w:bCs/>
            <w:color w:val="1F3A5F"/>
            <w:sz w:val="20"/>
            <w:szCs w:val="20"/>
            <w:rtl/>
          </w:rPr>
          <w:t xml:space="preserve">6. القرارات المطلوبة</w:t>
        </w:r>
      </w:hyperlink>
    </w:p>
    <w:p>
      <w:pPr>
        <w:bidi/>
        <w:spacing w:after="50" w:before="0"/>
        <w:ind w:left="0"/>
      </w:pPr>
      <w:hyperlink w:history="1" w:anchor="_sec23">
        <w:r>
          <w:rPr>
            <w:rFonts w:ascii="Arial" w:cs="Arial" w:eastAsia="Arial" w:hAnsi="Arial"/>
            <w:b/>
            <w:bCs/>
            <w:color w:val="1F3A5F"/>
            <w:sz w:val="20"/>
            <w:szCs w:val="20"/>
            <w:rtl/>
          </w:rPr>
          <w:t xml:space="preserve">7. تعارضات وفجوات في المصادر</w:t>
        </w:r>
      </w:hyperlink>
    </w:p>
    <w:p>
      <w:pPr>
        <w:bidi/>
        <w:spacing w:after="50" w:before="0"/>
        <w:ind w:left="0"/>
      </w:pPr>
      <w:hyperlink w:history="1" w:anchor="_sec24">
        <w:r>
          <w:rPr>
            <w:rFonts w:ascii="Arial" w:cs="Arial" w:eastAsia="Arial" w:hAnsi="Arial"/>
            <w:b/>
            <w:bCs/>
            <w:color w:val="1F3A5F"/>
            <w:sz w:val="20"/>
            <w:szCs w:val="20"/>
            <w:rtl/>
          </w:rPr>
          <w:t xml:space="preserve">8.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AC-PLT-3 مؤتمت في القاعدة (docs/adr/0005-document-numbering-and-reference-seeds.md، db/static/039_numbering.sql) ويمر في CI: الحالة N2 في db/tests/numbering_tests.sql تعطي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0"/>
          <w:szCs w:val="20"/>
          <w:rtl/>
        </w:rPr>
        <w:t xml:space="preserve"> ثم </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0"/>
          <w:szCs w:val="20"/>
          <w:rtl/>
        </w:rPr>
        <w:t xml:space="preserve"> بعد رقمين، والرقم الملغى يبقى «ملغى» بسببه ولا يُعاد فيأتي بعده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0"/>
          <w:szCs w:val="20"/>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0"/>
          <w:szCs w:val="20"/>
          <w:rtl/>
        </w:rPr>
        <w:t xml:space="preserve">؛ وفحص التزامن tools/ci/numbering_concurrency.sh يشغّل ستة اتصالات معًا ويتراجع عن ربع المعاملات، فتأتي الأرقام الملتزمة من 1 إلى 114 بلا تكرار ولا فجوة. قرار DQ-B02-4 (بلا فجوات للطلبات والبروفورما) مفروض في القاعدة: تعريفا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0"/>
          <w:szCs w:val="20"/>
          <w:rtl/>
        </w:rPr>
        <w:t xml:space="preserve"> لا يقبلان غير GAP_FREE. ويبقى سيناريو API نفسه على التطبيق.</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1"/>
        <w:bidi/>
      </w:pPr>
      <w:bookmarkStart w:name="_sec2" w:id="2"/>
      <w:r>
        <w:rPr>
          <w:rFonts w:ascii="Arial" w:cs="Arial" w:eastAsia="Arial" w:hAnsi="Arial"/>
          <w:b/>
          <w:bCs/>
          <w:color w:val="1F3A5F"/>
          <w:sz w:val="32"/>
          <w:szCs w:val="32"/>
          <w:rtl/>
        </w:rPr>
        <w:t xml:space="preserve">2. السجل</w:t>
      </w:r>
      <w:bookmarkEnd w:id="2"/>
    </w:p>
    <w:p>
      <w:pPr>
        <w:pStyle w:val="Heading2"/>
        <w:bidi/>
      </w:pPr>
      <w:bookmarkStart w:name="_sec3" w:id="3"/>
      <w:r>
        <w:rPr>
          <w:rFonts w:ascii="Arial" w:cs="Arial" w:eastAsia="Arial" w:hAnsi="Arial"/>
          <w:b/>
          <w:bCs/>
          <w:color w:val="2B5C8A"/>
          <w:sz w:val="26"/>
          <w:szCs w:val="26"/>
          <w:rtl/>
        </w:rPr>
        <w:t xml:space="preserve">2.1 سيناريوهات قائمة داخل النطاق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2.2 سيناريوهات جديدة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3. نصوص السيناريوهات الجديدة</w:t>
      </w:r>
      <w:bookmarkEnd w:id="5"/>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2"/>
        <w:bidi/>
      </w:pPr>
      <w:bookmarkStart w:name="_sec6" w:id="6"/>
      <w:r>
        <w:rPr>
          <w:rFonts w:ascii="Arial" w:cs="Arial" w:eastAsia="Arial" w:hAnsi="Arial"/>
          <w:b/>
          <w:bCs/>
          <w:color w:val="2B5C8A"/>
          <w:sz w:val="26"/>
          <w:szCs w:val="26"/>
          <w:rtl/>
        </w:rPr>
        <w:t xml:space="preserve">3.1 المنصة (PLT)</w:t>
      </w:r>
      <w:bookmarkEnd w:id="6"/>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2"/>
        <w:bidi/>
      </w:pPr>
      <w:bookmarkStart w:name="_sec7" w:id="7"/>
      <w:r>
        <w:rPr>
          <w:rFonts w:ascii="Arial" w:cs="Arial" w:eastAsia="Arial" w:hAnsi="Arial"/>
          <w:b/>
          <w:bCs/>
          <w:color w:val="2B5C8A"/>
          <w:sz w:val="26"/>
          <w:szCs w:val="26"/>
          <w:rtl/>
        </w:rPr>
        <w:t xml:space="preserve">3.2 الهيكل المؤسسي (ORG)</w:t>
      </w:r>
      <w:bookmarkEnd w:id="7"/>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2"/>
        <w:bidi/>
      </w:pPr>
      <w:bookmarkStart w:name="_sec8" w:id="8"/>
      <w:r>
        <w:rPr>
          <w:rFonts w:ascii="Arial" w:cs="Arial" w:eastAsia="Arial" w:hAnsi="Arial"/>
          <w:b/>
          <w:bCs/>
          <w:color w:val="2B5C8A"/>
          <w:sz w:val="26"/>
          <w:szCs w:val="26"/>
          <w:rtl/>
        </w:rPr>
        <w:t xml:space="preserve">3.3 الأشخاص والجهات (PTY)</w:t>
      </w:r>
      <w:bookmarkEnd w:id="8"/>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2"/>
        <w:bidi/>
      </w:pPr>
      <w:bookmarkStart w:name="_sec9" w:id="9"/>
      <w:r>
        <w:rPr>
          <w:rFonts w:ascii="Arial" w:cs="Arial" w:eastAsia="Arial" w:hAnsi="Arial"/>
          <w:b/>
          <w:bCs/>
          <w:color w:val="2B5C8A"/>
          <w:sz w:val="26"/>
          <w:szCs w:val="26"/>
          <w:rtl/>
        </w:rPr>
        <w:t xml:space="preserve">3.4 المنشآت المالية (INS)</w:t>
      </w:r>
      <w:bookmarkEnd w:id="9"/>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2"/>
        <w:bidi/>
      </w:pPr>
      <w:bookmarkStart w:name="_sec10" w:id="10"/>
      <w:r>
        <w:rPr>
          <w:rFonts w:ascii="Arial" w:cs="Arial" w:eastAsia="Arial" w:hAnsi="Arial"/>
          <w:b/>
          <w:bCs/>
          <w:color w:val="2B5C8A"/>
          <w:sz w:val="26"/>
          <w:szCs w:val="26"/>
          <w:rtl/>
        </w:rPr>
        <w:t xml:space="preserve">3.5 الحسابات (ACC)</w:t>
      </w:r>
      <w:bookmarkEnd w:id="10"/>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2"/>
        <w:bidi/>
      </w:pPr>
      <w:bookmarkStart w:name="_sec11" w:id="11"/>
      <w:r>
        <w:rPr>
          <w:rFonts w:ascii="Arial" w:cs="Arial" w:eastAsia="Arial" w:hAnsi="Arial"/>
          <w:b/>
          <w:bCs/>
          <w:color w:val="2B5C8A"/>
          <w:sz w:val="26"/>
          <w:szCs w:val="26"/>
          <w:rtl/>
        </w:rPr>
        <w:t xml:space="preserve">3.6 الكتالوجات (CAT)</w:t>
      </w:r>
      <w:bookmarkEnd w:id="11"/>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2"/>
        <w:bidi/>
      </w:pPr>
      <w:bookmarkStart w:name="_sec12" w:id="12"/>
      <w:r>
        <w:rPr>
          <w:rFonts w:ascii="Arial" w:cs="Arial" w:eastAsia="Arial" w:hAnsi="Arial"/>
          <w:b/>
          <w:bCs/>
          <w:color w:val="2B5C8A"/>
          <w:sz w:val="26"/>
          <w:szCs w:val="26"/>
          <w:rtl/>
        </w:rPr>
        <w:t xml:space="preserve">3.7 الإشعارات (NTF)</w:t>
      </w:r>
      <w:bookmarkEnd w:id="12"/>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1"/>
        <w:bidi/>
      </w:pPr>
      <w:bookmarkStart w:name="_sec13" w:id="13"/>
      <w:r>
        <w:rPr>
          <w:rFonts w:ascii="Arial" w:cs="Arial" w:eastAsia="Arial" w:hAnsi="Arial"/>
          <w:b/>
          <w:bCs/>
          <w:color w:val="1F3A5F"/>
          <w:sz w:val="32"/>
          <w:szCs w:val="32"/>
          <w:rtl/>
        </w:rPr>
        <w:t xml:space="preserve">4. معايير الخروج المرتبطة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1"/>
        <w:bidi/>
      </w:pPr>
      <w:bookmarkStart w:name="_sec14" w:id="14"/>
      <w:r>
        <w:rPr>
          <w:rFonts w:ascii="Arial" w:cs="Arial" w:eastAsia="Arial" w:hAnsi="Arial"/>
          <w:b/>
          <w:bCs/>
          <w:color w:val="1F3A5F"/>
          <w:sz w:val="32"/>
          <w:szCs w:val="32"/>
          <w:rtl/>
        </w:rPr>
        <w:t xml:space="preserve">5. جدول التغطية: المتطلب إلى السيناريو</w:t>
      </w:r>
      <w:bookmarkEnd w:id="14"/>
    </w:p>
    <w:p>
      <w:pPr>
        <w:pStyle w:val="Heading2"/>
        <w:bidi/>
      </w:pPr>
      <w:bookmarkStart w:name="_sec15" w:id="15"/>
      <w:r>
        <w:rPr>
          <w:rFonts w:ascii="Arial" w:cs="Arial" w:eastAsia="Arial" w:hAnsi="Arial"/>
          <w:b/>
          <w:bCs/>
          <w:color w:val="2B5C8A"/>
          <w:sz w:val="26"/>
          <w:szCs w:val="26"/>
          <w:rtl/>
        </w:rPr>
        <w:t xml:space="preserve">5.1 المنصة (PLT)</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5.2 الهيكل المؤسسي (ORG)</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5.3 الأشخاص والجهات (PTY)</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5.4 المنشآت المالية (INS)</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5.5 الحسابات (ACC)</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0" w:id="20"/>
      <w:r>
        <w:rPr>
          <w:rFonts w:ascii="Arial" w:cs="Arial" w:eastAsia="Arial" w:hAnsi="Arial"/>
          <w:b/>
          <w:bCs/>
          <w:color w:val="2B5C8A"/>
          <w:sz w:val="26"/>
          <w:szCs w:val="26"/>
          <w:rtl/>
        </w:rPr>
        <w:t xml:space="preserve">5.6 الكتالوجات (CAT)</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5.7 الإشعارات في S1 (NTF)</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1"/>
        <w:bidi/>
      </w:pPr>
      <w:bookmarkStart w:name="_sec22" w:id="22"/>
      <w:r>
        <w:rPr>
          <w:rFonts w:ascii="Arial" w:cs="Arial" w:eastAsia="Arial" w:hAnsi="Arial"/>
          <w:b/>
          <w:bCs/>
          <w:color w:val="1F3A5F"/>
          <w:sz w:val="32"/>
          <w:szCs w:val="32"/>
          <w:rtl/>
        </w:rPr>
        <w:t xml:space="preserve">6. القرارات المطلوبة</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7. تعارضات وفجوات في المصادر</w:t>
      </w:r>
      <w:bookmarkEnd w:id="23"/>
    </w:p>
    <w:p>
      <w:pPr>
        <w:pStyle w:val="ListParagraph"/>
        <w:numPr>
          <w:ilvl w:val="0"/>
          <w:numId w:val="3"/>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3"/>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3"/>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3"/>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3"/>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3"/>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3"/>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1"/>
        <w:bidi/>
      </w:pPr>
      <w:bookmarkStart w:name="_sec24" w:id="24"/>
      <w:r>
        <w:rPr>
          <w:rFonts w:ascii="Arial" w:cs="Arial" w:eastAsia="Arial" w:hAnsi="Arial"/>
          <w:b/>
          <w:bCs/>
          <w:color w:val="1F3A5F"/>
          <w:sz w:val="32"/>
          <w:szCs w:val="32"/>
          <w:rtl/>
        </w:rPr>
        <w:t xml:space="preserve">8. التتبع</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DOC-B02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DOC-B02 — سجل سيناريوهات القبول للشريحتين S0 وS1</dc:title>
  <dc:creator>Claude</dc:creator>
  <dc:description>BankFas database design document</dc:description>
  <cp:lastModifiedBy>Un-named</cp:lastModifiedBy>
  <cp:revision>1</cp:revision>
  <dcterms:created xsi:type="dcterms:W3CDTF">2026-10-21T01:40:44.743Z</dcterms:created>
  <dcterms:modified xsi:type="dcterms:W3CDTF">2026-10-21T01:40:44.743Z</dcterms:modified>
</cp:coreProperties>
</file>

<file path=docProps/custom.xml><?xml version="1.0" encoding="utf-8"?>
<Properties xmlns="http://schemas.openxmlformats.org/officeDocument/2006/custom-properties" xmlns:vt="http://schemas.openxmlformats.org/officeDocument/2006/docPropsVTypes"/>
</file>