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/>
      </w:pPr>
      <w:r>
        <w:rPr>
          <w:rFonts w:ascii="Arial" w:cs="Arial" w:eastAsia="Arial" w:hAnsi="Arial"/>
          <w:b/>
          <w:bCs/>
          <w:color w:val="1F3A5F"/>
          <w:sz w:val="48"/>
          <w:szCs w:val="48"/>
          <w:rtl/>
        </w:rPr>
        <w:t xml:space="preserve">الرد على المراجعة المعمارية النقدية (النسخة 9.0)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76"/>
        <w:gridCol w:w="7588"/>
      </w:tblGrid>
      <w:tr>
        <w:trPr>
          <w:cantSplit/>
          <w:tblHeader/>
        </w:trPr>
        <w:tc>
          <w:tcPr>
            <w:tcW w:type="dxa" w:w="22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  <w:tc>
          <w:tcPr>
            <w:tcW w:type="dxa" w:w="75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القيمة</w:t>
            </w:r>
          </w:p>
        </w:tc>
      </w:tr>
      <w:tr>
        <w:trPr>
          <w:cantSplit/>
        </w:trPr>
        <w:tc>
          <w:tcPr>
            <w:tcW w:type="dxa" w:w="22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المراجعة</w:t>
            </w:r>
          </w:p>
        </w:tc>
        <w:tc>
          <w:tcPr>
            <w:tcW w:type="dxa" w:w="75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«مراجعة معمارية نقدية مستقلة، النسخة 9.0، S2-ب»، 2026-10-23. الحكم «مقبول مشروط» بدرجة 83.9 من 100</w:t>
            </w:r>
          </w:p>
        </w:tc>
      </w:tr>
      <w:tr>
        <w:trPr>
          <w:cantSplit/>
        </w:trPr>
        <w:tc>
          <w:tcPr>
            <w:tcW w:type="dxa" w:w="22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الحزمة المراجَعة</w:t>
            </w:r>
          </w:p>
        </w:tc>
        <w:tc>
          <w:tcPr>
            <w:tcW w:type="dxa" w:w="75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‎BankFas-review-2026-10-23-s2b‎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الإيداع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‎1202dbd‎</w:t>
            </w:r>
          </w:p>
        </w:tc>
      </w:tr>
      <w:tr>
        <w:trPr>
          <w:cantSplit/>
        </w:trPr>
        <w:tc>
          <w:tcPr>
            <w:tcW w:type="dxa" w:w="22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أعدّ الرد</w:t>
            </w:r>
          </w:p>
        </w:tc>
        <w:tc>
          <w:tcPr>
            <w:tcW w:type="dxa" w:w="75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وكيل ذكاء اصطناعي (Claude) بطلب المالك، لا مراجع بشري. كل دليل أدناه ملف وسطر في المستودع يمكن فتحه، أو أمر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‎git‎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يمكن إعادته</w:t>
            </w:r>
          </w:p>
        </w:tc>
      </w:tr>
      <w:tr>
        <w:trPr>
          <w:cantSplit/>
        </w:trPr>
        <w:tc>
          <w:tcPr>
            <w:tcW w:type="dxa" w:w="227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التاريخ</w:t>
            </w:r>
          </w:p>
        </w:tc>
        <w:tc>
          <w:tcPr>
            <w:tcW w:type="dxa" w:w="75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2026-10-23</w:t>
            </w:r>
          </w:p>
        </w:tc>
      </w:tr>
    </w:tbl>
    <w:p>
      <w:pPr>
        <w:bidi/>
        <w:spacing w:after="120" w:before="0"/>
      </w:pPr>
    </w:p>
    <w:p>
      <w:pPr>
        <w:pBdr>
          <w:bottom w:val="single" w:color="1F3A5F" w:sz="8" w:space="4"/>
        </w:pBdr>
        <w:bidi/>
        <w:spacing w:after="100" w:before="280"/>
      </w:pPr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المحتويات</w:t>
      </w:r>
    </w:p>
    <w:p>
      <w:pPr>
        <w:bidi/>
        <w:spacing w:after="50" w:before="0"/>
        <w:ind w:left="0"/>
      </w:pPr>
      <w:hyperlink w:history="1" w:anchor="_sec1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1. الخلاصة</w:t>
        </w:r>
      </w:hyperlink>
    </w:p>
    <w:p>
      <w:pPr>
        <w:bidi/>
        <w:spacing w:after="50" w:before="0"/>
        <w:ind w:left="0"/>
      </w:pPr>
      <w:hyperlink w:history="1" w:anchor="_sec2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2. وقائع جاءت على غير ما في المستودع</w:t>
        </w:r>
      </w:hyperlink>
    </w:p>
    <w:p>
      <w:pPr>
        <w:bidi/>
        <w:spacing w:after="50" w:before="0"/>
        <w:ind w:left="0"/>
      </w:pPr>
      <w:hyperlink w:history="1" w:anchor="_sec3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3. ما لم تفحصه المراجعة</w:t>
        </w:r>
      </w:hyperlink>
    </w:p>
    <w:p>
      <w:pPr>
        <w:bidi/>
        <w:spacing w:after="50" w:before="0"/>
        <w:ind w:left="0"/>
      </w:pPr>
      <w:hyperlink w:history="1" w:anchor="_sec4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4. ما نقبله، وما سنفعله</w:t>
        </w:r>
      </w:hyperlink>
    </w:p>
    <w:p>
      <w:pPr>
        <w:bidi/>
        <w:spacing w:after="50" w:before="0"/>
        <w:ind w:left="0"/>
      </w:pPr>
      <w:hyperlink w:history="1" w:anchor="_sec5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5. نقاط ضعف لم تذكرها المراجعة، نفصح عنها</w:t>
        </w:r>
      </w:hyperlink>
    </w:p>
    <w:p>
      <w:pPr>
        <w:bidi/>
        <w:spacing w:after="50" w:before="0"/>
        <w:ind w:left="0"/>
      </w:pPr>
      <w:hyperlink w:history="1" w:anchor="_sec6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6. على الدرجة</w:t>
        </w:r>
      </w:hyperlink>
    </w:p>
    <w:p>
      <w:pPr>
        <w:bidi/>
        <w:spacing w:after="50" w:before="0"/>
        <w:ind w:left="0"/>
      </w:pPr>
      <w:hyperlink w:history="1" w:anchor="_sec7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7. ما نُفّذ بعد الرد</w:t>
        </w:r>
      </w:hyperlink>
    </w:p>
    <w:p>
      <w:r>
        <w:br w:type="page"/>
      </w:r>
    </w:p>
    <w:p>
      <w:pPr>
        <w:pStyle w:val="Heading1"/>
        <w:bidi/>
      </w:pPr>
      <w:bookmarkStart w:name="_sec1" w:id="1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1. الخلاصة</w:t>
      </w:r>
      <w:bookmarkEnd w:id="1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في المراجعة نقاط صحيحة مهمة نقبلها كلها (§4):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الواجهات الأربع غير المبنية.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غياب اختبار المتصفح لـ S2-ب.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غياب اختبار الحمل على مسارات HTTP.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المراقبة والاستعادة غير المشغّلتين.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غياب موفّر المفاتيح الإنتاجي.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التناقض 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‎docs/31‎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السطر 73.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لكن المراجعة فيها تسعة أخطاء في الوقائع، أثرها على الحكم ليس صغيرًا (§2). أخطرها ثلاثة: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الجولة نُسبت كلها إلى S2-ب.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المقارنة كانت مع حزمة S1-ب، فلم تُقيَّم شريحة S2 (وحدة التسهيلات) أصلًا، مع أنها نصف ما تغيّر.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شاهد «148 حالة تطابق مرجع Python» نُسب إلى محرك التحقق من التعهدات.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وهو في الحقيقة لمحرك التقييم الائتماني في القاعدة. فمحرك التعهدات الجديد بلا مرجع مستقل، وخطره أعلى مما قدّرته المراجعة.</w:t>
      </w:r>
    </w:p>
    <w:p>
      <w:pPr>
        <w:pStyle w:val="ListParagraph"/>
        <w:numPr>
          <w:ilvl w:val="0"/>
          <w:numId w:val="3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قيل إن «النموذج لم يُمَسّ».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والحقيقة أن جدولين صارا قابلين للحذف، وأن قيدًا في القاعدة خُفِّف.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وفي المراجعة أيضًا (§3):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ما لم تفحصه: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عشر من الانحرافات الاثني عشر المعلنة، واعتماد المالك لـ34 افتراضًا في S2 وS2-ب.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عيب في الدرجة: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منطق الدرجات لا قاعدة له مكتوبة.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ونضيف من عندنا أربع نقاط ضعف لم تذكرها المراجعة (§5).</w:t>
      </w:r>
    </w:p>
    <w:p>
      <w:pPr>
        <w:pStyle w:val="Heading1"/>
        <w:bidi/>
      </w:pPr>
      <w:bookmarkStart w:name="_sec2" w:id="2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2. وقائع جاءت على غير ما في المستودع</w:t>
      </w:r>
      <w:bookmarkEnd w:id="2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7"/>
        <w:gridCol w:w="2638"/>
        <w:gridCol w:w="2042"/>
        <w:gridCol w:w="4257"/>
      </w:tblGrid>
      <w:tr>
        <w:trPr>
          <w:cantSplit/>
          <w:tblHeader/>
        </w:trPr>
        <w:tc>
          <w:tcPr>
            <w:tcW w:type="dxa" w:w="9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#</w:t>
            </w:r>
          </w:p>
        </w:tc>
        <w:tc>
          <w:tcPr>
            <w:tcW w:type="dxa" w:w="26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قالته المراجعة</w:t>
            </w:r>
          </w:p>
        </w:tc>
        <w:tc>
          <w:tcPr>
            <w:tcW w:type="dxa" w:w="204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في المستودع</w:t>
            </w:r>
          </w:p>
        </w:tc>
        <w:tc>
          <w:tcPr>
            <w:tcW w:type="dxa" w:w="425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الدليل</w:t>
            </w:r>
          </w:p>
        </w:tc>
      </w:tr>
      <w:tr>
        <w:trPr>
          <w:cantSplit/>
        </w:trPr>
        <w:tc>
          <w:tcPr>
            <w:tcW w:type="dxa" w:w="9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</w:t>
            </w:r>
          </w:p>
        </w:tc>
        <w:tc>
          <w:tcPr>
            <w:tcW w:type="dxa" w:w="26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المقارنة «مع حزمة v8.0 (S1-ب)»، و«+18 ملف نقطة نهاية: وحدات مالية»</w:t>
            </w:r>
          </w:p>
        </w:tc>
        <w:tc>
          <w:tcPr>
            <w:tcW w:type="dxa" w:w="204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بين الحزمتين حزمة S2 (الإيداع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‎f1ab6e8‎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). ومن الملفات الثمانية عشر عشرة لوحدة التسهيلات لا للمالية: Calendar وCollateral وFacility وFacilityRevision وKyc وLimit وObligation وPricing وTariff وTerm. فلم تُقيَّم في المراجعة الحدود والمتاح ونواة الحجز والتسعير والضمانات والالتزامات والشروط القابلة للمقارنة</w:t>
            </w:r>
          </w:p>
        </w:tc>
        <w:tc>
          <w:tcPr>
            <w:tcW w:type="dxa" w:w="425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‎git diff --name-status 988b032 1202dbd -- app/src/BankFas.Api/Endpoints‎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؛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‎docs/45‎</w:t>
            </w:r>
          </w:p>
        </w:tc>
      </w:tr>
      <w:tr>
        <w:trPr>
          <w:cantSplit/>
        </w:trPr>
        <w:tc>
          <w:tcPr>
            <w:tcW w:type="dxa" w:w="9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</w:t>
            </w:r>
          </w:p>
        </w:tc>
        <w:tc>
          <w:tcPr>
            <w:tcW w:type="dxa" w:w="26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«محرك التحقق ... يطابق مرجع Python في 148 حالة»، وR10 مبني عليه</w:t>
            </w:r>
          </w:p>
        </w:tc>
        <w:tc>
          <w:tcPr>
            <w:tcW w:type="dxa" w:w="204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الحالات الـ148 لمحرك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التقييم الائتماني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في T-SQL، تقارنه بالمرجع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‎credit_reference.py‎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. أما محرك التحقق من التعهدات فجديد، مكتوب بـC# في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‎CovenantEngine.cs‎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وليس له مرجع مستقل. نتائجه مثبتة بأمثلة المواصفة المحسوبة يدويًا (AC-FAC-7، BR-FIN-005 إلى 011)</w:t>
            </w:r>
          </w:p>
        </w:tc>
        <w:tc>
          <w:tcPr>
            <w:tcW w:type="dxa" w:w="425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‎docs/35:10‎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‎:2699‎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؛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‎db/tests/credit_engine_cases.sql‎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؛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‎app/src/BankFas.Data/Finance/CovenantEngine.cs‎</w:t>
            </w:r>
          </w:p>
        </w:tc>
      </w:tr>
      <w:tr>
        <w:trPr>
          <w:cantSplit/>
        </w:trPr>
        <w:tc>
          <w:tcPr>
            <w:tcW w:type="dxa" w:w="9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3</w:t>
            </w:r>
          </w:p>
        </w:tc>
        <w:tc>
          <w:tcPr>
            <w:tcW w:type="dxa" w:w="26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«النموذج لم يُمَسّ إطلاقًا»</w:t>
            </w:r>
          </w:p>
        </w:tc>
        <w:tc>
          <w:tcPr>
            <w:tcW w:type="dxa" w:w="204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تغيّر سطران في النموذج: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‎fin.StatementLine‎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‎fin.ConsolidationMember‎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صارا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‎deletable‎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أي مُنح tp_app حق الحذف عليهما. وخُفِّف القيد 044 لتعهد النسبة من الإيراد بتقدير يدوي (الانحراف 4). وأُضيف 062 (126 سطرًا) و063 (47 سطرًا)</w:t>
            </w:r>
          </w:p>
        </w:tc>
        <w:tc>
          <w:tcPr>
            <w:tcW w:type="dxa" w:w="425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‎git diff 988b032 1202dbd -- db/model db/static‎</w:t>
            </w:r>
          </w:p>
        </w:tc>
      </w:tr>
      <w:tr>
        <w:trPr>
          <w:cantSplit/>
        </w:trPr>
        <w:tc>
          <w:tcPr>
            <w:tcW w:type="dxa" w:w="9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4</w:t>
            </w:r>
          </w:p>
        </w:tc>
        <w:tc>
          <w:tcPr>
            <w:tcW w:type="dxa" w:w="26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«لا قياس أداء على مسارات الخدمة؛ لا يُعرف زمن الاستجابة الفعلي للمستخدم»</w:t>
            </w:r>
          </w:p>
        </w:tc>
        <w:tc>
          <w:tcPr>
            <w:tcW w:type="dxa" w:w="204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زمن الطلب الواحد مقيس عبر HTTP في موضعين: بطاقة التسهيل بعشرين حدًا وثمانين خطًا (أسوأ قراءة 62 مللي ثانية من عشر)، ولوحة الامتثال لـ C (دون ثانيتين).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الناقص فعلًا: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اختبار حمل وتزامن على HTTP. واختبار المئة حجز AC-FAC-12 يستدعي الخدمة مباشرة لا HTTP</w:t>
            </w:r>
          </w:p>
        </w:tc>
        <w:tc>
          <w:tcPr>
            <w:tcW w:type="dxa" w:w="425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‎LimitTests.NFR_PERF_01_*‎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؛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‎S2bExitTests‎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(Stopwatch)؛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‎LimitTests.cs:292-317‎</w:t>
            </w:r>
          </w:p>
        </w:tc>
      </w:tr>
      <w:tr>
        <w:trPr>
          <w:cantSplit/>
        </w:trPr>
        <w:tc>
          <w:tcPr>
            <w:tcW w:type="dxa" w:w="9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5</w:t>
            </w:r>
          </w:p>
        </w:tc>
        <w:tc>
          <w:tcPr>
            <w:tcW w:type="dxa" w:w="26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«المراقبة AL-01…AL-19 في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‎db/ops/server_audit_alerts.sql‎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»</w:t>
            </w:r>
          </w:p>
        </w:tc>
        <w:tc>
          <w:tcPr>
            <w:tcW w:type="dxa" w:w="204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الملف فيه قاعدة واحدة هي AL-18. والتنبيهات معرّفة في DOC-S12، وهي من AL-01 إلى AL-22 لا إلى AL-19</w:t>
            </w:r>
          </w:p>
        </w:tc>
        <w:tc>
          <w:tcPr>
            <w:tcW w:type="dxa" w:w="425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‎grep -o "AL-[0-9]*" docs/30-readiness/DOC-S12-*.md‎</w:t>
            </w:r>
          </w:p>
        </w:tc>
      </w:tr>
      <w:tr>
        <w:trPr>
          <w:cantSplit/>
        </w:trPr>
        <w:tc>
          <w:tcPr>
            <w:tcW w:type="dxa" w:w="9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6</w:t>
            </w:r>
          </w:p>
        </w:tc>
        <w:tc>
          <w:tcPr>
            <w:tcW w:type="dxa" w:w="26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«دور RK بـ9 روابط من أصل 393»</w:t>
            </w:r>
          </w:p>
        </w:tc>
        <w:tc>
          <w:tcPr>
            <w:tcW w:type="dxa" w:w="204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10 روابط</w:t>
            </w:r>
          </w:p>
        </w:tc>
        <w:tc>
          <w:tcPr>
            <w:tcW w:type="dxa" w:w="425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‎grep -c "^ROLE.RK," db/seed/packs/CORE.ROLES/v1/sec.RolePermission.csv‎</w:t>
            </w:r>
          </w:p>
        </w:tc>
      </w:tr>
      <w:tr>
        <w:trPr>
          <w:cantSplit/>
        </w:trPr>
        <w:tc>
          <w:tcPr>
            <w:tcW w:type="dxa" w:w="9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7</w:t>
            </w:r>
          </w:p>
        </w:tc>
        <w:tc>
          <w:tcPr>
            <w:tcW w:type="dxa" w:w="26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G7 «انتقلت إلى مغلقة لأن مسار تصدير سلسلة التدقيق صار موجودًا»</w:t>
            </w:r>
          </w:p>
        </w:tc>
        <w:tc>
          <w:tcPr>
            <w:tcW w:type="dxa" w:w="204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المسار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‎/audit-events/exports‎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موجود منذ 2026-10-21 (S0)، أي كان في حزمة 8.0 نفسها. فإغلاق G7 الآن لا يصح بهذا الدليل. الجديد فعلًا مسار حزمة الأدلة وحده</w:t>
            </w:r>
          </w:p>
        </w:tc>
        <w:tc>
          <w:tcPr>
            <w:tcW w:type="dxa" w:w="425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‎git log -S"audit-events/exports" -- app/src/BankFas.Api/Endpoints/ConfigEndpoints.cs‎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←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‎190cc15‎</w:t>
            </w:r>
          </w:p>
        </w:tc>
      </w:tr>
      <w:tr>
        <w:trPr>
          <w:cantSplit/>
        </w:trPr>
        <w:tc>
          <w:tcPr>
            <w:tcW w:type="dxa" w:w="9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8</w:t>
            </w:r>
          </w:p>
        </w:tc>
        <w:tc>
          <w:tcPr>
            <w:tcW w:type="dxa" w:w="26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«لا موفّر مفاتيح إنتاجي — مسار النشر غير مُختبَر»</w:t>
            </w:r>
          </w:p>
        </w:tc>
        <w:tc>
          <w:tcPr>
            <w:tcW w:type="dxa" w:w="204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الوصف أخف من الواقع. الخادم يرفض أن يبدأ في الإنتاج أصلًا، لأن الموفّر المحلي مقصور على التطوير والاختبار، ولا موفّر غيره. فهذا مانع إطلاق، لا مسار غير مختبر</w:t>
            </w:r>
          </w:p>
        </w:tc>
        <w:tc>
          <w:tcPr>
            <w:tcW w:type="dxa" w:w="425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‎app/src/BankFas.Data/KeyWrapperFactory.cs:18-20‎</w:t>
            </w:r>
          </w:p>
        </w:tc>
      </w:tr>
      <w:tr>
        <w:trPr>
          <w:cantSplit/>
        </w:trPr>
        <w:tc>
          <w:tcPr>
            <w:tcW w:type="dxa" w:w="9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9</w:t>
            </w:r>
          </w:p>
        </w:tc>
        <w:tc>
          <w:tcPr>
            <w:tcW w:type="dxa" w:w="263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«147 حالة» اختبار C#</w:t>
            </w:r>
          </w:p>
        </w:tc>
        <w:tc>
          <w:tcPr>
            <w:tcW w:type="dxa" w:w="204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147 هو عدد الوسوم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‎[Fact]‎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‎[Theory]‎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. والحالات المنفذة 186: منها 106 اختبارات وحدة و80 اختبار تكامل، لأن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‎[Theory]‎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يتعدد بمدخلاته. والمراجعة تقرّ بأنها لم تشغّل شيئًا</w:t>
            </w:r>
          </w:p>
        </w:tc>
        <w:tc>
          <w:tcPr>
            <w:tcW w:type="dxa" w:w="425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سجل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‎tools/ci/app_ci.sh‎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على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‎21cce4d‎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؛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‎docs/46‎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§6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وملاحظة على الوسوم: وُسمت ادعاءات سلوكية بأنها «موثّقة» وشاهدها سطر تعريف المسار وحده. مثال ذلك «سحب المفوَّضين داخل معاملة الإغلاق نفسها» وشاهده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‎InstitutionEndpoints.cs:89‎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وسطر المسار لا يثبت المعاملة. الحكم صحيح هنا، لكن الدليل المذكور لا يكفي له.</w:t>
      </w:r>
    </w:p>
    <w:p>
      <w:pPr>
        <w:pStyle w:val="Heading1"/>
        <w:bidi/>
      </w:pPr>
      <w:bookmarkStart w:name="_sec3" w:id="3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3. ما لم تفحصه المراجعة</w:t>
      </w:r>
      <w:bookmarkEnd w:id="3"/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شريحة S2 كلها.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والمتوقع فحصه منها مثلًا: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نواة الحجز تحت التزامن (AC-FAC-12)؛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ترتيب اعتماد المراجعة؛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محلّل التسعير؛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الإسقاط إلى الشروط القابلة للمقارنة؛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تحميل الاتفاقيات الأربع (AC-FAC-11).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الافتراضات المعتمدة في هذه الجولة.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فحصت المراجعة افتراضات S1-ب الأربعة. ولم تفحص اعتماد المالك افتراضات S2 وS2-ب، وعددها 34 (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‎docs/31‎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الصفان 40 و41،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‎docs/45‎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§4،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‎docs/46‎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§4)، مع أنها أول بند في «ما الجديد» 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‎00-START-HERE.md‎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ومن هذه الافتراضات ما يغيّر السلوك مباشرة: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ترتيب المهام اليومية (OQ-5)؛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«لا مخالفة ثانية، بل NeedsReview» (OQ-7)؛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موعد MISSING_DATA (OQ-15).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عشرة من الانحرافات الاثني عشر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‎docs/46‎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§5. لم تُقرأ إلا 8 و10. ومن الباقي ما يستحق الفحص الأشد: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4: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تخفيف قيد في القاعدة.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11: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اختبار يقدّم ساعة التطبيق مؤقتًا.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12: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المخالفة المعالَجة (CURED) تبقي اللون أحمر.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9: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تحوّل الإنذار من كهرماني إلى أحمر غير مختبر عبر العامل.</w:t>
      </w:r>
    </w:p>
    <w:p>
      <w:pPr>
        <w:pStyle w:val="ListParagraph"/>
        <w:numPr>
          <w:ilvl w:val="0"/>
          <w:numId w:val="4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صحة محرك التعهدات.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لا فحص لأرقام AC-FAC-7 ولا لقواعد BR-FIN-003 إلى 011. والخطأ في §2 بند 2 يجعل هذا أهم ما غاب.</w:t>
      </w:r>
    </w:p>
    <w:p>
      <w:pPr>
        <w:bidi/>
        <w:spacing w:after="60" w:before="0"/>
      </w:pPr>
    </w:p>
    <w:p>
      <w:pPr>
        <w:pStyle w:val="Heading1"/>
        <w:bidi/>
      </w:pPr>
      <w:bookmarkStart w:name="_sec4" w:id="4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4. ما نقبله، وما سنفعله</w:t>
      </w:r>
      <w:bookmarkEnd w:id="4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4"/>
        <w:gridCol w:w="3401"/>
        <w:gridCol w:w="3879"/>
      </w:tblGrid>
      <w:tr>
        <w:trPr>
          <w:cantSplit/>
          <w:tblHeader/>
        </w:trPr>
        <w:tc>
          <w:tcPr>
            <w:tcW w:type="dxa" w:w="25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  <w:tc>
          <w:tcPr>
            <w:tcW w:type="dxa" w:w="34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قبولنا</w:t>
            </w:r>
          </w:p>
        </w:tc>
        <w:tc>
          <w:tcPr>
            <w:tcW w:type="dxa" w:w="38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الإجراء</w:t>
            </w:r>
          </w:p>
        </w:tc>
      </w:tr>
      <w:tr>
        <w:trPr>
          <w:cantSplit/>
        </w:trPr>
        <w:tc>
          <w:tcPr>
            <w:tcW w:type="dxa" w:w="25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الواجهات الأربع غير المبنية (E4، R1، P0-1)</w:t>
            </w:r>
          </w:p>
        </w:tc>
        <w:tc>
          <w:tcPr>
            <w:tcW w:type="dxa" w:w="34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نقبل، والوصف أخف من الواقع: الناقص واجهة برمجية وشاشة معًا، لا شاشة وحدها. وهي متطلبات Must: FR-FIN-026 إلى 029 وFR-FIN-034</w:t>
            </w:r>
          </w:p>
        </w:tc>
        <w:tc>
          <w:tcPr>
            <w:tcW w:type="dxa" w:w="38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تُبنى الآن، قبل أي شريحة جديدة</w:t>
            </w:r>
          </w:p>
        </w:tc>
      </w:tr>
      <w:tr>
        <w:trPr>
          <w:cantSplit/>
        </w:trPr>
        <w:tc>
          <w:tcPr>
            <w:tcW w:type="dxa" w:w="25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اختبار متصفح لـ S2-ب (R2، P1-1)</w:t>
            </w:r>
          </w:p>
        </w:tc>
        <w:tc>
          <w:tcPr>
            <w:tcW w:type="dxa" w:w="34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نقبل</w:t>
            </w:r>
          </w:p>
        </w:tc>
        <w:tc>
          <w:tcPr>
            <w:tcW w:type="dxa" w:w="38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مسار Playwright لـ S2-ب يُضاف إلى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‎tools/ci/e2e.sh‎</w:t>
            </w:r>
          </w:p>
        </w:tc>
      </w:tr>
      <w:tr>
        <w:trPr>
          <w:cantSplit/>
        </w:trPr>
        <w:tc>
          <w:tcPr>
            <w:tcW w:type="dxa" w:w="25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اختبار الحمل على HTTP (R3، P1-2)</w:t>
            </w:r>
          </w:p>
        </w:tc>
        <w:tc>
          <w:tcPr>
            <w:tcW w:type="dxa" w:w="34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نقبل بالصيغة المصححة في §2 بند 4: زمن الطلب الواحد مقيس، والحمل غير مقيس</w:t>
            </w:r>
          </w:p>
        </w:tc>
        <w:tc>
          <w:tcPr>
            <w:tcW w:type="dxa" w:w="38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سيناريو حمل على مسارات HTTP الرئيسية، ويُعاد AC-FAC-12 عبر HTTP</w:t>
            </w:r>
          </w:p>
        </w:tc>
      </w:tr>
      <w:tr>
        <w:trPr>
          <w:cantSplit/>
        </w:trPr>
        <w:tc>
          <w:tcPr>
            <w:tcW w:type="dxa" w:w="25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المراقبة والاستعادة (R4، R5، P0-2، P0-3)</w:t>
            </w:r>
          </w:p>
        </w:tc>
        <w:tc>
          <w:tcPr>
            <w:tcW w:type="dxa" w:w="34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نقبل</w:t>
            </w:r>
          </w:p>
        </w:tc>
        <w:tc>
          <w:tcPr>
            <w:tcW w:type="dxa" w:w="38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يحتاجان قرار المالك D2 (المنظومة) وD3 (RPO وRTO). ولا يُبنيان قبل القرار</w:t>
            </w:r>
          </w:p>
        </w:tc>
      </w:tr>
      <w:tr>
        <w:trPr>
          <w:cantSplit/>
        </w:trPr>
        <w:tc>
          <w:tcPr>
            <w:tcW w:type="dxa" w:w="25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موفّر المفاتيح (R6، P0-4)</w:t>
            </w:r>
          </w:p>
        </w:tc>
        <w:tc>
          <w:tcPr>
            <w:tcW w:type="dxa" w:w="34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نقبل، وهو مانع إطلاق كما في §2 بند 8</w:t>
            </w:r>
          </w:p>
        </w:tc>
        <w:tc>
          <w:tcPr>
            <w:tcW w:type="dxa" w:w="38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يحتاج قرار المالك D4 (KMS مُدار أو HSM). ويُبنى المحوّل بعد القرار</w:t>
            </w:r>
          </w:p>
        </w:tc>
      </w:tr>
      <w:tr>
        <w:trPr>
          <w:cantSplit/>
        </w:trPr>
        <w:tc>
          <w:tcPr>
            <w:tcW w:type="dxa" w:w="25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تناقض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‎docs/31:73‎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(P1-4)</w:t>
            </w:r>
          </w:p>
        </w:tc>
        <w:tc>
          <w:tcPr>
            <w:tcW w:type="dxa" w:w="34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نقبل</w:t>
            </w:r>
          </w:p>
        </w:tc>
        <w:tc>
          <w:tcPr>
            <w:tcW w:type="dxa" w:w="38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يُصحَّح السطر: تُحذف الأربعة المعتمدة من قائمة المعلّق</w:t>
            </w:r>
          </w:p>
        </w:tc>
      </w:tr>
      <w:tr>
        <w:trPr>
          <w:cantSplit/>
        </w:trPr>
        <w:tc>
          <w:tcPr>
            <w:tcW w:type="dxa" w:w="25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افتراضات S1-ب الخمسة عشر المعلّقة (P1-5، D5)</w:t>
            </w:r>
          </w:p>
        </w:tc>
        <w:tc>
          <w:tcPr>
            <w:tcW w:type="dxa" w:w="34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صحيح، وهي لـ S1-ب وحدها</w:t>
            </w:r>
          </w:p>
        </w:tc>
        <w:tc>
          <w:tcPr>
            <w:tcW w:type="dxa" w:w="38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تبقى أمام المالك</w:t>
            </w:r>
          </w:p>
        </w:tc>
      </w:tr>
      <w:tr>
        <w:trPr>
          <w:cantSplit/>
        </w:trPr>
        <w:tc>
          <w:tcPr>
            <w:tcW w:type="dxa" w:w="25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IFRS 9 مبسّط بلا ECL (R8، D6)</w:t>
            </w:r>
          </w:p>
        </w:tc>
        <w:tc>
          <w:tcPr>
            <w:tcW w:type="dxa" w:w="34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نقبل الإفصاح</w:t>
            </w:r>
          </w:p>
        </w:tc>
        <w:tc>
          <w:tcPr>
            <w:tcW w:type="dxa" w:w="38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يُضاف نص الإفصاح إلى وثيقة الجاهزية</w:t>
            </w:r>
          </w:p>
        </w:tc>
      </w:tr>
      <w:tr>
        <w:trPr>
          <w:cantSplit/>
        </w:trPr>
        <w:tc>
          <w:tcPr>
            <w:tcW w:type="dxa" w:w="25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المعايرة تكشف التحيّز ولا تمنعه (R7)</w:t>
            </w:r>
          </w:p>
        </w:tc>
        <w:tc>
          <w:tcPr>
            <w:tcW w:type="dxa" w:w="34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نقبل الوصف</w:t>
            </w:r>
          </w:p>
        </w:tc>
        <w:tc>
          <w:tcPr>
            <w:tcW w:type="dxa" w:w="387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يبقى قرار «معايرة إلزامية» للمالك. والمنصة للشركة تقيّم نفسها، فالمنع ليس دورها، وحسبها أن تكشف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لا نقبل تقدير «تأخير أسبوعين» في D1. فلا شيء في الحزمة يسنده، والواجهات الأربع تُبنى الآن.</w:t>
      </w:r>
    </w:p>
    <w:p>
      <w:pPr>
        <w:pStyle w:val="Heading1"/>
        <w:bidi/>
      </w:pPr>
      <w:bookmarkStart w:name="_sec5" w:id="5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5. نقاط ضعف لم تذكرها المراجعة، نفصح عنها</w:t>
      </w:r>
      <w:bookmarkEnd w:id="5"/>
    </w:p>
    <w:p>
      <w:pPr>
        <w:pStyle w:val="ListParagraph"/>
        <w:numPr>
          <w:ilvl w:val="0"/>
          <w:numId w:val="5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تخفيف 044 بلا اختبار.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قُبلت لقطة بلا قائمة إذا سمّت تقدير إيراد معتمدًا (الانحراف 4)، ولا اختبار 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‎db/tests‎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ولا 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‎app/tests‎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يمر بهذا المسار.</w:t>
      </w:r>
    </w:p>
    <w:p>
      <w:pPr>
        <w:pStyle w:val="ListParagraph"/>
        <w:numPr>
          <w:ilvl w:val="0"/>
          <w:numId w:val="5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حراسات 062 و063 بلا اختبار في القاعدة.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تختبرها اختبارات التكامل للتطبيق وحدها (FacilityFoundationTests وFinanceFoundationTests)، ولم يُضف إلى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‎db/tests‎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شيء في هذه الجولة.</w:t>
      </w:r>
    </w:p>
    <w:p>
      <w:pPr>
        <w:pStyle w:val="ListParagraph"/>
        <w:numPr>
          <w:ilvl w:val="0"/>
          <w:numId w:val="5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محرك التعهدات بلا مرجع مستقل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(§2 بند 2). نقترح مرجعًا مستقلًا بـPython لقواعد BR-FIN-003 إلى 011 على مثال الحزمة DS-FIN-C، على نمط مرجع التقييم الائتماني.</w:t>
      </w:r>
    </w:p>
    <w:p>
      <w:pPr>
        <w:pStyle w:val="ListParagraph"/>
        <w:numPr>
          <w:ilvl w:val="0"/>
          <w:numId w:val="5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حق الحذف الجديد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على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‎fin.StatementLine‎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‎fin.ConsolidationMember‎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القوادح تحصره في المسودة (045:71-97)، لكنه توسيع لصلاحية tp_app، وكان يستحق ذكرًا صريحًا في ADR 0044.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تُعالج النقاط الأربع مع بنود §4 التي لا تنتظر قرارًا.</w:t>
      </w:r>
    </w:p>
    <w:p>
      <w:pPr>
        <w:pStyle w:val="Heading1"/>
        <w:bidi/>
      </w:pPr>
      <w:bookmarkStart w:name="_sec6" w:id="6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6. على الدرجة</w:t>
      </w:r>
      <w:bookmarkEnd w:id="6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الحساب المرجّح صحيح (8,394 ÷ 100 = 83.94). لكن تغيّر الدرجات بلا قاعدة مكتوبة، فلا يمكن فحصه: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الطبقة المالية: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نالت +1 مع أن المراجعة تقول إن الجولة أغلقت فيها «أخطر فجوة في تاريخ المراجعة».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الواجهات: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نالت +6 لثماني صفحات.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G7: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أُغلقت بدليل كان موجودًا في النسخة السابقة (§2 بند 7).</w:t>
      </w:r>
    </w:p>
    <w:p>
      <w:pPr>
        <w:bidi/>
        <w:spacing w:after="6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لا نطلب رفع الدرجة. نطلب ثلاثة أمور:</w:t>
      </w:r>
    </w:p>
    <w:p>
      <w:pPr>
        <w:pStyle w:val="ListParagraph"/>
        <w:numPr>
          <w:ilvl w:val="0"/>
          <w:numId w:val="6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أن يُكتب معيار كل درجة.</w:t>
      </w:r>
    </w:p>
    <w:p>
      <w:pPr>
        <w:pStyle w:val="ListParagraph"/>
        <w:numPr>
          <w:ilvl w:val="0"/>
          <w:numId w:val="6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أن تُعاد درجة «المالية» و«الاختبارات» بعد تصحيح §2 بند 2: محرك التعهدات بلا مرجع مستقل، وهذا ينقص منهما ولا يزيد.</w:t>
      </w:r>
    </w:p>
    <w:p>
      <w:pPr>
        <w:pStyle w:val="ListParagraph"/>
        <w:numPr>
          <w:ilvl w:val="0"/>
          <w:numId w:val="6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أن تُقيَّم شريحة S2 في المكوّنات التي تخصها.</w:t>
      </w:r>
    </w:p>
    <w:p>
      <w:pPr>
        <w:bidi/>
        <w:spacing w:after="60" w:before="0"/>
      </w:pPr>
    </w:p>
    <w:p>
      <w:pPr>
        <w:pStyle w:val="Heading1"/>
        <w:bidi/>
      </w:pPr>
      <w:bookmarkStart w:name="_sec7" w:id="7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7. ما نُفّذ بعد الرد</w:t>
      </w:r>
      <w:bookmarkEnd w:id="7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نُفّذت بنود §4 التي لا تنتظر قرار المالك، في ثلاث إيداعات (33ab8fd، 40cfa74، fb2cf1b). وتشغيل CI الكامل بعدها ناجح: 83 اختبار تكامل و106 اختبارات وحدة، واختبار المتصفح، و«EXIT 0».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3143"/>
        <w:gridCol w:w="4801"/>
      </w:tblGrid>
      <w:tr>
        <w:trPr>
          <w:cantSplit/>
          <w:tblHeader/>
        </w:trPr>
        <w:tc>
          <w:tcPr>
            <w:tcW w:type="dxa" w:w="19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  <w:tc>
          <w:tcPr>
            <w:tcW w:type="dxa" w:w="31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بُني</w:t>
            </w:r>
          </w:p>
        </w:tc>
        <w:tc>
          <w:tcPr>
            <w:tcW w:type="dxa" w:w="48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الدليل</w:t>
            </w:r>
          </w:p>
        </w:tc>
      </w:tr>
      <w:tr>
        <w:trPr>
          <w:cantSplit/>
        </w:trPr>
        <w:tc>
          <w:tcPr>
            <w:tcW w:type="dxa" w:w="19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الواجهات الأربع (P0-1)</w:t>
            </w:r>
          </w:p>
        </w:tc>
        <w:tc>
          <w:tcPr>
            <w:tcW w:type="dxa" w:w="31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واجهة برمجية وشاشة لكل منها: الكفلاء وأرقامهم المؤرّخة ومستندهم، تقرير سمة، خطوط المنتجات مع حد 100% من الإيراد وتجميدها بعد اعتماد التقييم، وقرار جهة التمويل مع تحقق مستخدم آخر</w:t>
            </w:r>
          </w:p>
        </w:tc>
        <w:tc>
          <w:tcPr>
            <w:tcW w:type="dxa" w:w="48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‎CreditInputsEndpoints.cs‎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‎CreditInputs.tsx‎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‎CreditInputsTests‎</w:t>
            </w:r>
          </w:p>
        </w:tc>
      </w:tr>
      <w:tr>
        <w:trPr>
          <w:cantSplit/>
        </w:trPr>
        <w:tc>
          <w:tcPr>
            <w:tcW w:type="dxa" w:w="19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مسار المتصفح لـ S2-ب (P1-1)</w:t>
            </w:r>
          </w:p>
        </w:tc>
        <w:tc>
          <w:tcPr>
            <w:tcW w:type="dxa" w:w="31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يدعو المدير محللًا ماليًا، فيقبل الدعوة ويدخل قائمة مركز مالي ويحفظها، ثم يفتح مكتبة الصيغ والتقييمات ولوحة الالتزام</w:t>
            </w:r>
          </w:p>
        </w:tc>
        <w:tc>
          <w:tcPr>
            <w:tcW w:type="dxa" w:w="48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‎app/web/e2e/s0.spec.ts‎</w:t>
            </w:r>
          </w:p>
        </w:tc>
      </w:tr>
      <w:tr>
        <w:trPr>
          <w:cantSplit/>
        </w:trPr>
        <w:tc>
          <w:tcPr>
            <w:tcW w:type="dxa" w:w="19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الحمل على HTTP (P1-2)</w:t>
            </w:r>
          </w:p>
        </w:tc>
        <w:tc>
          <w:tcPr>
            <w:tcW w:type="dxa" w:w="31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عشرون عميلًا، لكل منهم جلسته، يرسلون 400 طلب على ثمانية مسارات رئيسية</w:t>
            </w:r>
          </w:p>
        </w:tc>
        <w:tc>
          <w:tcPr>
            <w:tcW w:type="dxa" w:w="48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‎HttpLoadTests‎</w:t>
            </w:r>
          </w:p>
        </w:tc>
      </w:tr>
      <w:tr>
        <w:trPr>
          <w:cantSplit/>
        </w:trPr>
        <w:tc>
          <w:tcPr>
            <w:tcW w:type="dxa" w:w="19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تخفيف 044 بلا اختبار (§5 بند 1)</w:t>
            </w:r>
          </w:p>
        </w:tc>
        <w:tc>
          <w:tcPr>
            <w:tcW w:type="dxa" w:w="31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اختبار يمر بلقطة تسمّي تقدير إيراد معتمدًا بلا قائمة</w:t>
            </w:r>
          </w:p>
        </w:tc>
        <w:tc>
          <w:tcPr>
            <w:tcW w:type="dxa" w:w="48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‎AcFac7Tests‎</w:t>
            </w:r>
          </w:p>
        </w:tc>
      </w:tr>
      <w:tr>
        <w:trPr>
          <w:cantSplit/>
        </w:trPr>
        <w:tc>
          <w:tcPr>
            <w:tcW w:type="dxa" w:w="192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‎docs/31:73‎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(P1-4)</w:t>
            </w:r>
          </w:p>
        </w:tc>
        <w:tc>
          <w:tcPr>
            <w:tcW w:type="dxa" w:w="314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حُذفت الافتراضات الأربعة المعتمدة من قائمة المعلّق</w:t>
            </w:r>
          </w:p>
        </w:tc>
        <w:tc>
          <w:tcPr>
            <w:tcW w:type="dxa" w:w="480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‎docs/31‎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السطر 73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أرقام الحمل من تشغيل CI (400 طلب في 4.9 ثانية، الخادم المضمّن في الاختبار على القاعدة المحلية، لا شبكة إنتاج):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8"/>
        <w:gridCol w:w="966"/>
        <w:gridCol w:w="1059"/>
        <w:gridCol w:w="1271"/>
      </w:tblGrid>
      <w:tr>
        <w:trPr>
          <w:cantSplit/>
          <w:tblHeader/>
        </w:trPr>
        <w:tc>
          <w:tcPr>
            <w:tcW w:type="dxa" w:w="65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المسار</w:t>
            </w:r>
          </w:p>
        </w:tc>
        <w:tc>
          <w:tcPr>
            <w:tcW w:type="dxa" w:w="9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p50</w:t>
            </w:r>
          </w:p>
        </w:tc>
        <w:tc>
          <w:tcPr>
            <w:tcW w:type="dxa" w:w="10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p95</w:t>
            </w:r>
          </w:p>
        </w:tc>
        <w:tc>
          <w:tcPr>
            <w:tcW w:type="dxa" w:w="12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الأقصى</w:t>
            </w:r>
          </w:p>
        </w:tc>
      </w:tr>
      <w:tr>
        <w:trPr>
          <w:cantSplit/>
        </w:trPr>
        <w:tc>
          <w:tcPr>
            <w:tcW w:type="dxa" w:w="65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‎/facilities/{id}‎</w:t>
            </w:r>
          </w:p>
        </w:tc>
        <w:tc>
          <w:tcPr>
            <w:tcW w:type="dxa" w:w="9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116 ms</w:t>
            </w:r>
          </w:p>
        </w:tc>
        <w:tc>
          <w:tcPr>
            <w:tcW w:type="dxa" w:w="10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365 ms</w:t>
            </w:r>
          </w:p>
        </w:tc>
        <w:tc>
          <w:tcPr>
            <w:tcW w:type="dxa" w:w="12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2,634 ms</w:t>
            </w:r>
          </w:p>
        </w:tc>
      </w:tr>
      <w:tr>
        <w:trPr>
          <w:cantSplit/>
        </w:trPr>
        <w:tc>
          <w:tcPr>
            <w:tcW w:type="dxa" w:w="65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‎/facilities/{id}/limits‎</w:t>
            </w:r>
          </w:p>
        </w:tc>
        <w:tc>
          <w:tcPr>
            <w:tcW w:type="dxa" w:w="9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143 ms</w:t>
            </w:r>
          </w:p>
        </w:tc>
        <w:tc>
          <w:tcPr>
            <w:tcW w:type="dxa" w:w="10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230 ms</w:t>
            </w:r>
          </w:p>
        </w:tc>
        <w:tc>
          <w:tcPr>
            <w:tcW w:type="dxa" w:w="12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2,313 ms</w:t>
            </w:r>
          </w:p>
        </w:tc>
      </w:tr>
      <w:tr>
        <w:trPr>
          <w:cantSplit/>
        </w:trPr>
        <w:tc>
          <w:tcPr>
            <w:tcW w:type="dxa" w:w="65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‎/facilities/{id}/compliance‎</w:t>
            </w:r>
          </w:p>
        </w:tc>
        <w:tc>
          <w:tcPr>
            <w:tcW w:type="dxa" w:w="9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146 ms</w:t>
            </w:r>
          </w:p>
        </w:tc>
        <w:tc>
          <w:tcPr>
            <w:tcW w:type="dxa" w:w="10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237 ms</w:t>
            </w:r>
          </w:p>
        </w:tc>
        <w:tc>
          <w:tcPr>
            <w:tcW w:type="dxa" w:w="12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2,441 ms</w:t>
            </w:r>
          </w:p>
        </w:tc>
      </w:tr>
      <w:tr>
        <w:trPr>
          <w:cantSplit/>
        </w:trPr>
        <w:tc>
          <w:tcPr>
            <w:tcW w:type="dxa" w:w="65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‎/facilities/{id}/covenant-tests‎</w:t>
            </w:r>
          </w:p>
        </w:tc>
        <w:tc>
          <w:tcPr>
            <w:tcW w:type="dxa" w:w="9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126 ms</w:t>
            </w:r>
          </w:p>
        </w:tc>
        <w:tc>
          <w:tcPr>
            <w:tcW w:type="dxa" w:w="10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516 ms</w:t>
            </w:r>
          </w:p>
        </w:tc>
        <w:tc>
          <w:tcPr>
            <w:tcW w:type="dxa" w:w="12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2,425 ms</w:t>
            </w:r>
          </w:p>
        </w:tc>
      </w:tr>
      <w:tr>
        <w:trPr>
          <w:cantSplit/>
        </w:trPr>
        <w:tc>
          <w:tcPr>
            <w:tcW w:type="dxa" w:w="65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‎/financial-statements‎</w:t>
            </w:r>
          </w:p>
        </w:tc>
        <w:tc>
          <w:tcPr>
            <w:tcW w:type="dxa" w:w="9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109 ms</w:t>
            </w:r>
          </w:p>
        </w:tc>
        <w:tc>
          <w:tcPr>
            <w:tcW w:type="dxa" w:w="10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354 ms</w:t>
            </w:r>
          </w:p>
        </w:tc>
        <w:tc>
          <w:tcPr>
            <w:tcW w:type="dxa" w:w="12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2,061 ms</w:t>
            </w:r>
          </w:p>
        </w:tc>
      </w:tr>
      <w:tr>
        <w:trPr>
          <w:cantSplit/>
        </w:trPr>
        <w:tc>
          <w:tcPr>
            <w:tcW w:type="dxa" w:w="65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‎/financial-statements/{id}‎</w:t>
            </w:r>
          </w:p>
        </w:tc>
        <w:tc>
          <w:tcPr>
            <w:tcW w:type="dxa" w:w="9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125 ms</w:t>
            </w:r>
          </w:p>
        </w:tc>
        <w:tc>
          <w:tcPr>
            <w:tcW w:type="dxa" w:w="10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401 ms</w:t>
            </w:r>
          </w:p>
        </w:tc>
        <w:tc>
          <w:tcPr>
            <w:tcW w:type="dxa" w:w="12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1,915 ms</w:t>
            </w:r>
          </w:p>
        </w:tc>
      </w:tr>
      <w:tr>
        <w:trPr>
          <w:cantSplit/>
        </w:trPr>
        <w:tc>
          <w:tcPr>
            <w:tcW w:type="dxa" w:w="65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‎/fin/assessments‎</w:t>
            </w:r>
          </w:p>
        </w:tc>
        <w:tc>
          <w:tcPr>
            <w:tcW w:type="dxa" w:w="9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122 ms</w:t>
            </w:r>
          </w:p>
        </w:tc>
        <w:tc>
          <w:tcPr>
            <w:tcW w:type="dxa" w:w="10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356 ms</w:t>
            </w:r>
          </w:p>
        </w:tc>
        <w:tc>
          <w:tcPr>
            <w:tcW w:type="dxa" w:w="12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2,238 ms</w:t>
            </w:r>
          </w:p>
        </w:tc>
      </w:tr>
      <w:tr>
        <w:trPr>
          <w:cantSplit/>
        </w:trPr>
        <w:tc>
          <w:tcPr>
            <w:tcW w:type="dxa" w:w="65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‎/reports/compliance‎</w:t>
            </w:r>
          </w:p>
        </w:tc>
        <w:tc>
          <w:tcPr>
            <w:tcW w:type="dxa" w:w="9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136 ms</w:t>
            </w:r>
          </w:p>
        </w:tc>
        <w:tc>
          <w:tcPr>
            <w:tcW w:type="dxa" w:w="105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1,014 ms</w:t>
            </w:r>
          </w:p>
        </w:tc>
        <w:tc>
          <w:tcPr>
            <w:tcW w:type="dxa" w:w="12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2,260 ms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كل p95 تحت ثانيتين (NFR-PERF-01). لكن الحد الأقصى تجاوزهما في سبعة مسارات من ثمانية، وهو أول دفعة من الطلبات المتزامنة. فالحد يُقاس على p95 لا على الأقصى، ولا نعدّه دليلًا على أداء الإنتاج.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ما بقي مفتوحًا: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حراسات 062 و063 في </w:t>
      </w:r>
      <w:r>
        <w:rPr>
          <w:rFonts w:ascii="Courier New" w:cs="Courier New" w:eastAsia="Courier New" w:hAnsi="Courier New"/>
          <w:b/>
          <w:bCs/>
          <w:color w:val="1F2937"/>
          <w:sz w:val="18"/>
          <w:szCs w:val="18"/>
          <w:shd w:fill="F1F3F5" w:color="auto" w:val="clear"/>
          <w:rtl/>
        </w:rPr>
        <w:t xml:space="preserve">‎db/tests‎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(§5 بند 2): لم تُضف بعد، وتغطيها اختبارات التطبيق.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مرجع مستقل لمحرك التعهدات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(§5 بند 3): لم يُبنَ بعد.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AC-FAC-12 عبر HTTP: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ينتظر مسار موافقة الخزينة على الطلب، وهو من S3.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نص إفصاح IFRS 9: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لم يُضف بعد إلى وثيقة الجاهزية.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قرارات المالك: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D2 إلى D6 كما في §4.</w:t>
      </w:r>
    </w:p>
    <w:p>
      <w:pPr>
        <w:bidi/>
        <w:spacing w:after="60" w:before="0"/>
      </w:pPr>
    </w:p>
    <w:sectPr>
      <w:headerReference w:type="default" r:id="rId7"/>
      <w:footerReference w:type="default" r:id="rId8"/>
      <w:pgSz w:w="11906" w:h="16838" w:orient="portrait"/>
      <w:pgMar w:top="1134" w:right="1021" w:bottom="1134" w:left="1021" w:header="500" w:footer="500" w:gutter="0"/>
      <w:pgNumType/>
      <w:bidi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color w:val="5B6670"/>
        <w:sz w:val="17"/>
        <w:szCs w:val="17"/>
        <w:rtl/>
      </w:rPr>
      <w:t xml:space="preserve">صفحة </w:t>
    </w:r>
    <w:r>
      <w:rPr>
        <w:rFonts w:ascii="Arial" w:cs="Arial" w:eastAsia="Arial" w:hAnsi="Arial"/>
        <w:color w:val="5B6670"/>
        <w:sz w:val="17"/>
        <w:szCs w:val="17"/>
        <w:rtl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670"/>
        <w:sz w:val="17"/>
        <w:szCs w:val="17"/>
        <w:rtl/>
      </w:rPr>
      <w:t xml:space="preserve"> من </w:t>
    </w:r>
    <w:r>
      <w:rPr>
        <w:rFonts w:ascii="Arial" w:cs="Arial" w:eastAsia="Arial" w:hAnsi="Arial"/>
        <w:color w:val="5B6670"/>
        <w:sz w:val="17"/>
        <w:szCs w:val="17"/>
        <w:rtl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9D6" w:sz="4" w:space="4"/>
      </w:pBdr>
      <w:bidi/>
      <w:spacing w:after="0"/>
    </w:pPr>
    <w:r>
      <w:rPr>
        <w:rFonts w:ascii="Arial" w:cs="Arial" w:eastAsia="Arial" w:hAnsi="Arial"/>
        <w:color w:val="5B6670"/>
        <w:sz w:val="17"/>
        <w:szCs w:val="17"/>
        <w:rtl/>
      </w:rPr>
      <w:t xml:space="preserve">BankFas — الرد على المراجعة الخارجية 9.0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74" w:hanging="284"/>
      </w:pPr>
    </w:lvl>
    <w:lvl w:ilvl="1" w15:tentative="1">
      <w:start w:val="1"/>
      <w:numFmt w:val="bullet"/>
      <w:lvlText w:val="–"/>
      <w:lvlJc w:val="left"/>
      <w:pPr>
        <w:ind w:left="1028" w:hanging="284"/>
      </w:pPr>
    </w:lvl>
    <w:lvl w:ilvl="2" w15:tentative="1">
      <w:start w:val="1"/>
      <w:numFmt w:val="bullet"/>
      <w:lvlText w:val="·"/>
      <w:lvlJc w:val="left"/>
      <w:pPr>
        <w:ind w:left="1482" w:hanging="284"/>
      </w:pPr>
    </w:lvl>
    <w:lvl w:ilvl="3" w15:tentative="1">
      <w:start w:val="1"/>
      <w:numFmt w:val="bullet"/>
      <w:lvlText w:val="·"/>
      <w:lvlJc w:val="left"/>
      <w:pPr>
        <w:ind w:left="1936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4" w:hanging="340"/>
      </w:pPr>
    </w:lvl>
    <w:lvl w:ilvl="1" w15:tentative="1">
      <w:start w:val="1"/>
      <w:numFmt w:val="decimal"/>
      <w:lvlText w:val="%2."/>
      <w:lvlJc w:val="left"/>
      <w:pPr>
        <w:ind w:left="1028" w:hanging="340"/>
      </w:pPr>
    </w:lvl>
    <w:lvl w:ilvl="2" w15:tentative="1">
      <w:start w:val="1"/>
      <w:numFmt w:val="decimal"/>
      <w:lvlText w:val="%3."/>
      <w:lvlJc w:val="left"/>
      <w:pPr>
        <w:ind w:left="1482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  <w:rtl/>
        <w:lang w:val="ar-SA" w:bidi="ar-SA"/>
      </w:rPr>
    </w:rPrDefault>
    <w:pPrDefault>
      <w:pPr>
        <w:bidi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bidi/>
      <w:spacing w:after="160" w:before="0"/>
    </w:pPr>
    <w:rPr>
      <w:b/>
      <w:bCs/>
      <w:color w:val="1F3A5F"/>
      <w:sz w:val="48"/>
      <w:szCs w:val="48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3A5F" w:sz="8" w:space="3"/>
      </w:pBdr>
      <w:bidi/>
      <w:spacing w:after="140" w:before="38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bidi/>
      <w:spacing w:after="100" w:before="260"/>
      <w:outlineLvl w:val="1"/>
    </w:pPr>
    <w:rPr>
      <w:b/>
      <w:bCs/>
      <w:color w:val="2B5C8A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bidi/>
      <w:spacing w:after="80" w:before="200"/>
      <w:outlineLvl w:val="2"/>
    </w:pPr>
    <w:rPr>
      <w:b/>
      <w:bCs/>
      <w:color w:val="2B5C8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الرد على المراجعة المعمارية النقدية (النسخة 9.0)</dc:title>
  <dc:creator>Claude</dc:creator>
  <dc:description>BankFas database design document</dc:description>
  <cp:lastModifiedBy>Un-named</cp:lastModifiedBy>
  <cp:revision>1</cp:revision>
  <dcterms:created xsi:type="dcterms:W3CDTF">2026-10-23T11:45:12.074Z</dcterms:created>
  <dcterms:modified xsi:type="dcterms:W3CDTF">2026-10-23T11:45:12.074Z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