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252 tables · 20 schemas · 936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252 tables in 20 schemas; 936 foreign keys; 661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252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57</w:t>
            </w:r>
          </w:p>
        </w:tc>
        <w:tc>
          <w:tcPr>
            <w:tcW w:type="dxa" w:w="1701"/>
          </w:tcPr>
          <w:p>
            <w:pPr>
              <w:spacing w:after="0" w:before="0"/>
            </w:pPr>
            <w:r/>
            <w:r>
              <w:rPr>
                <w:rFonts w:ascii="Arial" w:hAnsi="Arial"/>
                <w:b w:val="0"/>
                <w:sz w:val="17"/>
              </w:rPr>
              <w:t>31</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10</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9</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23</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94 diagrams cover 252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38</w:t>
            </w:r>
          </w:p>
        </w:tc>
        <w:tc>
          <w:tcPr>
            <w:tcW w:type="dxa" w:w="2268"/>
          </w:tcPr>
          <w:p>
            <w:pPr>
              <w:spacing w:after="0" w:before="0"/>
            </w:pPr>
            <w:r/>
            <w:r>
              <w:rPr>
                <w:rFonts w:ascii="Arial" w:hAnsi="Arial"/>
                <w:b w:val="0"/>
                <w:sz w:val="17"/>
              </w:rPr>
              <w:t>94</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7909469"/>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7909469"/>
                    </a:xfrm>
                    <a:prstGeom prst="rect"/>
                  </pic:spPr>
                </pic:pic>
              </a:graphicData>
            </a:graphic>
          </wp:inline>
        </w:drawing>
      </w:r>
    </w:p>
    <w:p>
      <w:pPr>
        <w:spacing w:after="120"/>
        <w:jc w:val="center"/>
      </w:pPr>
      <w:r>
        <w:rPr>
          <w:rFonts w:ascii="Arial" w:hAnsi="Arial"/>
          <w:b w:val="0"/>
          <w:i/>
          <w:color w:val="6B7280"/>
          <w:sz w:val="16"/>
        </w:rPr>
        <w:t>Figure 32  Facilities and revisions (part 1 of 2)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w:t>
            </w:r>
          </w:p>
        </w:tc>
        <w:tc>
          <w:tcPr>
            <w:tcW w:type="dxa" w:w="6690"/>
            <w:shd w:val="clear" w:color="auto" w:fill="E8EEF6"/>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shd w:val="clear" w:color="auto" w:fill="E8EEF6"/>
          </w:tcPr>
          <w:p>
            <w:pPr>
              <w:spacing w:after="0" w:before="0"/>
            </w:pPr>
            <w:r/>
            <w:r>
              <w:rPr>
                <w:rFonts w:ascii="Arial" w:hAnsi="Arial"/>
                <w:b w:val="0"/>
                <w:sz w:val="15"/>
              </w:rPr>
              <w:t>FacilityLenderId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 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RootId, FacilityLenderId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63590" cy="6150328"/>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63590" cy="6150328"/>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fac.OutstandingSnapshot</w:t>
            </w:r>
          </w:p>
        </w:tc>
        <w:tc>
          <w:tcPr>
            <w:tcW w:type="dxa" w:w="6690"/>
          </w:tcPr>
          <w:p>
            <w:pPr>
              <w:spacing w:after="0" w:before="0"/>
            </w:pPr>
            <w:r/>
            <w:r>
              <w:rPr>
                <w:rFonts w:ascii="Arial" w:hAnsi="Arial"/>
                <w:b w:val="0"/>
                <w:sz w:val="15"/>
              </w:rPr>
              <w:t>Snapshot of the recognised outstanding balance (FR-FAC-009, BR-FAC-017); PctOfLimit is derived and not stored</w:t>
            </w:r>
          </w:p>
        </w:tc>
        <w:tc>
          <w:tcPr>
            <w:tcW w:type="dxa" w:w="2948"/>
          </w:tcPr>
          <w:p>
            <w:pPr>
              <w:spacing w:after="0" w:before="0"/>
            </w:pPr>
            <w:r/>
            <w:r>
              <w:rPr>
                <w:rFonts w:ascii="Arial" w:hAnsi="Arial"/>
                <w:b w:val="0"/>
                <w:sz w:val="15"/>
              </w:rPr>
              <w:t>OutstandingSnapshotId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fac.FacilityLenderDecision</w:t>
            </w:r>
          </w:p>
        </w:tc>
        <w:tc>
          <w:tcPr>
            <w:tcW w:type="dxa" w:w="6690"/>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948"/>
            <w:shd w:val="clear" w:color="auto" w:fill="E8EEF6"/>
          </w:tcPr>
          <w:p>
            <w:pPr>
              <w:spacing w:after="0" w:before="0"/>
            </w:pPr>
            <w:r/>
            <w:r>
              <w:rPr>
                <w:rFonts w:ascii="Arial" w:hAnsi="Arial"/>
                <w:b w:val="0"/>
                <w:sz w:val="15"/>
              </w:rPr>
              <w:t>FacilityLenderDecisionId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fac.FacilityLenderDecision</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CandidateASourceDocumentId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CandidateBSourceDocumentId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ResolvedBy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27470" cy="402184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6427470" cy="4021843"/>
                    </a:xfrm>
                    <a:prstGeom prst="rect"/>
                  </pic:spPr>
                </pic:pic>
              </a:graphicData>
            </a:graphic>
          </wp:inline>
        </w:drawing>
      </w:r>
    </w:p>
    <w:p>
      <w:pPr>
        <w:spacing w:after="120"/>
        <w:jc w:val="center"/>
      </w:pPr>
      <w:r>
        <w:rPr>
          <w:rFonts w:ascii="Arial" w:hAnsi="Arial"/>
          <w:b w:val="0"/>
          <w:i/>
          <w:color w:val="6B7280"/>
          <w:sz w:val="16"/>
        </w:rPr>
        <w:t>Figure 48  Financial statements and balances (part 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fin.AssessmentEvidencePack</w:t>
            </w:r>
          </w:p>
        </w:tc>
        <w:tc>
          <w:tcPr>
            <w:tcW w:type="dxa" w:w="6690"/>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948"/>
            <w:shd w:val="clear" w:color="auto" w:fill="E8EEF6"/>
          </w:tcPr>
          <w:p>
            <w:pPr>
              <w:spacing w:after="0" w:before="0"/>
            </w:pPr>
            <w:r/>
            <w:r>
              <w:rPr>
                <w:rFonts w:ascii="Arial" w:hAnsi="Arial"/>
                <w:b w:val="0"/>
                <w:sz w:val="15"/>
              </w:rPr>
              <w:t>AssessmentEvidencePackId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ConfirmedBy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LastReopenedBy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fin.AssessmentEvidencePack</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fin.AssessmentEvidencePack</w:t>
            </w:r>
          </w:p>
        </w:tc>
        <w:tc>
          <w:tcPr>
            <w:tcW w:type="dxa" w:w="2948"/>
          </w:tcPr>
          <w:p>
            <w:pPr>
              <w:spacing w:after="0" w:before="0"/>
            </w:pPr>
            <w:r/>
            <w:r>
              <w:rPr>
                <w:rFonts w:ascii="Arial" w:hAnsi="Arial"/>
                <w:b w:val="0"/>
                <w:sz w:val="15"/>
              </w:rPr>
              <w:t>GeneratedBy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7667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766787"/>
                    </a:xfrm>
                    <a:prstGeom prst="rect"/>
                  </pic:spPr>
                </pic:pic>
              </a:graphicData>
            </a:graphic>
          </wp:inline>
        </w:drawing>
      </w:r>
    </w:p>
    <w:p>
      <w:pPr>
        <w:spacing w:after="120"/>
        <w:jc w:val="center"/>
      </w:pPr>
      <w:r>
        <w:rPr>
          <w:rFonts w:ascii="Arial" w:hAnsi="Arial"/>
          <w:b w:val="0"/>
          <w:i/>
          <w:color w:val="6B7280"/>
          <w:sz w:val="16"/>
        </w:rPr>
        <w:t>Figure 49  Financial statements and balances (part 2 of 22)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LastReopenedBy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45530" cy="2114993"/>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145530" cy="2114993"/>
                    </a:xfrm>
                    <a:prstGeom prst="rect"/>
                  </pic:spPr>
                </pic:pic>
              </a:graphicData>
            </a:graphic>
          </wp:inline>
        </w:drawing>
      </w:r>
    </w:p>
    <w:p>
      <w:pPr>
        <w:spacing w:after="120"/>
        <w:jc w:val="center"/>
      </w:pPr>
      <w:r>
        <w:rPr>
          <w:rFonts w:ascii="Arial" w:hAnsi="Arial"/>
          <w:b w:val="0"/>
          <w:i/>
          <w:color w:val="6B7280"/>
          <w:sz w:val="16"/>
        </w:rPr>
        <w:t>Figure 50  Financial statements and balances (part 3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678131"/>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786880" cy="3678131"/>
                    </a:xfrm>
                    <a:prstGeom prst="rect"/>
                  </pic:spPr>
                </pic:pic>
              </a:graphicData>
            </a:graphic>
          </wp:inline>
        </w:drawing>
      </w:r>
    </w:p>
    <w:p>
      <w:pPr>
        <w:spacing w:after="120"/>
        <w:jc w:val="center"/>
      </w:pPr>
      <w:r>
        <w:rPr>
          <w:rFonts w:ascii="Arial" w:hAnsi="Arial"/>
          <w:b w:val="0"/>
          <w:i/>
          <w:color w:val="6B7280"/>
          <w:sz w:val="16"/>
        </w:rPr>
        <w:t>Figure 51  Financial statements and balances (part 4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fin.CountryRegion</w:t>
            </w:r>
          </w:p>
        </w:tc>
        <w:tc>
          <w:tcPr>
            <w:tcW w:type="dxa" w:w="6690"/>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shd w:val="clear" w:color="auto" w:fill="E8EEF6"/>
          </w:tcPr>
          <w:p>
            <w:pPr>
              <w:spacing w:after="0" w:before="0"/>
            </w:pPr>
            <w:r/>
            <w:r>
              <w:rPr>
                <w:rFonts w:ascii="Arial" w:hAnsi="Arial"/>
                <w:b w:val="0"/>
                <w:sz w:val="15"/>
              </w:rPr>
              <w:t>CountryRegionId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fin.CountryRegion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328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015990" cy="2132828"/>
                    </a:xfrm>
                    <a:prstGeom prst="rect"/>
                  </pic:spPr>
                </pic:pic>
              </a:graphicData>
            </a:graphic>
          </wp:inline>
        </w:drawing>
      </w:r>
    </w:p>
    <w:p>
      <w:pPr>
        <w:spacing w:after="120"/>
        <w:jc w:val="center"/>
      </w:pPr>
      <w:r>
        <w:rPr>
          <w:rFonts w:ascii="Arial" w:hAnsi="Arial"/>
          <w:b w:val="0"/>
          <w:i/>
          <w:color w:val="6B7280"/>
          <w:sz w:val="16"/>
        </w:rPr>
        <w:t>Figure 52  Financial statements and balances (part 5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fin.CountryRiskProfile</w:t>
            </w:r>
          </w:p>
        </w:tc>
        <w:tc>
          <w:tcPr>
            <w:tcW w:type="dxa" w:w="6690"/>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tcPr>
          <w:p>
            <w:pPr>
              <w:spacing w:after="0" w:before="0"/>
            </w:pPr>
            <w:r/>
            <w:r>
              <w:rPr>
                <w:rFonts w:ascii="Arial" w:hAnsi="Arial"/>
                <w:b w:val="0"/>
                <w:sz w:val="15"/>
              </w:rPr>
              <w:t>CountryRiskProfileId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SovereignRatingGradeId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92119"/>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224270" cy="7292119"/>
                    </a:xfrm>
                    <a:prstGeom prst="rect"/>
                  </pic:spPr>
                </pic:pic>
              </a:graphicData>
            </a:graphic>
          </wp:inline>
        </w:drawing>
      </w:r>
    </w:p>
    <w:p>
      <w:pPr>
        <w:spacing w:after="120"/>
        <w:jc w:val="center"/>
      </w:pPr>
      <w:r>
        <w:rPr>
          <w:rFonts w:ascii="Arial" w:hAnsi="Arial"/>
          <w:b w:val="0"/>
          <w:i/>
          <w:color w:val="6B7280"/>
          <w:sz w:val="16"/>
        </w:rPr>
        <w:t>Figure 53  Financial statements and balances (part 6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EndorsedBy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MarketCountryId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AnchorGradeId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CountryCeilingGradeId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79870" cy="6417763"/>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79870" cy="6417763"/>
                    </a:xfrm>
                    <a:prstGeom prst="rect"/>
                  </pic:spPr>
                </pic:pic>
              </a:graphicData>
            </a:graphic>
          </wp:inline>
        </w:drawing>
      </w:r>
    </w:p>
    <w:p>
      <w:pPr>
        <w:spacing w:after="120"/>
        <w:jc w:val="center"/>
      </w:pPr>
      <w:r>
        <w:rPr>
          <w:rFonts w:ascii="Arial" w:hAnsi="Arial"/>
          <w:b w:val="0"/>
          <w:i/>
          <w:color w:val="6B7280"/>
          <w:sz w:val="16"/>
        </w:rPr>
        <w:t>Figure 54  Financial statements and balances (part 7 of 22)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fin.CreditAssessmentFacility</w:t>
            </w:r>
          </w:p>
        </w:tc>
        <w:tc>
          <w:tcPr>
            <w:tcW w:type="dxa" w:w="6690"/>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shd w:val="clear" w:color="auto" w:fill="E8EEF6"/>
          </w:tcPr>
          <w:p>
            <w:pPr>
              <w:spacing w:after="0" w:before="0"/>
            </w:pPr>
            <w:r/>
            <w:r>
              <w:rPr>
                <w:rFonts w:ascii="Arial" w:hAnsi="Arial"/>
                <w:b w:val="0"/>
                <w:sz w:val="15"/>
              </w:rPr>
              <w:t>CreditAssessmentFacilityId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LenderDecisionId</w:t>
            </w:r>
          </w:p>
        </w:tc>
        <w:tc>
          <w:tcPr>
            <w:tcW w:type="dxa" w:w="2721"/>
          </w:tcPr>
          <w:p>
            <w:pPr>
              <w:spacing w:after="0" w:before="0"/>
            </w:pPr>
            <w:r/>
            <w:r>
              <w:rPr>
                <w:rFonts w:ascii="Arial" w:hAnsi="Arial"/>
                <w:b w:val="0"/>
                <w:sz w:val="15"/>
              </w:rPr>
              <w:t>fac.FacilityLenderDecision</w:t>
            </w:r>
          </w:p>
        </w:tc>
        <w:tc>
          <w:tcPr>
            <w:tcW w:type="dxa" w:w="2948"/>
          </w:tcPr>
          <w:p>
            <w:pPr>
              <w:spacing w:after="0" w:before="0"/>
            </w:pPr>
            <w:r/>
            <w:r>
              <w:rPr>
                <w:rFonts w:ascii="Arial" w:hAnsi="Arial"/>
                <w:b w:val="0"/>
                <w:sz w:val="15"/>
              </w:rPr>
              <w:t>FacilityLenderDecisionId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3171191"/>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388100" cy="3171191"/>
                    </a:xfrm>
                    <a:prstGeom prst="rect"/>
                  </pic:spPr>
                </pic:pic>
              </a:graphicData>
            </a:graphic>
          </wp:inline>
        </w:drawing>
      </w:r>
    </w:p>
    <w:p>
      <w:pPr>
        <w:spacing w:after="120"/>
        <w:jc w:val="center"/>
      </w:pPr>
      <w:r>
        <w:rPr>
          <w:rFonts w:ascii="Arial" w:hAnsi="Arial"/>
          <w:b w:val="0"/>
          <w:i/>
          <w:color w:val="6B7280"/>
          <w:sz w:val="16"/>
        </w:rPr>
        <w:t>Figure 55  Financial statements and balances (part 8 of 22)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2984057"/>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512559" cy="2984057"/>
                    </a:xfrm>
                    <a:prstGeom prst="rect"/>
                  </pic:spPr>
                </pic:pic>
              </a:graphicData>
            </a:graphic>
          </wp:inline>
        </w:drawing>
      </w:r>
    </w:p>
    <w:p>
      <w:pPr>
        <w:spacing w:after="120"/>
        <w:jc w:val="center"/>
      </w:pPr>
      <w:r>
        <w:rPr>
          <w:rFonts w:ascii="Arial" w:hAnsi="Arial"/>
          <w:b w:val="0"/>
          <w:i/>
          <w:color w:val="6B7280"/>
          <w:sz w:val="16"/>
        </w:rPr>
        <w:t>Figure 56  Financial statements and balances (part 9 of 22)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fin.CreditAssessmentGuarantor</w:t>
            </w:r>
          </w:p>
        </w:tc>
        <w:tc>
          <w:tcPr>
            <w:tcW w:type="dxa" w:w="6690"/>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tcPr>
          <w:p>
            <w:pPr>
              <w:spacing w:after="0" w:before="0"/>
            </w:pPr>
            <w:r/>
            <w:r>
              <w:rPr>
                <w:rFonts w:ascii="Arial" w:hAnsi="Arial"/>
                <w:b w:val="0"/>
                <w:sz w:val="15"/>
              </w:rPr>
              <w:t>CreditAssessmentGuarantorId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6650181"/>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355080" cy="6650181"/>
                    </a:xfrm>
                    <a:prstGeom prst="rect"/>
                  </pic:spPr>
                </pic:pic>
              </a:graphicData>
            </a:graphic>
          </wp:inline>
        </w:drawing>
      </w:r>
    </w:p>
    <w:p>
      <w:pPr>
        <w:spacing w:after="120"/>
        <w:jc w:val="center"/>
      </w:pPr>
      <w:r>
        <w:rPr>
          <w:rFonts w:ascii="Arial" w:hAnsi="Arial"/>
          <w:b w:val="0"/>
          <w:i/>
          <w:color w:val="6B7280"/>
          <w:sz w:val="16"/>
        </w:rPr>
        <w:t>Figure 57  Financial statements and balances (part 10 of 22)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4663274"/>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479540" cy="4663274"/>
                    </a:xfrm>
                    <a:prstGeom prst="rect"/>
                  </pic:spPr>
                </pic:pic>
              </a:graphicData>
            </a:graphic>
          </wp:inline>
        </w:drawing>
      </w:r>
    </w:p>
    <w:p>
      <w:pPr>
        <w:spacing w:after="120"/>
        <w:jc w:val="center"/>
      </w:pPr>
      <w:r>
        <w:rPr>
          <w:rFonts w:ascii="Arial" w:hAnsi="Arial"/>
          <w:b w:val="0"/>
          <w:i/>
          <w:color w:val="6B7280"/>
          <w:sz w:val="16"/>
        </w:rPr>
        <w:t>Figure 58  Financial statements and balances (part 11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w:t>
            </w:r>
          </w:p>
        </w:tc>
        <w:tc>
          <w:tcPr>
            <w:tcW w:type="dxa" w:w="6690"/>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tcPr>
          <w:p>
            <w:pPr>
              <w:spacing w:after="0" w:before="0"/>
            </w:pPr>
            <w:r/>
            <w:r>
              <w:rPr>
                <w:rFonts w:ascii="Arial" w:hAnsi="Arial"/>
                <w:b w:val="0"/>
                <w:sz w:val="15"/>
              </w:rPr>
              <w:t>CreditAssessmentPlanId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fin.CreditAssessmentPlanStep</w:t>
            </w:r>
          </w:p>
        </w:tc>
        <w:tc>
          <w:tcPr>
            <w:tcW w:type="dxa" w:w="6690"/>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2948"/>
            <w:shd w:val="clear" w:color="auto" w:fill="E8EEF6"/>
          </w:tcPr>
          <w:p>
            <w:pPr>
              <w:spacing w:after="0" w:before="0"/>
            </w:pPr>
            <w:r/>
            <w:r>
              <w:rPr>
                <w:rFonts w:ascii="Arial" w:hAnsi="Arial"/>
                <w:b w:val="0"/>
                <w:sz w:val="15"/>
              </w:rPr>
              <w:t>CreditAssessmentPlanStepId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6680" cy="8073969"/>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456680" cy="8073969"/>
                    </a:xfrm>
                    <a:prstGeom prst="rect"/>
                  </pic:spPr>
                </pic:pic>
              </a:graphicData>
            </a:graphic>
          </wp:inline>
        </w:drawing>
      </w:r>
    </w:p>
    <w:p>
      <w:pPr>
        <w:spacing w:after="120"/>
        <w:jc w:val="center"/>
      </w:pPr>
      <w:r>
        <w:rPr>
          <w:rFonts w:ascii="Arial" w:hAnsi="Arial"/>
          <w:b w:val="0"/>
          <w:i/>
          <w:color w:val="6B7280"/>
          <w:sz w:val="16"/>
        </w:rPr>
        <w:t>Figure 59  Financial statements and balances (part 12 of 22)  ·  8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fin.CreditAssessmentReclass</w:t>
            </w:r>
          </w:p>
        </w:tc>
        <w:tc>
          <w:tcPr>
            <w:tcW w:type="dxa" w:w="6690"/>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tcPr>
          <w:p>
            <w:pPr>
              <w:spacing w:after="0" w:before="0"/>
            </w:pPr>
            <w:r/>
            <w:r>
              <w:rPr>
                <w:rFonts w:ascii="Arial" w:hAnsi="Arial"/>
                <w:b w:val="0"/>
                <w:sz w:val="15"/>
              </w:rPr>
              <w:t>CreditAssessmentReclassId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fin.CreditAssessmentRemedy</w:t>
            </w:r>
          </w:p>
        </w:tc>
        <w:tc>
          <w:tcPr>
            <w:tcW w:type="dxa" w:w="6690"/>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shd w:val="clear" w:color="auto" w:fill="E8EEF6"/>
          </w:tcPr>
          <w:p>
            <w:pPr>
              <w:spacing w:after="0" w:before="0"/>
            </w:pPr>
            <w:r/>
            <w:r>
              <w:rPr>
                <w:rFonts w:ascii="Arial" w:hAnsi="Arial"/>
                <w:b w:val="0"/>
                <w:sz w:val="15"/>
              </w:rPr>
              <w:t>CreditAssessmentRemedyId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fin.CreditAssessmentScenario</w:t>
            </w:r>
          </w:p>
        </w:tc>
        <w:tc>
          <w:tcPr>
            <w:tcW w:type="dxa" w:w="6690"/>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tcPr>
          <w:p>
            <w:pPr>
              <w:spacing w:after="0" w:before="0"/>
            </w:pPr>
            <w:r/>
            <w:r>
              <w:rPr>
                <w:rFonts w:ascii="Arial" w:hAnsi="Arial"/>
                <w:b w:val="0"/>
                <w:sz w:val="15"/>
              </w:rPr>
              <w:t>CreditAssessmentScenarioId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fin.CreditAssessmentTrigger</w:t>
            </w:r>
          </w:p>
        </w:tc>
        <w:tc>
          <w:tcPr>
            <w:tcW w:type="dxa" w:w="6690"/>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shd w:val="clear" w:color="auto" w:fill="E8EEF6"/>
          </w:tcPr>
          <w:p>
            <w:pPr>
              <w:spacing w:after="0" w:before="0"/>
            </w:pPr>
            <w:r/>
            <w:r>
              <w:rPr>
                <w:rFonts w:ascii="Arial" w:hAnsi="Arial"/>
                <w:b w:val="0"/>
                <w:sz w:val="15"/>
              </w:rPr>
              <w:t>CreditAssessmentTriggerId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fin.CreditMetric</w:t>
            </w:r>
          </w:p>
        </w:tc>
        <w:tc>
          <w:tcPr>
            <w:tcW w:type="dxa" w:w="6690"/>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tcPr>
          <w:p>
            <w:pPr>
              <w:spacing w:after="0" w:before="0"/>
            </w:pPr>
            <w:r/>
            <w:r>
              <w:rPr>
                <w:rFonts w:ascii="Arial" w:hAnsi="Arial"/>
                <w:b w:val="0"/>
                <w:sz w:val="15"/>
              </w:rPr>
              <w:t>CreditMetricId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w:t>
            </w:r>
          </w:p>
        </w:tc>
        <w:tc>
          <w:tcPr>
            <w:tcW w:type="dxa" w:w="6690"/>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shd w:val="clear" w:color="auto" w:fill="E8EEF6"/>
          </w:tcPr>
          <w:p>
            <w:pPr>
              <w:spacing w:after="0" w:before="0"/>
            </w:pPr>
            <w:r/>
            <w:r>
              <w:rPr>
                <w:rFonts w:ascii="Arial" w:hAnsi="Arial"/>
                <w:b w:val="0"/>
                <w:sz w:val="15"/>
              </w:rPr>
              <w:t>CreditRemedyId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fin.CreditRemedyStep</w:t>
            </w:r>
          </w:p>
        </w:tc>
        <w:tc>
          <w:tcPr>
            <w:tcW w:type="dxa" w:w="6690"/>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tcPr>
          <w:p>
            <w:pPr>
              <w:spacing w:after="0" w:before="0"/>
            </w:pPr>
            <w:r/>
            <w:r>
              <w:rPr>
                <w:rFonts w:ascii="Arial" w:hAnsi="Arial"/>
                <w:b w:val="0"/>
                <w:sz w:val="15"/>
              </w:rPr>
              <w:t>CreditRemedyStepId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fin.CreditRemedyTrigger</w:t>
            </w:r>
          </w:p>
        </w:tc>
        <w:tc>
          <w:tcPr>
            <w:tcW w:type="dxa" w:w="6690"/>
            <w:shd w:val="clear" w:color="auto" w:fill="E8EEF6"/>
          </w:tcPr>
          <w:p>
            <w:pPr>
              <w:spacing w:after="0" w:before="0"/>
            </w:pPr>
            <w:r/>
            <w:r>
              <w:rPr>
                <w:rFonts w:ascii="Arial" w:hAnsi="Arial"/>
                <w:b w:val="0"/>
                <w:sz w:val="15"/>
              </w:rPr>
              <w:t>A finding a remedy answers: a metric or an adjustment code</w:t>
            </w:r>
          </w:p>
        </w:tc>
        <w:tc>
          <w:tcPr>
            <w:tcW w:type="dxa" w:w="2948"/>
            <w:shd w:val="clear" w:color="auto" w:fill="E8EEF6"/>
          </w:tcPr>
          <w:p>
            <w:pPr>
              <w:spacing w:after="0" w:before="0"/>
            </w:pPr>
            <w:r/>
            <w:r>
              <w:rPr>
                <w:rFonts w:ascii="Arial" w:hAnsi="Arial"/>
                <w:b w:val="0"/>
                <w:sz w:val="15"/>
              </w:rPr>
              <w:t>CreditRemedyTriggerId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ProFormaGradeId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fin.CreditRemedyTrigger</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99810" cy="6818657"/>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6099810" cy="6818657"/>
                    </a:xfrm>
                    <a:prstGeom prst="rect"/>
                  </pic:spPr>
                </pic:pic>
              </a:graphicData>
            </a:graphic>
          </wp:inline>
        </w:drawing>
      </w:r>
    </w:p>
    <w:p>
      <w:pPr>
        <w:spacing w:after="120"/>
        <w:jc w:val="center"/>
      </w:pPr>
      <w:r>
        <w:rPr>
          <w:rFonts w:ascii="Arial" w:hAnsi="Arial"/>
          <w:b w:val="0"/>
          <w:i/>
          <w:color w:val="6B7280"/>
          <w:sz w:val="16"/>
        </w:rPr>
        <w:t>Figure 60  Financial statements and balances (part 13 of 22)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fin.CreditText</w:t>
            </w:r>
          </w:p>
        </w:tc>
        <w:tc>
          <w:tcPr>
            <w:tcW w:type="dxa" w:w="6690"/>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tcPr>
          <w:p>
            <w:pPr>
              <w:spacing w:after="0" w:before="0"/>
            </w:pPr>
            <w:r/>
            <w:r>
              <w:rPr>
                <w:rFonts w:ascii="Arial" w:hAnsi="Arial"/>
                <w:b w:val="0"/>
                <w:sz w:val="15"/>
              </w:rPr>
              <w:t>CreditTextId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fin.EarlyWarningAlert</w:t>
            </w:r>
          </w:p>
        </w:tc>
        <w:tc>
          <w:tcPr>
            <w:tcW w:type="dxa" w:w="6690"/>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948"/>
            <w:shd w:val="clear" w:color="auto" w:fill="E8EEF6"/>
          </w:tcPr>
          <w:p>
            <w:pPr>
              <w:spacing w:after="0" w:before="0"/>
            </w:pPr>
            <w:r/>
            <w:r>
              <w:rPr>
                <w:rFonts w:ascii="Arial" w:hAnsi="Arial"/>
                <w:b w:val="0"/>
                <w:sz w:val="15"/>
              </w:rPr>
              <w:t>EarlyWarningAlertId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fin.IndustryProfile</w:t>
            </w:r>
          </w:p>
        </w:tc>
        <w:tc>
          <w:tcPr>
            <w:tcW w:type="dxa" w:w="6690"/>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shd w:val="clear" w:color="auto" w:fill="E8EEF6"/>
          </w:tcPr>
          <w:p>
            <w:pPr>
              <w:spacing w:after="0" w:before="0"/>
            </w:pPr>
            <w:r/>
            <w:r>
              <w:rPr>
                <w:rFonts w:ascii="Arial" w:hAnsi="Arial"/>
                <w:b w:val="0"/>
                <w:sz w:val="15"/>
              </w:rPr>
              <w:t>IndustryProfileId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fin.EarlyWarningAlert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fin.EarlyWarningAlert</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Nature,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06160" cy="6072906"/>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106160" cy="6072906"/>
                    </a:xfrm>
                    <a:prstGeom prst="rect"/>
                  </pic:spPr>
                </pic:pic>
              </a:graphicData>
            </a:graphic>
          </wp:inline>
        </w:drawing>
      </w:r>
    </w:p>
    <w:p>
      <w:pPr>
        <w:spacing w:after="120"/>
        <w:jc w:val="center"/>
      </w:pPr>
      <w:r>
        <w:rPr>
          <w:rFonts w:ascii="Arial" w:hAnsi="Arial"/>
          <w:b w:val="0"/>
          <w:i/>
          <w:color w:val="6B7280"/>
          <w:sz w:val="16"/>
        </w:rPr>
        <w:t>Figure 61  Financial statements and balances (part 14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fin.IndustrySensitivity</w:t>
            </w:r>
          </w:p>
        </w:tc>
        <w:tc>
          <w:tcPr>
            <w:tcW w:type="dxa" w:w="6690"/>
          </w:tcPr>
          <w:p>
            <w:pPr>
              <w:spacing w:after="0" w:before="0"/>
            </w:pPr>
            <w:r/>
            <w:r>
              <w:rPr>
                <w:rFonts w:ascii="Arial" w:hAnsi="Arial"/>
                <w:b w:val="0"/>
                <w:sz w:val="15"/>
              </w:rPr>
              <w:t>The sensitivity 0 (none) to 5 (extreme) of an activity to a driver of stress (docs/35 section 14)</w:t>
            </w:r>
          </w:p>
        </w:tc>
        <w:tc>
          <w:tcPr>
            <w:tcW w:type="dxa" w:w="2948"/>
          </w:tcPr>
          <w:p>
            <w:pPr>
              <w:spacing w:after="0" w:before="0"/>
            </w:pPr>
            <w:r/>
            <w:r>
              <w:rPr>
                <w:rFonts w:ascii="Arial" w:hAnsi="Arial"/>
                <w:b w:val="0"/>
                <w:sz w:val="15"/>
              </w:rPr>
              <w:t>IndustrySensitivityId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fin.LenderRating</w:t>
            </w:r>
          </w:p>
        </w:tc>
        <w:tc>
          <w:tcPr>
            <w:tcW w:type="dxa" w:w="6690"/>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948"/>
            <w:shd w:val="clear" w:color="auto" w:fill="E8EEF6"/>
          </w:tcPr>
          <w:p>
            <w:pPr>
              <w:spacing w:after="0" w:before="0"/>
            </w:pPr>
            <w:r/>
            <w:r>
              <w:rPr>
                <w:rFonts w:ascii="Arial" w:hAnsi="Arial"/>
                <w:b w:val="0"/>
                <w:sz w:val="15"/>
              </w:rPr>
              <w:t>LenderRatingId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fin.LineCatalogItemAlias</w:t>
            </w:r>
          </w:p>
        </w:tc>
        <w:tc>
          <w:tcPr>
            <w:tcW w:type="dxa" w:w="6690"/>
            <w:shd w:val="clear" w:color="auto" w:fill="E8EEF6"/>
          </w:tcPr>
          <w:p>
            <w:pPr>
              <w:spacing w:after="0" w:before="0"/>
            </w:pPr>
            <w:r/>
            <w:r>
              <w:rPr>
                <w:rFonts w:ascii="Arial" w:hAnsi="Arial"/>
                <w:b w:val="0"/>
                <w:sz w:val="15"/>
              </w:rPr>
              <w:t>Alternative names (aliases) for a line item, used for paste and matching</w:t>
            </w:r>
          </w:p>
        </w:tc>
        <w:tc>
          <w:tcPr>
            <w:tcW w:type="dxa" w:w="2948"/>
            <w:shd w:val="clear" w:color="auto" w:fill="E8EEF6"/>
          </w:tcPr>
          <w:p>
            <w:pPr>
              <w:spacing w:after="0" w:before="0"/>
            </w:pPr>
            <w:r/>
            <w:r>
              <w:rPr>
                <w:rFonts w:ascii="Arial" w:hAnsi="Arial"/>
                <w:b w:val="0"/>
                <w:sz w:val="15"/>
              </w:rPr>
              <w:t>LineCatalogItemAliasId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LenderInstitutionId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fin.LenderRating</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fin.LenderRating</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15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62040" cy="5065089"/>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6162040" cy="5065089"/>
                    </a:xfrm>
                    <a:prstGeom prst="rect"/>
                  </pic:spPr>
                </pic:pic>
              </a:graphicData>
            </a:graphic>
          </wp:inline>
        </w:drawing>
      </w:r>
    </w:p>
    <w:p>
      <w:pPr>
        <w:spacing w:after="120"/>
        <w:jc w:val="center"/>
      </w:pPr>
      <w:r>
        <w:rPr>
          <w:rFonts w:ascii="Arial" w:hAnsi="Arial"/>
          <w:b w:val="0"/>
          <w:i/>
          <w:color w:val="6B7280"/>
          <w:sz w:val="16"/>
        </w:rPr>
        <w:t>Figure 62  Financial statements and balances (part 15 of 22)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fin.MacroScenario</w:t>
            </w:r>
          </w:p>
        </w:tc>
        <w:tc>
          <w:tcPr>
            <w:tcW w:type="dxa" w:w="6690"/>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948"/>
          </w:tcPr>
          <w:p>
            <w:pPr>
              <w:spacing w:after="0" w:before="0"/>
            </w:pPr>
            <w:r/>
            <w:r>
              <w:rPr>
                <w:rFonts w:ascii="Arial" w:hAnsi="Arial"/>
                <w:b w:val="0"/>
                <w:sz w:val="15"/>
              </w:rPr>
              <w:t>MacroScenarioId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fin.MacroScenarioCountry</w:t>
            </w:r>
          </w:p>
        </w:tc>
        <w:tc>
          <w:tcPr>
            <w:tcW w:type="dxa" w:w="6690"/>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2948"/>
            <w:shd w:val="clear" w:color="auto" w:fill="E8EEF6"/>
          </w:tcPr>
          <w:p>
            <w:pPr>
              <w:spacing w:after="0" w:before="0"/>
            </w:pPr>
            <w:r/>
            <w:r>
              <w:rPr>
                <w:rFonts w:ascii="Arial" w:hAnsi="Arial"/>
                <w:b w:val="0"/>
                <w:sz w:val="15"/>
              </w:rPr>
              <w:t>MacroScenarioCountryId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fin.MacroScenarioCountry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fin.MacroScenarioCountry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MacroScenarioId</w:t>
            </w:r>
          </w:p>
        </w:tc>
        <w:tc>
          <w:tcPr>
            <w:tcW w:type="dxa" w:w="2721"/>
          </w:tcPr>
          <w:p>
            <w:pPr>
              <w:spacing w:after="0" w:before="0"/>
            </w:pPr>
            <w:r/>
            <w:r>
              <w:rPr>
                <w:rFonts w:ascii="Arial" w:hAnsi="Arial"/>
                <w:b w:val="0"/>
                <w:sz w:val="15"/>
              </w:rPr>
              <w:t>fin.MacroScenario</w:t>
            </w:r>
          </w:p>
        </w:tc>
        <w:tc>
          <w:tcPr>
            <w:tcW w:type="dxa" w:w="2948"/>
          </w:tcPr>
          <w:p>
            <w:pPr>
              <w:spacing w:after="0" w:before="0"/>
            </w:pPr>
            <w:r/>
            <w:r>
              <w:rPr>
                <w:rFonts w:ascii="Arial" w:hAnsi="Arial"/>
                <w:b w:val="0"/>
                <w:sz w:val="15"/>
              </w:rPr>
              <w:t>MacroScenarioId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BaseTemplateId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16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964420" cy="6992138"/>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964420" cy="6992138"/>
                    </a:xfrm>
                    <a:prstGeom prst="rect"/>
                  </pic:spPr>
                </pic:pic>
              </a:graphicData>
            </a:graphic>
          </wp:inline>
        </w:drawing>
      </w:r>
    </w:p>
    <w:p>
      <w:pPr>
        <w:spacing w:after="120"/>
        <w:jc w:val="center"/>
      </w:pPr>
      <w:r>
        <w:rPr>
          <w:rFonts w:ascii="Arial" w:hAnsi="Arial"/>
          <w:b w:val="0"/>
          <w:i/>
          <w:color w:val="6B7280"/>
          <w:sz w:val="16"/>
        </w:rPr>
        <w:t>Figure 63  Financial statements and balances (part 16 of 22)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fin.PresentationVersion</w:t>
            </w:r>
          </w:p>
        </w:tc>
        <w:tc>
          <w:tcPr>
            <w:tcW w:type="dxa" w:w="6690"/>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948"/>
          </w:tcPr>
          <w:p>
            <w:pPr>
              <w:spacing w:after="0" w:before="0"/>
            </w:pPr>
            <w:r/>
            <w:r>
              <w:rPr>
                <w:rFonts w:ascii="Arial" w:hAnsi="Arial"/>
                <w:b w:val="0"/>
                <w:sz w:val="15"/>
              </w:rPr>
              <w:t>PresentationVersionId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fin.PresentationVersionStep</w:t>
            </w:r>
          </w:p>
        </w:tc>
        <w:tc>
          <w:tcPr>
            <w:tcW w:type="dxa" w:w="6690"/>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2948"/>
            <w:shd w:val="clear" w:color="auto" w:fill="E8EEF6"/>
          </w:tcPr>
          <w:p>
            <w:pPr>
              <w:spacing w:after="0" w:before="0"/>
            </w:pPr>
            <w:r/>
            <w:r>
              <w:rPr>
                <w:rFonts w:ascii="Arial" w:hAnsi="Arial"/>
                <w:b w:val="0"/>
                <w:sz w:val="15"/>
              </w:rPr>
              <w:t>PresentationVersionStepId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SourceStatementId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SourceAssessmentId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ResultStatementId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TrialAssessmentId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w:t>
            </w:r>
          </w:p>
        </w:tc>
        <w:tc>
          <w:tcPr>
            <w:tcW w:type="dxa" w:w="2948"/>
            <w:shd w:val="clear" w:color="auto" w:fill="E8EEF6"/>
          </w:tcPr>
          <w:p>
            <w:pPr>
              <w:spacing w:after="0" w:before="0"/>
            </w:pPr>
            <w:r/>
            <w:r>
              <w:rPr>
                <w:rFonts w:ascii="Arial" w:hAnsi="Arial"/>
                <w:b w:val="0"/>
                <w:sz w:val="15"/>
              </w:rPr>
              <w:t>ChosenBy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VersionId</w:t>
            </w:r>
          </w:p>
        </w:tc>
        <w:tc>
          <w:tcPr>
            <w:tcW w:type="dxa" w:w="2721"/>
          </w:tcPr>
          <w:p>
            <w:pPr>
              <w:spacing w:after="0" w:before="0"/>
            </w:pPr>
            <w:r/>
            <w:r>
              <w:rPr>
                <w:rFonts w:ascii="Arial" w:hAnsi="Arial"/>
                <w:b w:val="0"/>
                <w:sz w:val="15"/>
              </w:rPr>
              <w:t>fin.PresentationVersion</w:t>
            </w:r>
          </w:p>
        </w:tc>
        <w:tc>
          <w:tcPr>
            <w:tcW w:type="dxa" w:w="2948"/>
          </w:tcPr>
          <w:p>
            <w:pPr>
              <w:spacing w:after="0" w:before="0"/>
            </w:pPr>
            <w:r/>
            <w:r>
              <w:rPr>
                <w:rFonts w:ascii="Arial" w:hAnsi="Arial"/>
                <w:b w:val="0"/>
                <w:sz w:val="15"/>
              </w:rPr>
              <w:t>PresentationVersionId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fin.PresentationVersionStep</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fin.PresentationVersionStep</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89930" cy="3129804"/>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5789930" cy="3129804"/>
                    </a:xfrm>
                    <a:prstGeom prst="rect"/>
                  </pic:spPr>
                </pic:pic>
              </a:graphicData>
            </a:graphic>
          </wp:inline>
        </w:drawing>
      </w:r>
    </w:p>
    <w:p>
      <w:pPr>
        <w:spacing w:after="120"/>
        <w:jc w:val="center"/>
      </w:pPr>
      <w:r>
        <w:rPr>
          <w:rFonts w:ascii="Arial" w:hAnsi="Arial"/>
          <w:b w:val="0"/>
          <w:i/>
          <w:color w:val="6B7280"/>
          <w:sz w:val="16"/>
        </w:rPr>
        <w:t>Figure 64  Financial statements and balances (part 17 of 22)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fin.ReceivableLossRate</w:t>
            </w:r>
          </w:p>
        </w:tc>
        <w:tc>
          <w:tcPr>
            <w:tcW w:type="dxa" w:w="6690"/>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948"/>
          </w:tcPr>
          <w:p>
            <w:pPr>
              <w:spacing w:after="0" w:before="0"/>
            </w:pPr>
            <w:r/>
            <w:r>
              <w:rPr>
                <w:rFonts w:ascii="Arial" w:hAnsi="Arial"/>
                <w:b w:val="0"/>
                <w:sz w:val="15"/>
              </w:rPr>
              <w:t>ReceivableLossRateId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fin.ReportingPeriodLock</w:t>
            </w:r>
          </w:p>
        </w:tc>
        <w:tc>
          <w:tcPr>
            <w:tcW w:type="dxa" w:w="6690"/>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948"/>
            <w:shd w:val="clear" w:color="auto" w:fill="E8EEF6"/>
          </w:tcPr>
          <w:p>
            <w:pPr>
              <w:spacing w:after="0" w:before="0"/>
            </w:pPr>
            <w:r/>
            <w:r>
              <w:rPr>
                <w:rFonts w:ascii="Arial" w:hAnsi="Arial"/>
                <w:b w:val="0"/>
                <w:sz w:val="15"/>
              </w:rPr>
              <w:t>ReportingPeriodLockId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fin.ReceivableLossRate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fin.ReportingPeriodLock</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fin.ReportingPeriodLock</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fin.ReportingPeriodLock</w:t>
            </w:r>
          </w:p>
        </w:tc>
        <w:tc>
          <w:tcPr>
            <w:tcW w:type="dxa" w:w="2948"/>
            <w:shd w:val="clear" w:color="auto" w:fill="E8EEF6"/>
          </w:tcPr>
          <w:p>
            <w:pPr>
              <w:spacing w:after="0" w:before="0"/>
            </w:pPr>
            <w:r/>
            <w:r>
              <w:rPr>
                <w:rFonts w:ascii="Arial" w:hAnsi="Arial"/>
                <w:b w:val="0"/>
                <w:sz w:val="15"/>
              </w:rPr>
              <w:t>ReopenedBy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27700" cy="4892237"/>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5727700" cy="4892237"/>
                    </a:xfrm>
                    <a:prstGeom prst="rect"/>
                  </pic:spPr>
                </pic:pic>
              </a:graphicData>
            </a:graphic>
          </wp:inline>
        </w:drawing>
      </w:r>
    </w:p>
    <w:p>
      <w:pPr>
        <w:spacing w:after="120"/>
        <w:jc w:val="center"/>
      </w:pPr>
      <w:r>
        <w:rPr>
          <w:rFonts w:ascii="Arial" w:hAnsi="Arial"/>
          <w:b w:val="0"/>
          <w:i/>
          <w:color w:val="6B7280"/>
          <w:sz w:val="16"/>
        </w:rPr>
        <w:t>Figure 65  Financial statements and balances (part 18 of 22)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fin.RiskAnchor</w:t>
            </w:r>
          </w:p>
        </w:tc>
        <w:tc>
          <w:tcPr>
            <w:tcW w:type="dxa" w:w="6690"/>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shd w:val="clear" w:color="auto" w:fill="E8EEF6"/>
          </w:tcPr>
          <w:p>
            <w:pPr>
              <w:spacing w:after="0" w:before="0"/>
            </w:pPr>
            <w:r/>
            <w:r>
              <w:rPr>
                <w:rFonts w:ascii="Arial" w:hAnsi="Arial"/>
                <w:b w:val="0"/>
                <w:sz w:val="15"/>
              </w:rPr>
              <w:t>RiskAnchorId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147681"/>
            <wp:docPr id="66" name="Picture 66"/>
            <wp:cNvGraphicFramePr>
              <a:graphicFrameLocks noChangeAspect="1"/>
            </wp:cNvGraphicFramePr>
            <a:graphic>
              <a:graphicData uri="http://schemas.openxmlformats.org/drawingml/2006/picture">
                <pic:pic>
                  <pic:nvPicPr>
                    <pic:cNvPr id="0" name="m5_financials_19.png"/>
                    <pic:cNvPicPr/>
                  </pic:nvPicPr>
                  <pic:blipFill>
                    <a:blip r:embed="rId76"/>
                    <a:stretch>
                      <a:fillRect/>
                    </a:stretch>
                  </pic:blipFill>
                  <pic:spPr>
                    <a:xfrm>
                      <a:off x="0" y="0"/>
                      <a:ext cx="9076690" cy="4147681"/>
                    </a:xfrm>
                    <a:prstGeom prst="rect"/>
                  </pic:spPr>
                </pic:pic>
              </a:graphicData>
            </a:graphic>
          </wp:inline>
        </w:drawing>
      </w:r>
    </w:p>
    <w:p>
      <w:pPr>
        <w:spacing w:after="120"/>
        <w:jc w:val="center"/>
      </w:pPr>
      <w:r>
        <w:rPr>
          <w:rFonts w:ascii="Arial" w:hAnsi="Arial"/>
          <w:b w:val="0"/>
          <w:i/>
          <w:color w:val="6B7280"/>
          <w:sz w:val="16"/>
        </w:rPr>
        <w:t>Figure 66  Financial statements and balances (part 19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w:t>
            </w:r>
          </w:p>
        </w:tc>
        <w:tc>
          <w:tcPr>
            <w:tcW w:type="dxa" w:w="6690"/>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tcPr>
          <w:p>
            <w:pPr>
              <w:spacing w:after="0" w:before="0"/>
            </w:pPr>
            <w:r/>
            <w:r>
              <w:rPr>
                <w:rFonts w:ascii="Arial" w:hAnsi="Arial"/>
                <w:b w:val="0"/>
                <w:sz w:val="15"/>
              </w:rPr>
              <w:t>ScorecardId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fin.ScorecardAdjustment</w:t>
            </w:r>
          </w:p>
        </w:tc>
        <w:tc>
          <w:tcPr>
            <w:tcW w:type="dxa" w:w="6690"/>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shd w:val="clear" w:color="auto" w:fill="E8EEF6"/>
          </w:tcPr>
          <w:p>
            <w:pPr>
              <w:spacing w:after="0" w:before="0"/>
            </w:pPr>
            <w:r/>
            <w:r>
              <w:rPr>
                <w:rFonts w:ascii="Arial" w:hAnsi="Arial"/>
                <w:b w:val="0"/>
                <w:sz w:val="15"/>
              </w:rPr>
              <w:t>ScorecardAdjustmentId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fin.ScorecardItemRule</w:t>
            </w:r>
          </w:p>
        </w:tc>
        <w:tc>
          <w:tcPr>
            <w:tcW w:type="dxa" w:w="6690"/>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tcPr>
          <w:p>
            <w:pPr>
              <w:spacing w:after="0" w:before="0"/>
            </w:pPr>
            <w:r/>
            <w:r>
              <w:rPr>
                <w:rFonts w:ascii="Arial" w:hAnsi="Arial"/>
                <w:b w:val="0"/>
                <w:sz w:val="15"/>
              </w:rPr>
              <w:t>ScorecardItemRuleId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fin.ScorecardMetric</w:t>
            </w:r>
          </w:p>
        </w:tc>
        <w:tc>
          <w:tcPr>
            <w:tcW w:type="dxa" w:w="6690"/>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shd w:val="clear" w:color="auto" w:fill="E8EEF6"/>
          </w:tcPr>
          <w:p>
            <w:pPr>
              <w:spacing w:after="0" w:before="0"/>
            </w:pPr>
            <w:r/>
            <w:r>
              <w:rPr>
                <w:rFonts w:ascii="Arial" w:hAnsi="Arial"/>
                <w:b w:val="0"/>
                <w:sz w:val="15"/>
              </w:rPr>
              <w:t>ScorecardMetricId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20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48680" cy="4763932"/>
            <wp:docPr id="67" name="Picture 67"/>
            <wp:cNvGraphicFramePr>
              <a:graphicFrameLocks noChangeAspect="1"/>
            </wp:cNvGraphicFramePr>
            <a:graphic>
              <a:graphicData uri="http://schemas.openxmlformats.org/drawingml/2006/picture">
                <pic:pic>
                  <pic:nvPicPr>
                    <pic:cNvPr id="0" name="m5_financials_20.png"/>
                    <pic:cNvPicPr/>
                  </pic:nvPicPr>
                  <pic:blipFill>
                    <a:blip r:embed="rId77"/>
                    <a:stretch>
                      <a:fillRect/>
                    </a:stretch>
                  </pic:blipFill>
                  <pic:spPr>
                    <a:xfrm>
                      <a:off x="0" y="0"/>
                      <a:ext cx="5948680" cy="4763932"/>
                    </a:xfrm>
                    <a:prstGeom prst="rect"/>
                  </pic:spPr>
                </pic:pic>
              </a:graphicData>
            </a:graphic>
          </wp:inline>
        </w:drawing>
      </w:r>
    </w:p>
    <w:p>
      <w:pPr>
        <w:spacing w:after="120"/>
        <w:jc w:val="center"/>
      </w:pPr>
      <w:r>
        <w:rPr>
          <w:rFonts w:ascii="Arial" w:hAnsi="Arial"/>
          <w:b w:val="0"/>
          <w:i/>
          <w:color w:val="6B7280"/>
          <w:sz w:val="16"/>
        </w:rPr>
        <w:t>Figure 67  Financial statements and balances (part 20 of 22)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fin.ScorecardParameter</w:t>
            </w:r>
          </w:p>
        </w:tc>
        <w:tc>
          <w:tcPr>
            <w:tcW w:type="dxa" w:w="6690"/>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tcPr>
          <w:p>
            <w:pPr>
              <w:spacing w:after="0" w:before="0"/>
            </w:pPr>
            <w:r/>
            <w:r>
              <w:rPr>
                <w:rFonts w:ascii="Arial" w:hAnsi="Arial"/>
                <w:b w:val="0"/>
                <w:sz w:val="15"/>
              </w:rPr>
              <w:t>ScorecardParameterId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fin.ScorecardSubfactor</w:t>
            </w:r>
          </w:p>
        </w:tc>
        <w:tc>
          <w:tcPr>
            <w:tcW w:type="dxa" w:w="6690"/>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shd w:val="clear" w:color="auto" w:fill="E8EEF6"/>
          </w:tcPr>
          <w:p>
            <w:pPr>
              <w:spacing w:after="0" w:before="0"/>
            </w:pPr>
            <w:r/>
            <w:r>
              <w:rPr>
                <w:rFonts w:ascii="Arial" w:hAnsi="Arial"/>
                <w:b w:val="0"/>
                <w:sz w:val="15"/>
              </w:rPr>
              <w:t>ScorecardSubfactorId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fin.ShockDriver</w:t>
            </w:r>
          </w:p>
        </w:tc>
        <w:tc>
          <w:tcPr>
            <w:tcW w:type="dxa" w:w="6690"/>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tcPr>
          <w:p>
            <w:pPr>
              <w:spacing w:after="0" w:before="0"/>
            </w:pPr>
            <w:r/>
            <w:r>
              <w:rPr>
                <w:rFonts w:ascii="Arial" w:hAnsi="Arial"/>
                <w:b w:val="0"/>
                <w:sz w:val="15"/>
              </w:rPr>
              <w:t>ShockDriverId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w:t>
            </w:r>
          </w:p>
        </w:tc>
        <w:tc>
          <w:tcPr>
            <w:tcW w:type="dxa" w:w="6690"/>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shd w:val="clear" w:color="auto" w:fill="E8EEF6"/>
          </w:tcPr>
          <w:p>
            <w:pPr>
              <w:spacing w:after="0" w:before="0"/>
            </w:pPr>
            <w:r/>
            <w:r>
              <w:rPr>
                <w:rFonts w:ascii="Arial" w:hAnsi="Arial"/>
                <w:b w:val="0"/>
                <w:sz w:val="15"/>
              </w:rPr>
              <w:t>StandardLineId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21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217738"/>
            <wp:docPr id="68" name="Picture 68"/>
            <wp:cNvGraphicFramePr>
              <a:graphicFrameLocks noChangeAspect="1"/>
            </wp:cNvGraphicFramePr>
            <a:graphic>
              <a:graphicData uri="http://schemas.openxmlformats.org/drawingml/2006/picture">
                <pic:pic>
                  <pic:nvPicPr>
                    <pic:cNvPr id="0" name="m5_financials_21.png"/>
                    <pic:cNvPicPr/>
                  </pic:nvPicPr>
                  <pic:blipFill>
                    <a:blip r:embed="rId78"/>
                    <a:stretch>
                      <a:fillRect/>
                    </a:stretch>
                  </pic:blipFill>
                  <pic:spPr>
                    <a:xfrm>
                      <a:off x="0" y="0"/>
                      <a:ext cx="6015990" cy="5217738"/>
                    </a:xfrm>
                    <a:prstGeom prst="rect"/>
                  </pic:spPr>
                </pic:pic>
              </a:graphicData>
            </a:graphic>
          </wp:inline>
        </w:drawing>
      </w:r>
    </w:p>
    <w:p>
      <w:pPr>
        <w:spacing w:after="120"/>
        <w:jc w:val="center"/>
      </w:pPr>
      <w:r>
        <w:rPr>
          <w:rFonts w:ascii="Arial" w:hAnsi="Arial"/>
          <w:b w:val="0"/>
          <w:i/>
          <w:color w:val="6B7280"/>
          <w:sz w:val="16"/>
        </w:rPr>
        <w:t>Figure 68  Financial statements and balances (part 21 of 22)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fin.StandardLineTotal</w:t>
            </w:r>
          </w:p>
        </w:tc>
        <w:tc>
          <w:tcPr>
            <w:tcW w:type="dxa" w:w="6690"/>
          </w:tcPr>
          <w:p>
            <w:pPr>
              <w:spacing w:after="0" w:before="0"/>
            </w:pPr>
            <w:r/>
            <w:r>
              <w:rPr>
                <w:rFonts w:ascii="Arial" w:hAnsi="Arial"/>
                <w:b w:val="0"/>
                <w:sz w:val="15"/>
              </w:rPr>
              <w:t>The components of a standard total and their sign, so a total is recomputed after a pro-forma change (docs/35 section 12)</w:t>
            </w:r>
          </w:p>
        </w:tc>
        <w:tc>
          <w:tcPr>
            <w:tcW w:type="dxa" w:w="2948"/>
          </w:tcPr>
          <w:p>
            <w:pPr>
              <w:spacing w:after="0" w:before="0"/>
            </w:pPr>
            <w:r/>
            <w:r>
              <w:rPr>
                <w:rFonts w:ascii="Arial" w:hAnsi="Arial"/>
                <w:b w:val="0"/>
                <w:sz w:val="15"/>
              </w:rPr>
              <w:t>StandardLineTotalId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w:t>
            </w:r>
          </w:p>
        </w:tc>
        <w:tc>
          <w:tcPr>
            <w:tcW w:type="dxa" w:w="6690"/>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shd w:val="clear" w:color="auto" w:fill="E8EEF6"/>
          </w:tcPr>
          <w:p>
            <w:pPr>
              <w:spacing w:after="0" w:before="0"/>
            </w:pPr>
            <w:r/>
            <w:r>
              <w:rPr>
                <w:rFonts w:ascii="Arial" w:hAnsi="Arial"/>
                <w:b w:val="0"/>
                <w:sz w:val="15"/>
              </w:rPr>
              <w:t>StrengtheningPlanId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22 of 22)</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51600" cy="2115892"/>
            <wp:docPr id="69" name="Picture 69"/>
            <wp:cNvGraphicFramePr>
              <a:graphicFrameLocks noChangeAspect="1"/>
            </wp:cNvGraphicFramePr>
            <a:graphic>
              <a:graphicData uri="http://schemas.openxmlformats.org/drawingml/2006/picture">
                <pic:pic>
                  <pic:nvPicPr>
                    <pic:cNvPr id="0" name="m5_financials_22.png"/>
                    <pic:cNvPicPr/>
                  </pic:nvPicPr>
                  <pic:blipFill>
                    <a:blip r:embed="rId79"/>
                    <a:stretch>
                      <a:fillRect/>
                    </a:stretch>
                  </pic:blipFill>
                  <pic:spPr>
                    <a:xfrm>
                      <a:off x="0" y="0"/>
                      <a:ext cx="6451600" cy="2115892"/>
                    </a:xfrm>
                    <a:prstGeom prst="rect"/>
                  </pic:spPr>
                </pic:pic>
              </a:graphicData>
            </a:graphic>
          </wp:inline>
        </w:drawing>
      </w:r>
    </w:p>
    <w:p>
      <w:pPr>
        <w:spacing w:after="120"/>
        <w:jc w:val="center"/>
      </w:pPr>
      <w:r>
        <w:rPr>
          <w:rFonts w:ascii="Arial" w:hAnsi="Arial"/>
          <w:b w:val="0"/>
          <w:i/>
          <w:color w:val="6B7280"/>
          <w:sz w:val="16"/>
        </w:rPr>
        <w:t>Figure 69  Financial statements and balances (part 22 of 22)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fin.StrengtheningPlanMember</w:t>
            </w:r>
          </w:p>
        </w:tc>
        <w:tc>
          <w:tcPr>
            <w:tcW w:type="dxa" w:w="6690"/>
          </w:tcPr>
          <w:p>
            <w:pPr>
              <w:spacing w:after="0" w:before="0"/>
            </w:pPr>
            <w:r/>
            <w:r>
              <w:rPr>
                <w:rFonts w:ascii="Arial" w:hAnsi="Arial"/>
                <w:b w:val="0"/>
                <w:sz w:val="15"/>
              </w:rPr>
              <w:t>A remedy of a package plan, in the order the plan applies it</w:t>
            </w:r>
          </w:p>
        </w:tc>
        <w:tc>
          <w:tcPr>
            <w:tcW w:type="dxa" w:w="2948"/>
          </w:tcPr>
          <w:p>
            <w:pPr>
              <w:spacing w:after="0" w:before="0"/>
            </w:pPr>
            <w:r/>
            <w:r>
              <w:rPr>
                <w:rFonts w:ascii="Arial" w:hAnsi="Arial"/>
                <w:b w:val="0"/>
                <w:sz w:val="15"/>
              </w:rPr>
              <w:t>StrengtheningPlanMemberId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70" name="Picture 70"/>
            <wp:cNvGraphicFramePr>
              <a:graphicFrameLocks noChangeAspect="1"/>
            </wp:cNvGraphicFramePr>
            <a:graphic>
              <a:graphicData uri="http://schemas.openxmlformats.org/drawingml/2006/picture">
                <pic:pic>
                  <pic:nvPicPr>
                    <pic:cNvPr id="0" name="m6_wf_templates_1.png"/>
                    <pic:cNvPicPr/>
                  </pic:nvPicPr>
                  <pic:blipFill>
                    <a:blip r:embed="rId80"/>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70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71" name="Picture 71"/>
            <wp:cNvGraphicFramePr>
              <a:graphicFrameLocks noChangeAspect="1"/>
            </wp:cNvGraphicFramePr>
            <a:graphic>
              <a:graphicData uri="http://schemas.openxmlformats.org/drawingml/2006/picture">
                <pic:pic>
                  <pic:nvPicPr>
                    <pic:cNvPr id="0" name="m6_wf_templates_2.png"/>
                    <pic:cNvPicPr/>
                  </pic:nvPicPr>
                  <pic:blipFill>
                    <a:blip r:embed="rId81"/>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71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72" name="Picture 72"/>
            <wp:cNvGraphicFramePr>
              <a:graphicFrameLocks noChangeAspect="1"/>
            </wp:cNvGraphicFramePr>
            <a:graphic>
              <a:graphicData uri="http://schemas.openxmlformats.org/drawingml/2006/picture">
                <pic:pic>
                  <pic:nvPicPr>
                    <pic:cNvPr id="0" name="m6_wf_templates_3.png"/>
                    <pic:cNvPicPr/>
                  </pic:nvPicPr>
                  <pic:blipFill>
                    <a:blip r:embed="rId82"/>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72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3" name="Picture 73"/>
            <wp:cNvGraphicFramePr>
              <a:graphicFrameLocks noChangeAspect="1"/>
            </wp:cNvGraphicFramePr>
            <a:graphic>
              <a:graphicData uri="http://schemas.openxmlformats.org/drawingml/2006/picture">
                <pic:pic>
                  <pic:nvPicPr>
                    <pic:cNvPr id="0" name="m6_wf_templates_4.png"/>
                    <pic:cNvPicPr/>
                  </pic:nvPicPr>
                  <pic:blipFill>
                    <a:blip r:embed="rId83"/>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73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4" name="Picture 74"/>
            <wp:cNvGraphicFramePr>
              <a:graphicFrameLocks noChangeAspect="1"/>
            </wp:cNvGraphicFramePr>
            <a:graphic>
              <a:graphicData uri="http://schemas.openxmlformats.org/drawingml/2006/picture">
                <pic:pic>
                  <pic:nvPicPr>
                    <pic:cNvPr id="0" name="m6_requests_1.png"/>
                    <pic:cNvPicPr/>
                  </pic:nvPicPr>
                  <pic:blipFill>
                    <a:blip r:embed="rId84"/>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74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5" name="Picture 75"/>
            <wp:cNvGraphicFramePr>
              <a:graphicFrameLocks noChangeAspect="1"/>
            </wp:cNvGraphicFramePr>
            <a:graphic>
              <a:graphicData uri="http://schemas.openxmlformats.org/drawingml/2006/picture">
                <pic:pic>
                  <pic:nvPicPr>
                    <pic:cNvPr id="0" name="m6_requests_2.png"/>
                    <pic:cNvPicPr/>
                  </pic:nvPicPr>
                  <pic:blipFill>
                    <a:blip r:embed="rId85"/>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75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6" name="Picture 76"/>
            <wp:cNvGraphicFramePr>
              <a:graphicFrameLocks noChangeAspect="1"/>
            </wp:cNvGraphicFramePr>
            <a:graphic>
              <a:graphicData uri="http://schemas.openxmlformats.org/drawingml/2006/picture">
                <pic:pic>
                  <pic:nvPicPr>
                    <pic:cNvPr id="0" name="m6_requests_3.png"/>
                    <pic:cNvPicPr/>
                  </pic:nvPicPr>
                  <pic:blipFill>
                    <a:blip r:embed="rId86"/>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76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7" name="Picture 77"/>
            <wp:cNvGraphicFramePr>
              <a:graphicFrameLocks noChangeAspect="1"/>
            </wp:cNvGraphicFramePr>
            <a:graphic>
              <a:graphicData uri="http://schemas.openxmlformats.org/drawingml/2006/picture">
                <pic:pic>
                  <pic:nvPicPr>
                    <pic:cNvPr id="0" name="m6_requests_4.png"/>
                    <pic:cNvPicPr/>
                  </pic:nvPicPr>
                  <pic:blipFill>
                    <a:blip r:embed="rId87"/>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77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8" name="Picture 78"/>
            <wp:cNvGraphicFramePr>
              <a:graphicFrameLocks noChangeAspect="1"/>
            </wp:cNvGraphicFramePr>
            <a:graphic>
              <a:graphicData uri="http://schemas.openxmlformats.org/drawingml/2006/picture">
                <pic:pic>
                  <pic:nvPicPr>
                    <pic:cNvPr id="0" name="m6_requests_5.png"/>
                    <pic:cNvPicPr/>
                  </pic:nvPicPr>
                  <pic:blipFill>
                    <a:blip r:embed="rId88"/>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78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9" name="Picture 79"/>
            <wp:cNvGraphicFramePr>
              <a:graphicFrameLocks noChangeAspect="1"/>
            </wp:cNvGraphicFramePr>
            <a:graphic>
              <a:graphicData uri="http://schemas.openxmlformats.org/drawingml/2006/picture">
                <pic:pic>
                  <pic:nvPicPr>
                    <pic:cNvPr id="0" name="m6_requests_6.png"/>
                    <pic:cNvPicPr/>
                  </pic:nvPicPr>
                  <pic:blipFill>
                    <a:blip r:embed="rId89"/>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79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80" name="Picture 80"/>
            <wp:cNvGraphicFramePr>
              <a:graphicFrameLocks noChangeAspect="1"/>
            </wp:cNvGraphicFramePr>
            <a:graphic>
              <a:graphicData uri="http://schemas.openxmlformats.org/drawingml/2006/picture">
                <pic:pic>
                  <pic:nvPicPr>
                    <pic:cNvPr id="0" name="m6_requests_7.png"/>
                    <pic:cNvPicPr/>
                  </pic:nvPicPr>
                  <pic:blipFill>
                    <a:blip r:embed="rId90"/>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80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81" name="Picture 81"/>
            <wp:cNvGraphicFramePr>
              <a:graphicFrameLocks noChangeAspect="1"/>
            </wp:cNvGraphicFramePr>
            <a:graphic>
              <a:graphicData uri="http://schemas.openxmlformats.org/drawingml/2006/picture">
                <pic:pic>
                  <pic:nvPicPr>
                    <pic:cNvPr id="0" name="m6_notifications.png"/>
                    <pic:cNvPicPr/>
                  </pic:nvPicPr>
                  <pic:blipFill>
                    <a:blip r:embed="rId91"/>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81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82" name="Picture 82"/>
            <wp:cNvGraphicFramePr>
              <a:graphicFrameLocks noChangeAspect="1"/>
            </wp:cNvGraphicFramePr>
            <a:graphic>
              <a:graphicData uri="http://schemas.openxmlformats.org/drawingml/2006/picture">
                <pic:pic>
                  <pic:nvPicPr>
                    <pic:cNvPr id="0" name="m7_8_lc_terms_1.png"/>
                    <pic:cNvPicPr/>
                  </pic:nvPicPr>
                  <pic:blipFill>
                    <a:blip r:embed="rId92"/>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3" name="Picture 83"/>
            <wp:cNvGraphicFramePr>
              <a:graphicFrameLocks noChangeAspect="1"/>
            </wp:cNvGraphicFramePr>
            <a:graphic>
              <a:graphicData uri="http://schemas.openxmlformats.org/drawingml/2006/picture">
                <pic:pic>
                  <pic:nvPicPr>
                    <pic:cNvPr id="0" name="m7_8_lc_terms_2.png"/>
                    <pic:cNvPicPr/>
                  </pic:nvPicPr>
                  <pic:blipFill>
                    <a:blip r:embed="rId93"/>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83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4" name="Picture 84"/>
            <wp:cNvGraphicFramePr>
              <a:graphicFrameLocks noChangeAspect="1"/>
            </wp:cNvGraphicFramePr>
            <a:graphic>
              <a:graphicData uri="http://schemas.openxmlformats.org/drawingml/2006/picture">
                <pic:pic>
                  <pic:nvPicPr>
                    <pic:cNvPr id="0" name="m7_8_lc_terms_3.png"/>
                    <pic:cNvPicPr/>
                  </pic:nvPicPr>
                  <pic:blipFill>
                    <a:blip r:embed="rId94"/>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84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5" name="Picture 85"/>
            <wp:cNvGraphicFramePr>
              <a:graphicFrameLocks noChangeAspect="1"/>
            </wp:cNvGraphicFramePr>
            <a:graphic>
              <a:graphicData uri="http://schemas.openxmlformats.org/drawingml/2006/picture">
                <pic:pic>
                  <pic:nvPicPr>
                    <pic:cNvPr id="0" name="m7_8_lc_terms_4.png"/>
                    <pic:cNvPicPr/>
                  </pic:nvPicPr>
                  <pic:blipFill>
                    <a:blip r:embed="rId95"/>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85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6" name="Picture 86"/>
            <wp:cNvGraphicFramePr>
              <a:graphicFrameLocks noChangeAspect="1"/>
            </wp:cNvGraphicFramePr>
            <a:graphic>
              <a:graphicData uri="http://schemas.openxmlformats.org/drawingml/2006/picture">
                <pic:pic>
                  <pic:nvPicPr>
                    <pic:cNvPr id="0" name="m7_8_lc_terms_5.png"/>
                    <pic:cNvPicPr/>
                  </pic:nvPicPr>
                  <pic:blipFill>
                    <a:blip r:embed="rId96"/>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86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7" name="Picture 87"/>
            <wp:cNvGraphicFramePr>
              <a:graphicFrameLocks noChangeAspect="1"/>
            </wp:cNvGraphicFramePr>
            <a:graphic>
              <a:graphicData uri="http://schemas.openxmlformats.org/drawingml/2006/picture">
                <pic:pic>
                  <pic:nvPicPr>
                    <pic:cNvPr id="0" name="m7_8_lc_ops_1.png"/>
                    <pic:cNvPicPr/>
                  </pic:nvPicPr>
                  <pic:blipFill>
                    <a:blip r:embed="rId97"/>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87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8" name="Picture 88"/>
            <wp:cNvGraphicFramePr>
              <a:graphicFrameLocks noChangeAspect="1"/>
            </wp:cNvGraphicFramePr>
            <a:graphic>
              <a:graphicData uri="http://schemas.openxmlformats.org/drawingml/2006/picture">
                <pic:pic>
                  <pic:nvPicPr>
                    <pic:cNvPr id="0" name="m7_8_lc_ops_2.png"/>
                    <pic:cNvPicPr/>
                  </pic:nvPicPr>
                  <pic:blipFill>
                    <a:blip r:embed="rId98"/>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88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9" name="Picture 89"/>
            <wp:cNvGraphicFramePr>
              <a:graphicFrameLocks noChangeAspect="1"/>
            </wp:cNvGraphicFramePr>
            <a:graphic>
              <a:graphicData uri="http://schemas.openxmlformats.org/drawingml/2006/picture">
                <pic:pic>
                  <pic:nvPicPr>
                    <pic:cNvPr id="0" name="m7_8_lc_ops_3.png"/>
                    <pic:cNvPicPr/>
                  </pic:nvPicPr>
                  <pic:blipFill>
                    <a:blip r:embed="rId99"/>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89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90" name="Picture 90"/>
            <wp:cNvGraphicFramePr>
              <a:graphicFrameLocks noChangeAspect="1"/>
            </wp:cNvGraphicFramePr>
            <a:graphic>
              <a:graphicData uri="http://schemas.openxmlformats.org/drawingml/2006/picture">
                <pic:pic>
                  <pic:nvPicPr>
                    <pic:cNvPr id="0" name="m7_8_lc_ops_4.png"/>
                    <pic:cNvPicPr/>
                  </pic:nvPicPr>
                  <pic:blipFill>
                    <a:blip r:embed="rId100"/>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90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91" name="Picture 91"/>
            <wp:cNvGraphicFramePr>
              <a:graphicFrameLocks noChangeAspect="1"/>
            </wp:cNvGraphicFramePr>
            <a:graphic>
              <a:graphicData uri="http://schemas.openxmlformats.org/drawingml/2006/picture">
                <pic:pic>
                  <pic:nvPicPr>
                    <pic:cNvPr id="0" name="m7_8_lc_ops_5.png"/>
                    <pic:cNvPicPr/>
                  </pic:nvPicPr>
                  <pic:blipFill>
                    <a:blip r:embed="rId101"/>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91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92" name="Picture 92"/>
            <wp:cNvGraphicFramePr>
              <a:graphicFrameLocks noChangeAspect="1"/>
            </wp:cNvGraphicFramePr>
            <a:graphic>
              <a:graphicData uri="http://schemas.openxmlformats.org/drawingml/2006/picture">
                <pic:pic>
                  <pic:nvPicPr>
                    <pic:cNvPr id="0" name="m7_8_lc_ops_6.png"/>
                    <pic:cNvPicPr/>
                  </pic:nvPicPr>
                  <pic:blipFill>
                    <a:blip r:embed="rId102"/>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92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3" name="Picture 93"/>
            <wp:cNvGraphicFramePr>
              <a:graphicFrameLocks noChangeAspect="1"/>
            </wp:cNvGraphicFramePr>
            <a:graphic>
              <a:graphicData uri="http://schemas.openxmlformats.org/drawingml/2006/picture">
                <pic:pic>
                  <pic:nvPicPr>
                    <pic:cNvPr id="0" name="m7_8_lc_ops_7.png"/>
                    <pic:cNvPicPr/>
                  </pic:nvPicPr>
                  <pic:blipFill>
                    <a:blip r:embed="rId103"/>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93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4" name="Picture 94"/>
            <wp:cNvGraphicFramePr>
              <a:graphicFrameLocks noChangeAspect="1"/>
            </wp:cNvGraphicFramePr>
            <a:graphic>
              <a:graphicData uri="http://schemas.openxmlformats.org/drawingml/2006/picture">
                <pic:pic>
                  <pic:nvPicPr>
                    <pic:cNvPr id="0" name="m7_8_lc_ops_8.png"/>
                    <pic:cNvPicPr/>
                  </pic:nvPicPr>
                  <pic:blipFill>
                    <a:blip r:embed="rId104"/>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94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5" name="Picture 95"/>
            <wp:cNvGraphicFramePr>
              <a:graphicFrameLocks noChangeAspect="1"/>
            </wp:cNvGraphicFramePr>
            <a:graphic>
              <a:graphicData uri="http://schemas.openxmlformats.org/drawingml/2006/picture">
                <pic:pic>
                  <pic:nvPicPr>
                    <pic:cNvPr id="0" name="m7_8_lc_ops_9.png"/>
                    <pic:cNvPicPr/>
                  </pic:nvPicPr>
                  <pic:blipFill>
                    <a:blip r:embed="rId105"/>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95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confirmed 2026-10-19,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Decided by the owner (2026-10-19, docs/31-owner-decisions.md): the treasury manager sets the status at which the six rows must be complete. Until that status is set, no database rule is written.</w:t>
            </w:r>
          </w:p>
        </w:tc>
        <w:tc>
          <w:tcPr>
            <w:tcW w:type="dxa" w:w="2721"/>
          </w:tcPr>
          <w:p>
            <w:pPr>
              <w:spacing w:after="0" w:before="0"/>
            </w:pPr>
            <w:r/>
            <w:r>
              <w:rPr>
                <w:rFonts w:ascii="Arial" w:hAnsi="Arial"/>
                <w:b w:val="0"/>
                <w:sz w:val="15"/>
              </w:rPr>
              <w:t>The treasury manager names the status (draft, submitted or approved); then a rule is added to db/static with a test.</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Decided by the owner (2026-10-19, docs/31-owner-decisions.md): a licensed copy of the ICC text is provided, and a specialist checks each article number against it and records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Closed. The owner approved the recommended default of each of the 148 questions still open (2026-10-19, docs/31-owner-decisions.md decision 31); all 155 are now marked decided in section 14 of the specifications and in docs/10-detailed-analysis/90-consolidated-open-questions.md.</w:t>
            </w:r>
          </w:p>
        </w:tc>
        <w:tc>
          <w:tcPr>
            <w:tcW w:type="dxa" w:w="2721"/>
          </w:tcPr>
          <w:p>
            <w:pPr>
              <w:spacing w:after="0" w:before="0"/>
            </w:pPr>
            <w:r/>
            <w:r>
              <w:rPr>
                <w:rFonts w:ascii="Arial" w:hAnsi="Arial"/>
                <w:b w:val="0"/>
                <w:sz w:val="15"/>
              </w:rPr>
              <w:t>None. A question raised later is added to section 14 of its specification with a recommended default.</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252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fac.FacilityLenderDecision</w:t>
            </w:r>
          </w:p>
        </w:tc>
        <w:tc>
          <w:tcPr>
            <w:tcW w:type="dxa" w:w="10205"/>
            <w:shd w:val="clear" w:color="auto" w:fill="E8EEF6"/>
          </w:tcPr>
          <w:p>
            <w:pPr>
              <w:spacing w:after="0" w:before="0"/>
            </w:pPr>
            <w:r/>
            <w:r>
              <w:rPr>
                <w:rFonts w:ascii="Arial" w:hAnsi="Arial"/>
                <w:b w:val="0"/>
                <w:sz w:val="15"/>
              </w:rPr>
              <w:t>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fac.FacilityRevision</w:t>
            </w:r>
          </w:p>
        </w:tc>
        <w:tc>
          <w:tcPr>
            <w:tcW w:type="dxa" w:w="10205"/>
          </w:tcPr>
          <w:p>
            <w:pPr>
              <w:spacing w:after="0" w:before="0"/>
            </w:pPr>
            <w:r/>
            <w:r>
              <w:rPr>
                <w:rFonts w:ascii="Arial" w:hAnsi="Arial"/>
                <w:b w:val="0"/>
                <w:sz w:val="15"/>
              </w:rPr>
              <w:t>Preparer and approver revision of facility terms (FR-FAC-024, BR-FAC-003/004, section 8)</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fac.Limit</w:t>
            </w:r>
          </w:p>
        </w:tc>
        <w:tc>
          <w:tcPr>
            <w:tcW w:type="dxa" w:w="10205"/>
            <w:shd w:val="clear" w:color="auto" w:fill="E8EEF6"/>
          </w:tcPr>
          <w:p>
            <w:pPr>
              <w:spacing w:after="0" w:before="0"/>
            </w:pPr>
            <w:r/>
            <w:r>
              <w:rPr>
                <w:rFonts w:ascii="Arial" w:hAnsi="Arial"/>
                <w:b w:val="0"/>
                <w:sz w:val="15"/>
              </w:rPr>
              <w:t>Limit-tree node (FR-FAC-010/011, BR-FAC-009/010, V-FAC-04..07)</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fac.LimitCompanyRule</w:t>
            </w:r>
          </w:p>
        </w:tc>
        <w:tc>
          <w:tcPr>
            <w:tcW w:type="dxa" w:w="10205"/>
          </w:tcPr>
          <w:p>
            <w:pPr>
              <w:spacing w:after="0" w:before="0"/>
            </w:pPr>
            <w:r/>
            <w:r>
              <w:rPr>
                <w:rFonts w:ascii="Arial" w:hAnsi="Arial"/>
                <w:b w:val="0"/>
                <w:sz w:val="15"/>
              </w:rPr>
              <w:t>Company rule on a limit: allowed, excluded or allocated (FR-FAC-013, BR-FAC-012, V-FAC-09)</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fac.LimitMovement</w:t>
            </w:r>
          </w:p>
        </w:tc>
        <w:tc>
          <w:tcPr>
            <w:tcW w:type="dxa" w:w="10205"/>
            <w:shd w:val="clear" w:color="auto" w:fill="E8EEF6"/>
          </w:tcPr>
          <w:p>
            <w:pPr>
              <w:spacing w:after="0" w:before="0"/>
            </w:pPr>
            <w:r/>
            <w:r>
              <w:rPr>
                <w:rFonts w:ascii="Arial" w:hAnsi="Arial"/>
                <w:b w:val="0"/>
                <w:sz w:val="15"/>
              </w:rPr>
              <w:t>Movement record on a reservation or usage; no update or delete; duplicate-prevention key (BR-FAC-015, BR-FAC-020)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fac.LimitProductLine</w:t>
            </w:r>
          </w:p>
        </w:tc>
        <w:tc>
          <w:tcPr>
            <w:tcW w:type="dxa" w:w="10205"/>
          </w:tcPr>
          <w:p>
            <w:pPr>
              <w:spacing w:after="0" w:before="0"/>
            </w:pPr>
            <w:r/>
            <w:r>
              <w:rPr>
                <w:rFonts w:ascii="Arial" w:hAnsi="Arial"/>
                <w:b w:val="0"/>
                <w:sz w:val="15"/>
              </w:rPr>
              <w:t>Product line within a limit, with an optional SHARED_CAP ceiling (FR-FAC-012, V-FAC-08)</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fac.LimitReservation</w:t>
            </w:r>
          </w:p>
        </w:tc>
        <w:tc>
          <w:tcPr>
            <w:tcW w:type="dxa" w:w="10205"/>
            <w:shd w:val="clear" w:color="auto" w:fill="E8EEF6"/>
          </w:tcPr>
          <w:p>
            <w:pPr>
              <w:spacing w:after="0" w:before="0"/>
            </w:pPr>
            <w:r/>
            <w:r>
              <w:rPr>
                <w:rFonts w:ascii="Arial" w:hAnsi="Arial"/>
                <w:b w:val="0"/>
                <w:sz w:val="15"/>
              </w:rPr>
              <w:t>Amount reserved for a request, equal to ExposureAmount (FR-FAC-017/018/020, BR-FAC-015)</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fac.OutstandingSnapshot</w:t>
            </w:r>
          </w:p>
        </w:tc>
        <w:tc>
          <w:tcPr>
            <w:tcW w:type="dxa" w:w="10205"/>
          </w:tcPr>
          <w:p>
            <w:pPr>
              <w:spacing w:after="0" w:before="0"/>
            </w:pPr>
            <w:r/>
            <w:r>
              <w:rPr>
                <w:rFonts w:ascii="Arial" w:hAnsi="Arial"/>
                <w:b w:val="0"/>
                <w:sz w:val="15"/>
              </w:rPr>
              <w:t>Snapshot of the recognised outstanding balance (FR-FAC-009, BR-FAC-017); PctOfLimit is derived and not stored</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fac.ProductLineTerm</w:t>
            </w:r>
          </w:p>
        </w:tc>
        <w:tc>
          <w:tcPr>
            <w:tcW w:type="dxa" w:w="10205"/>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fac.Utilization</w:t>
            </w:r>
          </w:p>
        </w:tc>
        <w:tc>
          <w:tcPr>
            <w:tcW w:type="dxa" w:w="10205"/>
          </w:tcPr>
          <w:p>
            <w:pPr>
              <w:spacing w:after="0" w:before="0"/>
            </w:pPr>
            <w:r/>
            <w:r>
              <w:rPr>
                <w:rFonts w:ascii="Arial" w:hAnsi="Arial"/>
                <w:b w:val="0"/>
                <w:sz w:val="15"/>
              </w:rPr>
              <w:t>Active utilisation item: manual or linked to a letter of credit; never deleted (FR-FAC-016/030, BR-FAC-013/020)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fac.ValueConflict</w:t>
            </w:r>
          </w:p>
        </w:tc>
        <w:tc>
          <w:tcPr>
            <w:tcW w:type="dxa" w:w="10205"/>
            <w:shd w:val="clear" w:color="auto" w:fill="E8EEF6"/>
          </w:tcPr>
          <w:p>
            <w:pPr>
              <w:spacing w:after="0" w:before="0"/>
            </w:pPr>
            <w:r/>
            <w:r>
              <w:rPr>
                <w:rFonts w:ascii="Arial" w:hAnsi="Arial"/>
                <w:b w:val="0"/>
                <w:sz w:val="15"/>
              </w:rPr>
              <w:t>Conflict between two values of one field, and its resolution (FR-FAC-026, BR-FAC-019, BR-FAC-008)</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fin.AccountMonthlyStat</w:t>
            </w:r>
          </w:p>
        </w:tc>
        <w:tc>
          <w:tcPr>
            <w:tcW w:type="dxa" w:w="10205"/>
          </w:tcPr>
          <w:p>
            <w:pPr>
              <w:spacing w:after="0" w:before="0"/>
            </w:pPr>
            <w:r/>
            <w:r>
              <w:rPr>
                <w:rFonts w:ascii="Arial" w:hAnsi="Arial"/>
                <w:b w:val="0"/>
                <w:sz w:val="15"/>
              </w:rPr>
              <w:t>Monthly balance of an account in the account currency (FR-FIN-008, BR-FIN-005/006, V-FIN-02)</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fin.AssessmentEvidencePack</w:t>
            </w:r>
          </w:p>
        </w:tc>
        <w:tc>
          <w:tcPr>
            <w:tcW w:type="dxa" w:w="10205"/>
            <w:shd w:val="clear" w:color="auto" w:fill="E8EEF6"/>
          </w:tcPr>
          <w:p>
            <w:pPr>
              <w:spacing w:after="0" w:before="0"/>
            </w:pPr>
            <w:r/>
            <w:r>
              <w:rPr>
                <w:rFonts w:ascii="Arial" w:hAnsi="Arial"/>
                <w:b w:val="0"/>
                <w:sz w:val="15"/>
              </w:rPr>
              <w:t>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m5_financials_7</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m5_financials_8</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fin.EarlyWarningAlert</w:t>
            </w:r>
          </w:p>
        </w:tc>
        <w:tc>
          <w:tcPr>
            <w:tcW w:type="dxa" w:w="10205"/>
            <w:shd w:val="clear" w:color="auto" w:fill="E8EEF6"/>
          </w:tcPr>
          <w:p>
            <w:pPr>
              <w:spacing w:after="0" w:before="0"/>
            </w:pPr>
            <w:r/>
            <w:r>
              <w:rPr>
                <w:rFonts w:ascii="Arial" w:hAnsi="Arial"/>
                <w:b w:val="0"/>
                <w:sz w:val="15"/>
              </w:rPr>
              <w:t>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fin.IndustryProfile</w:t>
            </w:r>
          </w:p>
        </w:tc>
        <w:tc>
          <w:tcPr>
            <w:tcW w:type="dxa" w:w="10205"/>
            <w:shd w:val="clear" w:color="auto" w:fill="E8EEF6"/>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fin.IndustrySensitivity</w:t>
            </w:r>
          </w:p>
        </w:tc>
        <w:tc>
          <w:tcPr>
            <w:tcW w:type="dxa" w:w="10205"/>
          </w:tcPr>
          <w:p>
            <w:pPr>
              <w:spacing w:after="0" w:before="0"/>
            </w:pPr>
            <w:r/>
            <w:r>
              <w:rPr>
                <w:rFonts w:ascii="Arial" w:hAnsi="Arial"/>
                <w:b w:val="0"/>
                <w:sz w:val="15"/>
              </w:rPr>
              <w:t>The sensitivity 0 (none) to 5 (extreme) of an activity to a driver of stress (docs/35 section 14)</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fin.LenderRating</w:t>
            </w:r>
          </w:p>
        </w:tc>
        <w:tc>
          <w:tcPr>
            <w:tcW w:type="dxa" w:w="10205"/>
            <w:shd w:val="clear" w:color="auto" w:fill="E8EEF6"/>
          </w:tcPr>
          <w:p>
            <w:pPr>
              <w:spacing w:after="0" w:before="0"/>
            </w:pPr>
            <w:r/>
            <w:r>
              <w:rPr>
                <w:rFonts w:ascii="Arial" w:hAnsi="Arial"/>
                <w:b w:val="0"/>
                <w:sz w:val="15"/>
              </w:rPr>
              <w:t>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fin.MacroScenarioCountry</w:t>
            </w:r>
          </w:p>
        </w:tc>
        <w:tc>
          <w:tcPr>
            <w:tcW w:type="dxa" w:w="10205"/>
            <w:shd w:val="clear" w:color="auto" w:fill="E8EEF6"/>
          </w:tcPr>
          <w:p>
            <w:pPr>
              <w:spacing w:after="0" w:before="0"/>
            </w:pPr>
            <w:r/>
            <w:r>
              <w:rPr>
                <w:rFonts w:ascii="Arial" w:hAnsi="Arial"/>
                <w:b w:val="0"/>
                <w:sz w:val="15"/>
              </w:rPr>
              <w:t>The multiplier of a macro scenario's stress for a country it hits more or less than others; a country without a row takes the scenario's OtherCountryMult (docs/35 section 14, ADR 0020)</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fin.MacroScenarioIntensity</w:t>
            </w:r>
          </w:p>
        </w:tc>
        <w:tc>
          <w:tcPr>
            <w:tcW w:type="dxa" w:w="10205"/>
          </w:tcPr>
          <w:p>
            <w:pPr>
              <w:spacing w:after="0" w:before="0"/>
            </w:pPr>
            <w:r/>
            <w:r>
              <w:rPr>
                <w:rFonts w:ascii="Arial" w:hAnsi="Arial"/>
                <w:b w:val="0"/>
                <w:sz w:val="15"/>
              </w:rPr>
              <w:t>The intensity 0 to 1 of a driver in a macro scenario (docs/35 section 14)</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fin.PresentationVersion</w:t>
            </w:r>
          </w:p>
        </w:tc>
        <w:tc>
          <w:tcPr>
            <w:tcW w:type="dxa" w:w="10205"/>
          </w:tcPr>
          <w:p>
            <w:pPr>
              <w:spacing w:after="0" w:before="0"/>
            </w:pPr>
            <w:r/>
            <w:r>
              <w:rPr>
                <w:rFonts w:ascii="Arial" w:hAnsi="Arial"/>
                <w:b w:val="0"/>
                <w:sz w:val="15"/>
              </w:rPr>
              <w:t>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fin.PresentationVersionStep</w:t>
            </w:r>
          </w:p>
        </w:tc>
        <w:tc>
          <w:tcPr>
            <w:tcW w:type="dxa" w:w="10205"/>
            <w:shd w:val="clear" w:color="auto" w:fill="E8EEF6"/>
          </w:tcPr>
          <w:p>
            <w:pPr>
              <w:spacing w:after="0" w:before="0"/>
            </w:pPr>
            <w:r/>
            <w:r>
              <w:rPr>
                <w:rFonts w:ascii="Arial" w:hAnsi="Arial"/>
                <w:b w:val="0"/>
                <w:sz w:val="15"/>
              </w:rPr>
              <w:t>A remedy of the methodology the company chose for a presentation version, in order, with the document that supports it; the amount it moved is written by the build (docs/36 F2, ADR 0023)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fin.ProductCategory</w:t>
            </w:r>
          </w:p>
        </w:tc>
        <w:tc>
          <w:tcPr>
            <w:tcW w:type="dxa" w:w="10205"/>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fin.RatingGrade</w:t>
            </w:r>
          </w:p>
        </w:tc>
        <w:tc>
          <w:tcPr>
            <w:tcW w:type="dxa" w:w="10205"/>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fin.ReceivableLossRate</w:t>
            </w:r>
          </w:p>
        </w:tc>
        <w:tc>
          <w:tcPr>
            <w:tcW w:type="dxa" w:w="10205"/>
          </w:tcPr>
          <w:p>
            <w:pPr>
              <w:spacing w:after="0" w:before="0"/>
            </w:pPr>
            <w:r/>
            <w:r>
              <w:rPr>
                <w:rFonts w:ascii="Arial" w:hAnsi="Arial"/>
                <w:b w:val="0"/>
                <w:sz w:val="15"/>
              </w:rPr>
              <w:t>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fin.ReportingPeriodLock</w:t>
            </w:r>
          </w:p>
        </w:tc>
        <w:tc>
          <w:tcPr>
            <w:tcW w:type="dxa" w:w="10205"/>
            <w:shd w:val="clear" w:color="auto" w:fill="E8EEF6"/>
          </w:tcPr>
          <w:p>
            <w:pPr>
              <w:spacing w:after="0" w:before="0"/>
            </w:pPr>
            <w:r/>
            <w:r>
              <w:rPr>
                <w:rFonts w:ascii="Arial" w:hAnsi="Arial"/>
                <w:b w:val="0"/>
                <w:sz w:val="15"/>
              </w:rPr>
              <w:t>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fin.RiskAnchor</w:t>
            </w:r>
          </w:p>
        </w:tc>
        <w:tc>
          <w:tcPr>
            <w:tcW w:type="dxa" w:w="10205"/>
            <w:shd w:val="clear" w:color="auto" w:fill="E8EEF6"/>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fin.Scorecard</w:t>
            </w:r>
          </w:p>
        </w:tc>
        <w:tc>
          <w:tcPr>
            <w:tcW w:type="dxa" w:w="10205"/>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fin.ScorecardAdjustment</w:t>
            </w:r>
          </w:p>
        </w:tc>
        <w:tc>
          <w:tcPr>
            <w:tcW w:type="dxa" w:w="10205"/>
            <w:shd w:val="clear" w:color="auto" w:fill="E8EEF6"/>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fin.ScorecardItemRule</w:t>
            </w:r>
          </w:p>
        </w:tc>
        <w:tc>
          <w:tcPr>
            <w:tcW w:type="dxa" w:w="10205"/>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fin.ScorecardMetric</w:t>
            </w:r>
          </w:p>
        </w:tc>
        <w:tc>
          <w:tcPr>
            <w:tcW w:type="dxa" w:w="10205"/>
            <w:shd w:val="clear" w:color="auto" w:fill="E8EEF6"/>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fin.ScorecardParameter</w:t>
            </w:r>
          </w:p>
        </w:tc>
        <w:tc>
          <w:tcPr>
            <w:tcW w:type="dxa" w:w="10205"/>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fin.ScorecardSubfactor</w:t>
            </w:r>
          </w:p>
        </w:tc>
        <w:tc>
          <w:tcPr>
            <w:tcW w:type="dxa" w:w="10205"/>
            <w:shd w:val="clear" w:color="auto" w:fill="E8EEF6"/>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fin.ShockDriver</w:t>
            </w:r>
          </w:p>
        </w:tc>
        <w:tc>
          <w:tcPr>
            <w:tcW w:type="dxa" w:w="10205"/>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tcPr>
          <w:p>
            <w:pPr>
              <w:spacing w:after="0" w:before="0"/>
            </w:pPr>
            <w:r/>
            <w:r>
              <w:rPr>
                <w:rFonts w:ascii="Arial" w:hAnsi="Arial"/>
                <w:b w:val="0"/>
                <w:sz w:val="15"/>
              </w:rPr>
              <w:t>m5_financials_20</w:t>
            </w:r>
          </w:p>
        </w:tc>
      </w:tr>
      <w:tr>
        <w:trPr>
          <w:cantSplit w:val="true"/>
        </w:trPr>
        <w:tc>
          <w:tcPr>
            <w:tcW w:type="dxa" w:w="3515"/>
            <w:shd w:val="clear" w:color="auto" w:fill="E8EEF6"/>
          </w:tcPr>
          <w:p>
            <w:pPr>
              <w:spacing w:after="0" w:before="0"/>
            </w:pPr>
            <w:r/>
            <w:r>
              <w:rPr>
                <w:rFonts w:ascii="Arial" w:hAnsi="Arial"/>
                <w:b w:val="0"/>
                <w:sz w:val="15"/>
              </w:rPr>
              <w:t>fin.StandardLine</w:t>
            </w:r>
          </w:p>
        </w:tc>
        <w:tc>
          <w:tcPr>
            <w:tcW w:type="dxa" w:w="10205"/>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shd w:val="clear" w:color="auto" w:fill="E8EEF6"/>
          </w:tcPr>
          <w:p>
            <w:pPr>
              <w:spacing w:after="0" w:before="0"/>
            </w:pPr>
            <w:r/>
            <w:r>
              <w:rPr>
                <w:rFonts w:ascii="Arial" w:hAnsi="Arial"/>
                <w:b w:val="0"/>
                <w:sz w:val="15"/>
              </w:rPr>
              <w:t>m5_financials_20</w:t>
            </w:r>
          </w:p>
        </w:tc>
      </w:tr>
      <w:tr>
        <w:trPr>
          <w:cantSplit w:val="true"/>
        </w:trPr>
        <w:tc>
          <w:tcPr>
            <w:tcW w:type="dxa" w:w="3515"/>
          </w:tcPr>
          <w:p>
            <w:pPr>
              <w:spacing w:after="0" w:before="0"/>
            </w:pPr>
            <w:r/>
            <w:r>
              <w:rPr>
                <w:rFonts w:ascii="Arial" w:hAnsi="Arial"/>
                <w:b w:val="0"/>
                <w:sz w:val="15"/>
              </w:rPr>
              <w:t>fin.StandardLineTotal</w:t>
            </w:r>
          </w:p>
        </w:tc>
        <w:tc>
          <w:tcPr>
            <w:tcW w:type="dxa" w:w="10205"/>
          </w:tcPr>
          <w:p>
            <w:pPr>
              <w:spacing w:after="0" w:before="0"/>
            </w:pPr>
            <w:r/>
            <w:r>
              <w:rPr>
                <w:rFonts w:ascii="Arial" w:hAnsi="Arial"/>
                <w:b w:val="0"/>
                <w:sz w:val="15"/>
              </w:rPr>
              <w:t>The components of a standard total and their sign, so a total is recomputed after a pro-forma change (docs/35 section 12)</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m5_financials_21</w:t>
            </w:r>
          </w:p>
        </w:tc>
      </w:tr>
      <w:tr>
        <w:trPr>
          <w:cantSplit w:val="true"/>
        </w:trPr>
        <w:tc>
          <w:tcPr>
            <w:tcW w:type="dxa" w:w="3515"/>
            <w:shd w:val="clear" w:color="auto" w:fill="E8EEF6"/>
          </w:tcPr>
          <w:p>
            <w:pPr>
              <w:spacing w:after="0" w:before="0"/>
            </w:pPr>
            <w:r/>
            <w:r>
              <w:rPr>
                <w:rFonts w:ascii="Arial" w:hAnsi="Arial"/>
                <w:b w:val="0"/>
                <w:sz w:val="15"/>
              </w:rPr>
              <w:t>fin.StrengtheningPlan</w:t>
            </w:r>
          </w:p>
        </w:tc>
        <w:tc>
          <w:tcPr>
            <w:tcW w:type="dxa" w:w="10205"/>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shd w:val="clear" w:color="auto" w:fill="E8EEF6"/>
          </w:tcPr>
          <w:p>
            <w:pPr>
              <w:spacing w:after="0" w:before="0"/>
            </w:pPr>
            <w:r/>
            <w:r>
              <w:rPr>
                <w:rFonts w:ascii="Arial" w:hAnsi="Arial"/>
                <w:b w:val="0"/>
                <w:sz w:val="15"/>
              </w:rPr>
              <w:t>m5_financials_21</w:t>
            </w:r>
          </w:p>
        </w:tc>
      </w:tr>
      <w:tr>
        <w:trPr>
          <w:cantSplit w:val="true"/>
        </w:trPr>
        <w:tc>
          <w:tcPr>
            <w:tcW w:type="dxa" w:w="3515"/>
          </w:tcPr>
          <w:p>
            <w:pPr>
              <w:spacing w:after="0" w:before="0"/>
            </w:pPr>
            <w:r/>
            <w:r>
              <w:rPr>
                <w:rFonts w:ascii="Arial" w:hAnsi="Arial"/>
                <w:b w:val="0"/>
                <w:sz w:val="15"/>
              </w:rPr>
              <w:t>fin.StrengtheningPlanMember</w:t>
            </w:r>
          </w:p>
        </w:tc>
        <w:tc>
          <w:tcPr>
            <w:tcW w:type="dxa" w:w="10205"/>
          </w:tcPr>
          <w:p>
            <w:pPr>
              <w:spacing w:after="0" w:before="0"/>
            </w:pPr>
            <w:r/>
            <w:r>
              <w:rPr>
                <w:rFonts w:ascii="Arial" w:hAnsi="Arial"/>
                <w:b w:val="0"/>
                <w:sz w:val="15"/>
              </w:rPr>
              <w:t>A remedy of a package plan, in the order the plan applies it</w:t>
            </w:r>
          </w:p>
        </w:tc>
        <w:tc>
          <w:tcPr>
            <w:tcW w:type="dxa" w:w="1701"/>
          </w:tcPr>
          <w:p>
            <w:pPr>
              <w:spacing w:after="0" w:before="0"/>
            </w:pPr>
            <w:r/>
            <w:r>
              <w:rPr>
                <w:rFonts w:ascii="Arial" w:hAnsi="Arial"/>
                <w:b w:val="0"/>
                <w:sz w:val="15"/>
              </w:rPr>
              <w:t>m5_financials_22</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ref.Industry</w:t>
            </w:r>
          </w:p>
        </w:tc>
        <w:tc>
          <w:tcPr>
            <w:tcW w:type="dxa" w:w="10205"/>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ref.UcpArticle</w:t>
            </w:r>
          </w:p>
        </w:tc>
        <w:tc>
          <w:tcPr>
            <w:tcW w:type="dxa" w:w="10205"/>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sec.AppUser</w:t>
            </w:r>
          </w:p>
        </w:tc>
        <w:tc>
          <w:tcPr>
            <w:tcW w:type="dxa" w:w="10205"/>
          </w:tcPr>
          <w:p>
            <w:pPr>
              <w:spacing w:after="0" w:before="0"/>
            </w:pPr>
            <w:r/>
            <w:r>
              <w:rPr>
                <w:rFonts w:ascii="Arial" w:hAnsi="Arial"/>
                <w:b w:val="0"/>
                <w:sz w:val="15"/>
              </w:rPr>
              <w:t>Tenant portal user (FR-PLT-010..016, BR-PLT-004..006)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sec.ExternalIdentity</w:t>
            </w:r>
          </w:p>
        </w:tc>
        <w:tc>
          <w:tcPr>
            <w:tcW w:type="dxa" w:w="10205"/>
            <w:shd w:val="clear" w:color="auto" w:fill="E8EEF6"/>
          </w:tcPr>
          <w:p>
            <w:pPr>
              <w:spacing w:after="0" w:before="0"/>
            </w:pPr>
            <w:r/>
            <w:r>
              <w:rPr>
                <w:rFonts w:ascii="Arial" w:hAnsi="Arial"/>
                <w:b w:val="0"/>
                <w:sz w:val="15"/>
              </w:rPr>
              <w:t>Link between an external OIDC or Entra identity and a user; readiness only (FR-PLT-015, section 11)</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sec.KeyEvent</w:t>
            </w:r>
          </w:p>
        </w:tc>
        <w:tc>
          <w:tcPr>
            <w:tcW w:type="dxa" w:w="10205"/>
          </w:tcPr>
          <w:p>
            <w:pPr>
              <w:spacing w:after="0" w:before="0"/>
            </w:pPr>
            <w:r/>
            <w:r>
              <w:rPr>
                <w:rFonts w:ascii="Arial" w:hAnsi="Arial"/>
                <w:b w:val="0"/>
                <w:sz w:val="15"/>
              </w:rPr>
              <w:t>Key event log: create, rotate and revoke (FR-PLT-037; high severity BR-PLT-009)</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sec.LoginAttempt</w:t>
            </w:r>
          </w:p>
        </w:tc>
        <w:tc>
          <w:tcPr>
            <w:tcW w:type="dxa" w:w="10205"/>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sec.MfaRecoveryCode</w:t>
            </w:r>
          </w:p>
        </w:tc>
        <w:tc>
          <w:tcPr>
            <w:tcW w:type="dxa" w:w="10205"/>
          </w:tcPr>
          <w:p>
            <w:pPr>
              <w:spacing w:after="0" w:before="0"/>
            </w:pPr>
            <w:r/>
            <w:r>
              <w:rPr>
                <w:rFonts w:ascii="Arial" w:hAnsi="Arial"/>
                <w:b w:val="0"/>
                <w:sz w:val="15"/>
              </w:rPr>
              <w:t>Ten single-use recovery codes, stored hashed (FR-PLT-011, BR-PLT-006); replaces the AppUser.RecoveryCodesHash JSON</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sec.Permission</w:t>
            </w:r>
          </w:p>
        </w:tc>
        <w:tc>
          <w:tcPr>
            <w:tcW w:type="dxa" w:w="10205"/>
            <w:shd w:val="clear" w:color="auto" w:fill="E8EEF6"/>
          </w:tcPr>
          <w:p>
            <w:pPr>
              <w:spacing w:after="0" w:before="0"/>
            </w:pPr>
            <w:r/>
            <w:r>
              <w:rPr>
                <w:rFonts w:ascii="Arial" w:hAnsi="Arial"/>
                <w:b w:val="0"/>
                <w:sz w:val="15"/>
              </w:rPr>
              <w:t>Permission catalogue owned by the platform; a tenant cannot add a permission (FR-PLT-017)</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w:t>
            </w:r>
          </w:p>
        </w:tc>
        <w:tc>
          <w:tcPr>
            <w:tcW w:type="dxa" w:w="10205"/>
          </w:tcPr>
          <w:p>
            <w:pPr>
              <w:spacing w:after="0" w:before="0"/>
            </w:pPr>
            <w:r/>
            <w:r>
              <w:rPr>
                <w:rFonts w:ascii="Arial" w:hAnsi="Arial"/>
                <w:b w:val="0"/>
                <w:sz w:val="15"/>
              </w:rPr>
              <w:t>Role defined by the tenant or seeded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sec.RolePermission</w:t>
            </w:r>
          </w:p>
        </w:tc>
        <w:tc>
          <w:tcPr>
            <w:tcW w:type="dxa" w:w="10205"/>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sec.SessionBinding</w:t>
            </w:r>
          </w:p>
        </w:tc>
        <w:tc>
          <w:tcPr>
            <w:tcW w:type="dxa" w:w="10205"/>
          </w:tcPr>
          <w:p>
            <w:pPr>
              <w:spacing w:after="0" w:before="0"/>
            </w:pPr>
            <w:r/>
            <w:r>
              <w:rPr>
                <w:rFonts w:ascii="Arial" w:hAnsi="Arial"/>
                <w:b w:val="0"/>
                <w:sz w:val="15"/>
              </w:rPr>
              <w:t>Connection binding for the row filters (O-16)</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password-reset token (30 minutes) or MFA re-enrolment link (24 hours) (FR-PLT-013, DQ-F03-8)</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m6_requests_4</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252</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936</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211</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725</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644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81</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661</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801</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95</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