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(252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252</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4,178 مُعرَّفة في النماذج + الأعمدة الآلية = </w:t>
            </w:r>
            <w:r>
              <w:rPr>
                <w:rFonts w:ascii="Arial" w:cs="Arial" w:eastAsia="Arial" w:hAnsi="Arial"/>
                <w:b/>
                <w:bCs/>
                <w:sz w:val="18"/>
                <w:szCs w:val="18"/>
                <w:rtl/>
              </w:rPr>
              <w:t xml:space="preserve">4,797</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936</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801 غير مجمّع (235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+ 154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EarlyWarningAlert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AssessmentEvidencePack</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ReceivableLossRate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ReportingPeriodLock</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252 جدولًا / 4,178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252 جدولًا، 338 منحة مولّدة، 148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2026-10-20T22:14:56.391Z</dcterms:created>
  <dcterms:modified xsi:type="dcterms:W3CDTF">2026-10-20T22:14:56.392Z</dcterms:modified>
</cp:coreProperties>
</file>

<file path=docProps/custom.xml><?xml version="1.0" encoding="utf-8"?>
<Properties xmlns="http://schemas.openxmlformats.org/officeDocument/2006/custom-properties" xmlns:vt="http://schemas.openxmlformats.org/officeDocument/2006/docPropsVTypes"/>
</file>