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31 عمودًا (2026-10-18).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42 عمودًا موسومًا في قاموس البيانات (2026-10-18،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‎OriginalText‎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جدول بختم مصدر)،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وVatNumber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سرّي؛ لا نسخة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(حُذفت)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 (ADR 0011)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6"/>
        <w:gridCol w:w="2932"/>
        <w:gridCol w:w="3334"/>
        <w:gridCol w:w="1066"/>
        <w:gridCol w:w="1466"/>
      </w:tblGrid>
      <w:tr>
        <w:trPr>
          <w:cantSplit/>
          <w:tblHeader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 بصيغة DQ-F12-11: لا يُنسخ شيء، وقيد وقادح يمنعان قيمة الحقل المقيّد في سطور المقارنة وفروق التعديل (50058)، والأعمدة الثلاثة موسومة سرّية، والحكم من البصمة.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والحجب عند الإدخال، وقيد يرفض IBAN أو رقم حساب غير مقنَّع (2026-10-13، 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ويُقرأ الرقمان من الهوية الضريبية الحالية للمرآة في دولة التأسيس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2026-10-20T22:16:28.003Z</dcterms:created>
  <dcterms:modified xsi:type="dcterms:W3CDTF">2026-10-20T22:16:28.003Z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