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DOC-S07 — تقييم أثر الخصوصية وحماية البيانات الشخصية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(DPO) مع مستشار قانوني ومالك المنتج</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(وقبل تحميل أي بيانات شخصية حقيقية)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X-AUD-3، X-AUD-4، BR-PLT-016، BR-PLT-002، BR-PTY-019، FR-PLT-039، FR-PLT-040، FR-PTY-028، FR-PTY-029، Q-PLT-03، Q-PLT-04، O-23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(التصنيف)، DOC-S02 (التشفير)، DOC-S09 (النسخ)، DOC-F02 (تدفقات البيانات الحساسة)، DOC-S15 (إخطار الخرق، P2 لم يُكتب بعد)</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docs/30-readiness-documents.md:258-264 · docs/10-detailed-analysis/10-m0-m1-platform-organization.md §4 و§5 و§12 و§14 · docs/10-detailed-analysis/00-overview-and-cross-cutting.md §6.2 و§10.4 · docs/01-preliminary-analysis.md · docs/04-facility-agreements-analysis.md:246-254 · docs/05-kyc-forms-analysis.md:73 · db/model/10-platform.model · db/model/11-organization-party.model · db/static/030_session_context.sql</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الأدوار</w:t>
        </w:r>
      </w:hyperlink>
    </w:p>
    <w:p>
      <w:pPr>
        <w:bidi/>
        <w:spacing w:after="50" w:before="0"/>
        <w:ind w:left="0"/>
      </w:pPr>
      <w:hyperlink w:history="1" w:anchor="_sec3">
        <w:r>
          <w:rPr>
            <w:rFonts w:ascii="Arial" w:cs="Arial" w:eastAsia="Arial" w:hAnsi="Arial"/>
            <w:b/>
            <w:bCs/>
            <w:color w:val="1F3A5F"/>
            <w:sz w:val="20"/>
            <w:szCs w:val="20"/>
            <w:rtl/>
          </w:rPr>
          <w:t xml:space="preserve">3. أصحاب البيانات</w:t>
        </w:r>
      </w:hyperlink>
    </w:p>
    <w:p>
      <w:pPr>
        <w:bidi/>
        <w:spacing w:after="50" w:before="0"/>
        <w:ind w:left="0"/>
      </w:pPr>
      <w:hyperlink w:history="1" w:anchor="_sec4">
        <w:r>
          <w:rPr>
            <w:rFonts w:ascii="Arial" w:cs="Arial" w:eastAsia="Arial" w:hAnsi="Arial"/>
            <w:b/>
            <w:bCs/>
            <w:color w:val="1F3A5F"/>
            <w:sz w:val="20"/>
            <w:szCs w:val="20"/>
            <w:rtl/>
          </w:rPr>
          <w:t xml:space="preserve">4. جرد البيانات الشخصية</w:t>
        </w:r>
      </w:hyperlink>
    </w:p>
    <w:p>
      <w:pPr>
        <w:bidi/>
        <w:spacing w:after="50" w:before="0"/>
        <w:ind w:left="0"/>
      </w:pPr>
      <w:hyperlink w:history="1" w:anchor="_sec5">
        <w:r>
          <w:rPr>
            <w:rFonts w:ascii="Arial" w:cs="Arial" w:eastAsia="Arial" w:hAnsi="Arial"/>
            <w:b/>
            <w:bCs/>
            <w:color w:val="1F3A5F"/>
            <w:sz w:val="20"/>
            <w:szCs w:val="20"/>
            <w:rtl/>
          </w:rPr>
          <w:t xml:space="preserve">5. الغرض والأساس النظامي</w:t>
        </w:r>
      </w:hyperlink>
    </w:p>
    <w:p>
      <w:pPr>
        <w:bidi/>
        <w:spacing w:after="50" w:before="0"/>
        <w:ind w:left="0"/>
      </w:pPr>
      <w:hyperlink w:history="1" w:anchor="_sec6">
        <w:r>
          <w:rPr>
            <w:rFonts w:ascii="Arial" w:cs="Arial" w:eastAsia="Arial" w:hAnsi="Arial"/>
            <w:b/>
            <w:bCs/>
            <w:color w:val="1F3A5F"/>
            <w:sz w:val="20"/>
            <w:szCs w:val="20"/>
            <w:rtl/>
          </w:rPr>
          <w:t xml:space="preserve">6. إقامة البيانات والنقل عبر الحدود</w:t>
        </w:r>
      </w:hyperlink>
    </w:p>
    <w:p>
      <w:pPr>
        <w:bidi/>
        <w:spacing w:after="50" w:before="0"/>
        <w:ind w:left="0"/>
      </w:pPr>
      <w:hyperlink w:history="1" w:anchor="_sec7">
        <w:r>
          <w:rPr>
            <w:rFonts w:ascii="Arial" w:cs="Arial" w:eastAsia="Arial" w:hAnsi="Arial"/>
            <w:b/>
            <w:bCs/>
            <w:color w:val="1F3A5F"/>
            <w:sz w:val="20"/>
            <w:szCs w:val="20"/>
            <w:rtl/>
          </w:rPr>
          <w:t xml:space="preserve">7. الاحتفاظ والإتلاف</w:t>
        </w:r>
      </w:hyperlink>
    </w:p>
    <w:p>
      <w:pPr>
        <w:bidi/>
        <w:spacing w:after="50" w:before="0"/>
        <w:ind w:left="0"/>
      </w:pPr>
      <w:hyperlink w:history="1" w:anchor="_sec8">
        <w:r>
          <w:rPr>
            <w:rFonts w:ascii="Arial" w:cs="Arial" w:eastAsia="Arial" w:hAnsi="Arial"/>
            <w:b/>
            <w:bCs/>
            <w:color w:val="1F3A5F"/>
            <w:sz w:val="20"/>
            <w:szCs w:val="20"/>
            <w:rtl/>
          </w:rPr>
          <w:t xml:space="preserve">8. حقوق أصحاب البيانات</w:t>
        </w:r>
      </w:hyperlink>
    </w:p>
    <w:p>
      <w:pPr>
        <w:bidi/>
        <w:spacing w:after="50" w:before="0"/>
        <w:ind w:left="0"/>
      </w:pPr>
      <w:hyperlink w:history="1" w:anchor="_sec12">
        <w:r>
          <w:rPr>
            <w:rFonts w:ascii="Arial" w:cs="Arial" w:eastAsia="Arial" w:hAnsi="Arial"/>
            <w:b/>
            <w:bCs/>
            <w:color w:val="1F3A5F"/>
            <w:sz w:val="20"/>
            <w:szCs w:val="20"/>
            <w:rtl/>
          </w:rPr>
          <w:t xml:space="preserve">9. المعالجون الفرعيون</w:t>
        </w:r>
      </w:hyperlink>
    </w:p>
    <w:p>
      <w:pPr>
        <w:bidi/>
        <w:spacing w:after="50" w:before="0"/>
        <w:ind w:left="0"/>
      </w:pPr>
      <w:hyperlink w:history="1" w:anchor="_sec13">
        <w:r>
          <w:rPr>
            <w:rFonts w:ascii="Arial" w:cs="Arial" w:eastAsia="Arial" w:hAnsi="Arial"/>
            <w:b/>
            <w:bCs/>
            <w:color w:val="1F3A5F"/>
            <w:sz w:val="20"/>
            <w:szCs w:val="20"/>
            <w:rtl/>
          </w:rPr>
          <w:t xml:space="preserve">10. تقييم المخاطر</w:t>
        </w:r>
      </w:hyperlink>
    </w:p>
    <w:p>
      <w:pPr>
        <w:bidi/>
        <w:spacing w:after="50" w:before="0"/>
        <w:ind w:left="0"/>
      </w:pPr>
      <w:hyperlink w:history="1" w:anchor="_sec14">
        <w:r>
          <w:rPr>
            <w:rFonts w:ascii="Arial" w:cs="Arial" w:eastAsia="Arial" w:hAnsi="Arial"/>
            <w:b/>
            <w:bCs/>
            <w:color w:val="1F3A5F"/>
            <w:sz w:val="20"/>
            <w:szCs w:val="20"/>
            <w:rtl/>
          </w:rPr>
          <w:t xml:space="preserve">11. إخطار الخرق</w:t>
        </w:r>
      </w:hyperlink>
    </w:p>
    <w:p>
      <w:pPr>
        <w:bidi/>
        <w:spacing w:after="50" w:before="0"/>
        <w:ind w:left="0"/>
      </w:pPr>
      <w:hyperlink w:history="1" w:anchor="_sec15">
        <w:r>
          <w:rPr>
            <w:rFonts w:ascii="Arial" w:cs="Arial" w:eastAsia="Arial" w:hAnsi="Arial"/>
            <w:b/>
            <w:bCs/>
            <w:color w:val="1F3A5F"/>
            <w:sz w:val="20"/>
            <w:szCs w:val="20"/>
            <w:rtl/>
          </w:rPr>
          <w:t xml:space="preserve">12. القرارات المطلوبة</w:t>
        </w:r>
      </w:hyperlink>
    </w:p>
    <w:p>
      <w:pPr>
        <w:bidi/>
        <w:spacing w:after="50" w:before="0"/>
        <w:ind w:left="0"/>
      </w:pPr>
      <w:hyperlink w:history="1" w:anchor="_sec16">
        <w:r>
          <w:rPr>
            <w:rFonts w:ascii="Arial" w:cs="Arial" w:eastAsia="Arial" w:hAnsi="Arial"/>
            <w:b/>
            <w:bCs/>
            <w:color w:val="1F3A5F"/>
            <w:sz w:val="20"/>
            <w:szCs w:val="20"/>
            <w:rtl/>
          </w:rPr>
          <w:t xml:space="preserve">13. تعارضات وفجوات في المصادر</w:t>
        </w:r>
      </w:hyperlink>
    </w:p>
    <w:p>
      <w:pPr>
        <w:bidi/>
        <w:spacing w:after="50" w:before="0"/>
        <w:ind w:left="0"/>
      </w:pPr>
      <w:hyperlink w:history="1" w:anchor="_sec17">
        <w:r>
          <w:rPr>
            <w:rFonts w:ascii="Arial" w:cs="Arial" w:eastAsia="Arial" w:hAnsi="Arial"/>
            <w:b/>
            <w:bCs/>
            <w:color w:val="1F3A5F"/>
            <w:sz w:val="20"/>
            <w:szCs w:val="20"/>
            <w:rtl/>
          </w:rPr>
          <w:t xml:space="preserve">14. التتبع</w:t>
        </w:r>
      </w:hyperlink>
    </w:p>
    <w:p>
      <w:r>
        <w:br w:type="page"/>
      </w: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bidi/>
        <w:spacing w:after="110" w:before="0" w:line="312"/>
      </w:pPr>
      <w:r>
        <w:rPr>
          <w:rFonts w:ascii="Arial" w:cs="Arial" w:eastAsia="Arial" w:hAnsi="Arial"/>
          <w:b/>
          <w:bCs/>
          <w:sz w:val="21"/>
          <w:szCs w:val="21"/>
          <w:rtl/>
        </w:rPr>
        <w:t xml:space="preserve">تحفّظ.</w:t>
      </w:r>
      <w:r>
        <w:rPr>
          <w:rFonts w:ascii="Arial" w:cs="Arial" w:eastAsia="Arial" w:hAnsi="Arial"/>
          <w:b w:val="false"/>
          <w:bCs w:val="false"/>
          <w:sz w:val="21"/>
          <w:szCs w:val="21"/>
          <w:rtl/>
        </w:rPr>
        <w:t xml:space="preserve"> هذه الوثيقة تقييم هندسي لا رأي قانوني. لا تفترض نظامًا بعينه لحماية البيانات. كل ما يتوقف على النظام المطبَّق أو على دولة الاستضافة مسجَّل قرارًا للمالك مع المستشار القانوني (X-AUD-4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docs/10-detailed-analysis/00-overview-and-cross-cutting.md:150).</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جرد البيانات الشخصية التي تعالجها المنصة، وأغراضها، ومدد الاحتفاظ المقترحة، وحقوق أصحابها، وموقع الاستضافة والنقل عبر الحدود، والجهات المعالِجة، ومخاطر الخصوصية وضوابطها. ADR 0001 يشترط حسم إقامة البيانات قبل تحميل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البيانات المخزنة في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وفي مخزن الملفات، وما يخرج منها في البريد والتصدير والسجلات والنسخ الاحتياطية.</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آليات الحماية التفصيلية (DOC-S02 وDOC-S06)، وإجراء الاستجابة للحوادث (DOC-S15).</w:t>
      </w:r>
    </w:p>
    <w:p>
      <w:pPr>
        <w:pStyle w:val="Heading1"/>
        <w:bidi/>
      </w:pPr>
      <w:bookmarkStart w:name="_sec2" w:id="2"/>
      <w:r>
        <w:rPr>
          <w:rFonts w:ascii="Arial" w:cs="Arial" w:eastAsia="Arial" w:hAnsi="Arial"/>
          <w:b/>
          <w:bCs/>
          <w:color w:val="1F3A5F"/>
          <w:sz w:val="32"/>
          <w:szCs w:val="32"/>
          <w:rtl/>
        </w:rPr>
        <w:t xml:space="preserve">2. الأدوار</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1297"/>
        <w:gridCol w:w="1081"/>
        <w:gridCol w:w="6489"/>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12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المفترض</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البيانات (Controller) لبيانات موظفيه والأشخاص الذين يُدخلهم</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(Processor) لبيانات المشترك</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بيانات لحسابات المشغّلين، وربما لسجلات الأمن على مستوى المنصة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w:t>
            </w:r>
            <w:r>
              <w:rPr>
                <w:rFonts w:ascii="Arial" w:cs="Arial" w:eastAsia="Arial" w:hAnsi="Arial"/>
                <w:color w:val="E0A800"/>
                <w:sz w:val="18"/>
                <w:szCs w:val="18"/>
                <w:rtl/>
              </w:rPr>
              <w:t xml:space="preserve">●</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فرعي (يستضيف VPS)</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الاستضافة VPS خاص</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فرعي (رسائل الدعوة وإعادة التعيين)</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«تهيّئه الاستضافة»</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الموقع المنفصل للنسخ</w:t>
            </w:r>
          </w:p>
        </w:tc>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معالجان فرعيان محتملان</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(DQ-S02-1)، DOC-S09</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أصحاب البيانات</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2483"/>
        <w:gridCol w:w="6386"/>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63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يُدخل بياناتهم</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DS-1 مستخدمو المشترك</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الخزينة والمشتريات والمبيعات</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DS-2 أشخاص Party من الأفراد</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الكفلاء، الملاك، أعضاء المجالس، المفوَّضون، جهات الاتصال المرقّاة</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(قرار تخزين بيانات الكفلاء كاملة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docs/01-preliminary-analysis.md:40)</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DS-3 جهات اتصال البنوك</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r>
              <w:rPr>
                <w:rFonts w:ascii="Arial" w:cs="Arial" w:eastAsia="Arial" w:hAnsi="Arial"/>
                <w:b w:val="false"/>
                <w:bCs w:val="false"/>
                <w:sz w:val="18"/>
                <w:szCs w:val="18"/>
                <w:rtl/>
              </w:rPr>
              <w:t xml:space="preserve"> بلا هوية</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(db/model/12-institutions-accounts-catalogs.model:310)</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DS-4 جهات اتصال الأطراف المقابلة</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هاتف وبريد في </w:t>
            </w: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المشترك (db/model/16-letters-of-credit.model:106-108)</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DS-5 مشغّلو المنصة</w:t>
            </w:r>
          </w:p>
        </w:tc>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w:t>
            </w: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63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DS-6 أشخاص غير مسجّلين</w:t>
            </w:r>
          </w:p>
        </w:tc>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كُتب في شاشة الدخول ولا يطابق مستخدمًا</w:t>
            </w:r>
          </w:p>
        </w:tc>
        <w:tc>
          <w:tcPr>
            <w:tcW w:type="dxa" w:w="63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نفسه (db/static/030_session_context.sql:124-126)</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4. جرد البيانات الشخصية</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59"/>
        <w:gridCol w:w="859"/>
        <w:gridCol w:w="2374"/>
        <w:gridCol w:w="2457"/>
        <w:gridCol w:w="859"/>
        <w:gridCol w:w="2456"/>
      </w:tblGrid>
      <w:tr>
        <w:trPr>
          <w:cantSplit/>
          <w:tblHeader/>
        </w:trPr>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الموقع</w:t>
            </w:r>
          </w:p>
        </w:tc>
        <w:tc>
          <w:tcPr>
            <w:tcW w:type="dxa" w:w="2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 (DOC-S06)</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w:t>
            </w:r>
            <w:r>
              <w:rPr>
                <w:rFonts w:ascii="Arial" w:cs="Arial" w:eastAsia="Arial" w:hAnsi="Arial"/>
                <w:color w:val="E0A800"/>
                <w:sz w:val="18"/>
                <w:szCs w:val="18"/>
                <w:rtl/>
              </w:rPr>
              <w:t xml:space="preserve">●</w:t>
            </w:r>
          </w:p>
        </w:tc>
        <w:tc>
          <w:tcPr>
            <w:tcW w:type="dxa" w:w="24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الاحتفاظ </w:t>
            </w:r>
            <w:r>
              <w:rPr>
                <w:rFonts w:ascii="Arial" w:cs="Arial" w:eastAsia="Arial" w:hAnsi="Arial"/>
                <w:color w:val="E0A800"/>
                <w:sz w:val="18"/>
                <w:szCs w:val="18"/>
                <w:rtl/>
              </w:rPr>
              <w:t xml:space="preserve">●</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وثائق الهوية والإقامة والجواز</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r>
              <w:rPr>
                <w:rFonts w:ascii="Arial" w:cs="Arial" w:eastAsia="Arial" w:hAnsi="Arial"/>
                <w:b w:val="false"/>
                <w:bCs w:val="false"/>
                <w:sz w:val="18"/>
                <w:szCs w:val="18"/>
                <w:rtl/>
              </w:rPr>
              <w:t xml:space="preserve"> (db/model/11-organization-party.model:288-319)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KYC للبنوك</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سنوات بعد آخر استخدام نشط (BR-PLT-016)</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وثائق الهوية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بروابط </w:t>
            </w:r>
            <w:r>
              <w:rPr>
                <w:rFonts w:ascii="Courier New" w:cs="Courier New" w:eastAsia="Courier New" w:hAnsi="Courier New"/>
                <w:b w:val="false"/>
                <w:bCs w:val="false"/>
                <w:color w:val="1F2937"/>
                <w:sz w:val="16"/>
                <w:szCs w:val="16"/>
                <w:shd w:fill="F1F3F5" w:color="auto" w:val="clear"/>
                <w:rtl/>
              </w:rPr>
              <w:t xml:space="preserve">‎IMAGE_FRONT‎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‎IMAGE_BACK‎</w:t>
            </w:r>
            <w:r>
              <w:rPr>
                <w:rFonts w:ascii="Arial" w:cs="Arial" w:eastAsia="Arial" w:hAnsi="Arial"/>
                <w:b w:val="false"/>
                <w:bCs w:val="false"/>
                <w:sz w:val="18"/>
                <w:szCs w:val="18"/>
                <w:rtl/>
              </w:rPr>
              <w:t xml:space="preserve"> (db/model/10-platform.model:414)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الفرد: الميلاد ومكانه والحالة الاجتماعية والجنس والتعليم</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(db/model/11-organization-party.model:265-273)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(db/model/11-organization-party.model:262-264)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مقترحة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 والبحث ومنع التكرار</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بعد إخفاء الهوية (FR-PTY-029)</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P-05</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العناوين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r>
              <w:rPr>
                <w:rFonts w:ascii="Arial" w:cs="Arial" w:eastAsia="Arial" w:hAnsi="Arial"/>
                <w:b w:val="false"/>
                <w:bCs w:val="false"/>
                <w:sz w:val="18"/>
                <w:szCs w:val="18"/>
                <w:rtl/>
              </w:rPr>
              <w:t xml:space="preserve"> (db/model/11-organization-party.model:321-351)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والمراسلات</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P-06</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وسائل الاتصال</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(db/model/11-organization-party.model:353-376)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التواصل وKYC</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P-07</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PEP والعقوبات والتحقيقات والحصانة</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(db/model/11-organization-party.model:449-465)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P-08</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الهوية الضريبية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(db/model/11-organization-party.model:467-480)</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وFATCA وCRS</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P-09</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مخصصة (الدخل، مصدر الأموال، جهة العمل)</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r>
              <w:rPr>
                <w:rFonts w:ascii="Arial" w:cs="Arial" w:eastAsia="Arial" w:hAnsi="Arial"/>
                <w:b w:val="false"/>
                <w:bCs w:val="false"/>
                <w:sz w:val="18"/>
                <w:szCs w:val="18"/>
                <w:rtl/>
              </w:rPr>
              <w:t xml:space="preserve"> (db/model/11-organization-party.model:393-405)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أو مقيّدة بحسب التعريف</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نموذج بنك فقط (BR-PTY-019)</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P-01</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والعضوية والمنح</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‎org.AuthorityGrant‎</w:t>
            </w:r>
            <w:r>
              <w:rPr>
                <w:rFonts w:ascii="Arial" w:cs="Arial" w:eastAsia="Arial" w:hAnsi="Arial"/>
                <w:b w:val="false"/>
                <w:bCs w:val="false"/>
                <w:sz w:val="18"/>
                <w:szCs w:val="18"/>
                <w:rtl/>
              </w:rPr>
              <w:t xml:space="preserve"> (db/model/11-organization-party.model:71 و108 و126)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(docs/10-detailed-analysis/10-m0-m1-platform-organization.md:331)</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الحوكمة والتفويض</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بعد الانتهاء</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 وسقوفهم</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‎acc.SignatoryAuthority‎</w:t>
            </w:r>
            <w:r>
              <w:rPr>
                <w:rFonts w:ascii="Arial" w:cs="Arial" w:eastAsia="Arial" w:hAnsi="Arial"/>
                <w:b w:val="false"/>
                <w:bCs w:val="false"/>
                <w:sz w:val="18"/>
                <w:szCs w:val="18"/>
                <w:rtl/>
              </w:rPr>
              <w:t xml:space="preserve"> (db/model/12-institutions-accounts-catalogs.model:434-467)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التوقيعات</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بعد الانتهاء</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المستخدم: البريد والاسم وتجزئة كلمة المرور وسر MFA</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(db/model/10-platform.model:113-154)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والأسرار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والصلاحيات</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الحساب ثم الأرشفة؛ الأسرار تُمحى عند الأرشفة</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 بعناوين IP ووكيل المتصفح والبريد المكتوب</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(db/model/10-platform.model:199-208)</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مقترحة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والقفل (BR-PLT-005)</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يومًا؛ الأثر الدائم في التدقيق</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ورموز الدعوة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‎sec.UserToken‎</w:t>
            </w:r>
            <w:r>
              <w:rPr>
                <w:rFonts w:ascii="Arial" w:cs="Arial" w:eastAsia="Arial" w:hAnsi="Arial"/>
                <w:b w:val="false"/>
                <w:bCs w:val="false"/>
                <w:sz w:val="18"/>
                <w:szCs w:val="18"/>
                <w:rtl/>
              </w:rPr>
              <w:t xml:space="preserve"> (db/model/10-platform.model:219-258)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والبصمات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الجلسة</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بعد الانتهاء</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الفاعل والعنوان والقيم قبل وبعد</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(db/model/10-platform.model:304-330)</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المساءلة والأمن</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(BR-PLT-016)</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الوصول الحساس: من كشف رقم من ومتى</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(db/model/10-platform.model:332-355)</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المساءلة وكشف الشذوذ (BR-PTY-009)</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P-17</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المشغّلين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(db/model/10-platform.model:64-87)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والأسرار مقيّدة</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المنصة</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الحساب + سنة</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P-18</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الأطراف المقابلة وبنود اللقطات</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‎lc.ProformaInvoice.CustomerSnapshotJson‎</w:t>
            </w:r>
            <w:r>
              <w:rPr>
                <w:rFonts w:ascii="Arial" w:cs="Arial" w:eastAsia="Arial" w:hAnsi="Arial"/>
                <w:b w:val="false"/>
                <w:bCs w:val="false"/>
                <w:sz w:val="18"/>
                <w:szCs w:val="18"/>
                <w:rtl/>
              </w:rPr>
              <w:t xml:space="preserve"> (db/model/16-letters-of-credit.model:106-108 و622)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والفواتير</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للطلبات (docs/10-detailed-analysis/13-m6-workflow-engine-notifications.md:694)</w:t>
            </w:r>
          </w:p>
        </w:tc>
      </w:tr>
      <w:tr>
        <w:trPr>
          <w:cantSplit/>
        </w:trPr>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P-19</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التصدير</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(db/model/10-platform.model:502-521)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حملت مقيّدًا</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المشترك في بياناته</w:t>
            </w:r>
          </w:p>
        </w:tc>
        <w:tc>
          <w:tcPr>
            <w:tcW w:type="dxa" w:w="24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 للحزمة (db/model/10-platform.model:513)</w:t>
            </w:r>
          </w:p>
        </w:tc>
      </w:tr>
      <w:tr>
        <w:trPr>
          <w:cantSplit/>
        </w:trPr>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وتسليمها</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‎ntf.NotificationDelivery‎</w:t>
            </w:r>
            <w:r>
              <w:rPr>
                <w:rFonts w:ascii="Arial" w:cs="Arial" w:eastAsia="Arial" w:hAnsi="Arial"/>
                <w:b w:val="false"/>
                <w:bCs w:val="false"/>
                <w:sz w:val="18"/>
                <w:szCs w:val="18"/>
                <w:rtl/>
              </w:rPr>
              <w:t xml:space="preserve"> (db/model/15-workflow-notifications.model:603 و639)</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قيم مقيّدة</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 اليومي</w:t>
            </w:r>
          </w:p>
        </w:tc>
        <w:tc>
          <w:tcPr>
            <w:tcW w:type="dxa" w:w="24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180 يومًا من القراءة (Q-NTF-05)</w:t>
            </w:r>
          </w:p>
        </w:tc>
      </w:tr>
    </w:tbl>
    <w:p>
      <w:pPr>
        <w:bidi/>
        <w:spacing w:after="120" w:before="0"/>
      </w:pPr>
    </w:p>
    <w:p>
      <w:pPr>
        <w:pStyle w:val="Heading1"/>
        <w:bidi/>
      </w:pPr>
      <w:bookmarkStart w:name="_sec5" w:id="5"/>
      <w:r>
        <w:rPr>
          <w:rFonts w:ascii="Arial" w:cs="Arial" w:eastAsia="Arial" w:hAnsi="Arial"/>
          <w:b/>
          <w:bCs/>
          <w:color w:val="1F3A5F"/>
          <w:sz w:val="32"/>
          <w:szCs w:val="32"/>
          <w:rtl/>
        </w:rPr>
        <w:t xml:space="preserve">5. الغرض والأساس النظامي </w:t>
      </w:r>
      <w:r>
        <w:rPr>
          <w:rFonts w:ascii="Arial" w:cs="Arial" w:eastAsia="Arial" w:hAnsi="Arial"/>
          <w:color w:val="E0A800"/>
          <w:sz w:val="32"/>
          <w:szCs w:val="32"/>
          <w:rtl/>
        </w:rPr>
        <w:t xml:space="preserve">●</w:t>
      </w:r>
      <w:bookmarkEnd w:id="5"/>
    </w:p>
    <w:p>
      <w:pPr>
        <w:pStyle w:val="ListParagraph"/>
        <w:numPr>
          <w:ilvl w:val="0"/>
          <w:numId w:val="2"/>
        </w:numPr>
        <w:bidi/>
        <w:spacing w:after="70" w:before="0" w:line="300"/>
      </w:pPr>
      <w:r>
        <w:rPr>
          <w:rFonts w:ascii="Arial" w:cs="Arial" w:eastAsia="Arial" w:hAnsi="Arial"/>
          <w:b/>
          <w:bCs/>
          <w:sz w:val="21"/>
          <w:szCs w:val="21"/>
          <w:rtl/>
        </w:rPr>
        <w:t xml:space="preserve">الأغراض المعلنة في المصادر:</w:t>
      </w:r>
      <w:r>
        <w:rPr>
          <w:rFonts w:ascii="Arial" w:cs="Arial" w:eastAsia="Arial" w:hAnsi="Arial"/>
          <w:b w:val="false"/>
          <w:bCs w:val="false"/>
          <w:sz w:val="21"/>
          <w:szCs w:val="21"/>
          <w:rtl/>
        </w:rPr>
        <w:t xml:space="preserve"> «متطلبات KYC للبنوك فقط» لبيانات الأشخاص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(docs/10-detailed-analysis/10-m0-m1-platform-organization.md:588)، وأمن الحسابات، والمساءلة بالتدقيق، وإدارة التسهيلات والاعتمادات.</w:t>
      </w:r>
    </w:p>
    <w:p>
      <w:pPr>
        <w:pStyle w:val="ListParagraph"/>
        <w:numPr>
          <w:ilvl w:val="0"/>
          <w:numId w:val="2"/>
        </w:numPr>
        <w:bidi/>
        <w:spacing w:after="70" w:before="0" w:line="300"/>
      </w:pPr>
      <w:r>
        <w:rPr>
          <w:rFonts w:ascii="Arial" w:cs="Arial" w:eastAsia="Arial" w:hAnsi="Arial"/>
          <w:b/>
          <w:bCs/>
          <w:sz w:val="21"/>
          <w:szCs w:val="21"/>
          <w:rtl/>
        </w:rPr>
        <w:t xml:space="preserve">الأساس النظامي</w:t>
      </w:r>
      <w:r>
        <w:rPr>
          <w:rFonts w:ascii="Arial" w:cs="Arial" w:eastAsia="Arial" w:hAnsi="Arial"/>
          <w:b w:val="false"/>
          <w:bCs w:val="false"/>
          <w:sz w:val="21"/>
          <w:szCs w:val="21"/>
          <w:rtl/>
        </w:rPr>
        <w:t xml:space="preserve"> لكل فئة (عقد، التزام نظامي، مصلحة مشروعة، موافقة) يحدده المستشار القانوني لكل دولة يعمل فيها المشترك. لا تفترض هذه الوثيقة أساسًا. docs/04-facility-agreements-analysis.md:253 يذكر مثالًا لنظام وطني دون حسم، والحالة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أدنى جمع للبيانات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يُجمع إلا ما يطلبه ملف اكتمال أو يلزمه الدور» (BR-PTY-019، docs/10-detailed-analysis/10-m0-m1-platform-organization.md:290). الدخل ومصدر الأموال حقول مخصصة تُفعَّل عند الطلب.</w:t>
      </w:r>
    </w:p>
    <w:p>
      <w:pPr>
        <w:pStyle w:val="ListParagraph"/>
        <w:numPr>
          <w:ilvl w:val="0"/>
          <w:numId w:val="2"/>
        </w:numPr>
        <w:bidi/>
        <w:spacing w:after="70" w:before="0" w:line="300"/>
      </w:pPr>
      <w:r>
        <w:rPr>
          <w:rFonts w:ascii="Arial" w:cs="Arial" w:eastAsia="Arial" w:hAnsi="Arial"/>
          <w:b/>
          <w:bCs/>
          <w:sz w:val="21"/>
          <w:szCs w:val="21"/>
          <w:rtl/>
        </w:rPr>
        <w:t xml:space="preserve">الفئات الخاصة:</w:t>
      </w:r>
      <w:r>
        <w:rPr>
          <w:rFonts w:ascii="Arial" w:cs="Arial" w:eastAsia="Arial" w:hAnsi="Arial"/>
          <w:b w:val="false"/>
          <w:bCs w:val="false"/>
          <w:sz w:val="21"/>
          <w:szCs w:val="21"/>
          <w:rtl/>
        </w:rPr>
        <w:t xml:space="preserve"> سؤال الإعاقة في بعض نماذج البنوك «حقل حساس اختياري…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(docs/05-kyc-forms-analysis.md:73). لا يوجد له عمود في النموذج. الافتراضي ألا يُجمع حتى يُبدي المستشار رأيه (DQ-S06-8 في DOC-S06).</w:t>
      </w:r>
    </w:p>
    <w:p>
      <w:pPr>
        <w:pStyle w:val="ListParagraph"/>
        <w:numPr>
          <w:ilvl w:val="0"/>
          <w:numId w:val="2"/>
        </w:numPr>
        <w:bidi/>
        <w:spacing w:after="70" w:before="0" w:line="300"/>
      </w:pPr>
      <w:r>
        <w:rPr>
          <w:rFonts w:ascii="Arial" w:cs="Arial" w:eastAsia="Arial" w:hAnsi="Arial"/>
          <w:b/>
          <w:bCs/>
          <w:sz w:val="21"/>
          <w:szCs w:val="21"/>
          <w:rtl/>
        </w:rPr>
        <w:t xml:space="preserve">إعلام أصحاب البيانات:</w:t>
      </w:r>
      <w:r>
        <w:rPr>
          <w:rFonts w:ascii="Arial" w:cs="Arial" w:eastAsia="Arial" w:hAnsi="Arial"/>
          <w:b w:val="false"/>
          <w:bCs w:val="false"/>
          <w:sz w:val="21"/>
          <w:szCs w:val="21"/>
          <w:rtl/>
        </w:rPr>
        <w:t xml:space="preserve"> الشخص المُدخَل (الكفيل مثلًا) لا يتعامل مع المنصة مباشرة. إعلامه مسؤولية المشترك بصفته مسؤول البيانات.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تزوّد المنصة المشترك بنص وصف للمعالجة يضمّنه في إشعاره.</w:t>
      </w:r>
    </w:p>
    <w:p>
      <w:pPr>
        <w:bidi/>
        <w:spacing w:after="60" w:before="0"/>
      </w:pPr>
    </w:p>
    <w:p>
      <w:pPr>
        <w:pStyle w:val="Heading1"/>
        <w:bidi/>
      </w:pPr>
      <w:bookmarkStart w:name="_sec6" w:id="6"/>
      <w:r>
        <w:rPr>
          <w:rFonts w:ascii="Arial" w:cs="Arial" w:eastAsia="Arial" w:hAnsi="Arial"/>
          <w:b/>
          <w:bCs/>
          <w:color w:val="1F3A5F"/>
          <w:sz w:val="32"/>
          <w:szCs w:val="32"/>
          <w:rtl/>
        </w:rPr>
        <w:t xml:space="preserve">6. إقامة البيانات والنقل عبر الحدود</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378"/>
        <w:gridCol w:w="6489"/>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الاستضافة</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دولة الخادم غير محددة في أي وثيقة</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السؤال القانوني</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سؤال إقامة البيانات/حماية البيانات الشخصية للمراجعة القانونية»</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س-4 </w:t>
            </w: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«هل هناك متطلبات إقامة البيانات؟»</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docs/01-preliminary-analysis.md:125</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الإقامة</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‎plat.Tenant.DataRegion‎</w:t>
            </w:r>
            <w:r>
              <w:rPr>
                <w:rFonts w:ascii="Arial" w:cs="Arial" w:eastAsia="Arial" w:hAnsi="Arial"/>
                <w:b w:val="false"/>
                <w:bCs w:val="false"/>
                <w:sz w:val="18"/>
                <w:szCs w:val="18"/>
                <w:rtl/>
              </w:rPr>
              <w:t xml:space="preserve"> موجود</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db/model/10-platform.model:42</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واحدة لكل المشتركين</w:t>
            </w:r>
          </w:p>
        </w:tc>
        <w:tc>
          <w:tcPr>
            <w:tcW w:type="dxa" w:w="2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6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docs/20-database-design.md:61</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محلي لمن يطلب</w:t>
            </w:r>
          </w:p>
        </w:tc>
        <w:tc>
          <w:tcPr>
            <w:tcW w:type="dxa" w:w="2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بحزمة قابلة للنقل</w:t>
            </w:r>
          </w:p>
        </w:tc>
        <w:tc>
          <w:tcPr>
            <w:tcW w:type="dxa" w:w="6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docs/10-detailed-analysis/10-m0-m1-platform-organization.md:149</w:t>
            </w:r>
          </w:p>
        </w:tc>
      </w:tr>
    </w:tbl>
    <w:p>
      <w:pPr>
        <w:bidi/>
        <w:spacing w:after="120" w:before="0"/>
      </w:pPr>
    </w:p>
    <w:p>
      <w:pPr>
        <w:bidi/>
        <w:spacing w:after="110" w:before="0" w:line="312"/>
      </w:pPr>
      <w:r>
        <w:rPr>
          <w:rFonts w:ascii="Arial" w:cs="Arial" w:eastAsia="Arial" w:hAnsi="Arial"/>
          <w:b/>
          <w:bCs/>
          <w:sz w:val="21"/>
          <w:szCs w:val="21"/>
          <w:rtl/>
        </w:rPr>
        <w:t xml:space="preserve">ملاحظات:</w:t>
      </w:r>
    </w:p>
    <w:p>
      <w:pPr>
        <w:pStyle w:val="ListParagraph"/>
        <w:numPr>
          <w:ilvl w:val="0"/>
          <w:numId w:val="2"/>
        </w:numPr>
        <w:bidi/>
        <w:spacing w:after="70" w:before="0" w:line="300"/>
      </w:pPr>
      <w:r>
        <w:rPr>
          <w:rFonts w:ascii="Arial" w:cs="Arial" w:eastAsia="Arial" w:hAnsi="Arial"/>
          <w:b w:val="false"/>
          <w:bCs w:val="false"/>
          <w:sz w:val="21"/>
          <w:szCs w:val="21"/>
          <w:rtl/>
        </w:rPr>
        <w:t xml:space="preserve">مع قاعدة واحدة (T-1) لا يمكن وضع بيانات مشترك في منطقة غير منطقة غيره. </w:t>
      </w:r>
      <w:r>
        <w:rPr>
          <w:rFonts w:ascii="Courier New" w:cs="Courier New" w:eastAsia="Courier New" w:hAnsi="Courier New"/>
          <w:b w:val="false"/>
          <w:bCs w:val="false"/>
          <w:color w:val="1F2937"/>
          <w:sz w:val="18"/>
          <w:szCs w:val="18"/>
          <w:shd w:fill="F1F3F5" w:color="auto" w:val="clear"/>
          <w:rtl/>
        </w:rPr>
        <w:t xml:space="preserve">‎DataRegion‎</w:t>
      </w:r>
      <w:r>
        <w:rPr>
          <w:rFonts w:ascii="Arial" w:cs="Arial" w:eastAsia="Arial" w:hAnsi="Arial"/>
          <w:b w:val="false"/>
          <w:bCs w:val="false"/>
          <w:sz w:val="21"/>
          <w:szCs w:val="21"/>
          <w:rtl/>
        </w:rPr>
        <w:t xml:space="preserve"> يصف ولا يفرض. الخيارات: (أ) منطقة واحدة لكل المشتركين تقبلها أنظمتهم؛ (ب) نشر مستقل لكل منطقة؛ (ج) التثبيت المحلي (FR-PLT-047) لمن يشترط الإقامة داخل منشأته.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النقل عبر الحدود لا يقتصر على الخادم: الموقع المنفصل للنسخ (DOC-S09)، ومرحّل البريد، ومخزن المفاتيح (DOC-S02)، ومحطات المشغّلين، كلها قد تكون في دول أخرى.</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الافتراضي: يختار المالك دولة الخادم والموقع المنفصل معًا، بعد رأي قانوني لكل دولة مستهدفة، قبل تحميل أي بيانات حقيقية (DQ-S07-1 وDQ-S07-2).</w:t>
      </w:r>
    </w:p>
    <w:p>
      <w:pPr>
        <w:bidi/>
        <w:spacing w:after="60" w:before="0"/>
      </w:pPr>
    </w:p>
    <w:p>
      <w:pPr>
        <w:pStyle w:val="Heading1"/>
        <w:bidi/>
      </w:pPr>
      <w:bookmarkStart w:name="_sec7" w:id="7"/>
      <w:r>
        <w:rPr>
          <w:rFonts w:ascii="Arial" w:cs="Arial" w:eastAsia="Arial" w:hAnsi="Arial"/>
          <w:b/>
          <w:bCs/>
          <w:color w:val="1F3A5F"/>
          <w:sz w:val="32"/>
          <w:szCs w:val="32"/>
          <w:rtl/>
        </w:rPr>
        <w:t xml:space="preserve">7. الاحتفاظ والإتلاف</w:t>
      </w:r>
      <w:bookmarkEnd w:id="7"/>
    </w:p>
    <w:p>
      <w:pPr>
        <w:pStyle w:val="ListParagraph"/>
        <w:numPr>
          <w:ilvl w:val="0"/>
          <w:numId w:val="2"/>
        </w:numPr>
        <w:bidi/>
        <w:spacing w:after="70" w:before="0" w:line="300"/>
      </w:pPr>
      <w:r>
        <w:rPr>
          <w:rFonts w:ascii="Arial" w:cs="Arial" w:eastAsia="Arial" w:hAnsi="Arial"/>
          <w:b/>
          <w:bCs/>
          <w:sz w:val="21"/>
          <w:szCs w:val="21"/>
          <w:rtl/>
        </w:rPr>
        <w:t xml:space="preserve">القاعدة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إتلاف تلقائي. الإتلاف تقرير ثم موافقة ثم إتلاف أو إخفاء مع أثر (BR-PLT-016، docs/10-detailed-analysis/10-m0-m1-platform-organization.md:242؛ FR-PLT-040 Should في S5، docs/10-detailed-analysis/10-m0-m1-platform-organization.md:142).</w:t>
      </w:r>
    </w:p>
    <w:p>
      <w:pPr>
        <w:pStyle w:val="ListParagraph"/>
        <w:numPr>
          <w:ilvl w:val="0"/>
          <w:numId w:val="2"/>
        </w:numPr>
        <w:bidi/>
        <w:spacing w:after="70" w:before="0" w:line="300"/>
      </w:pPr>
      <w:r>
        <w:rPr>
          <w:rFonts w:ascii="Arial" w:cs="Arial" w:eastAsia="Arial" w:hAnsi="Arial"/>
          <w:b/>
          <w:bCs/>
          <w:sz w:val="21"/>
          <w:szCs w:val="21"/>
          <w:rtl/>
        </w:rPr>
        <w:t xml:space="preserve">المدد المقترحة </w:t>
      </w:r>
      <w:r>
        <w:rPr>
          <w:rFonts w:ascii="Arial" w:cs="Arial" w:eastAsia="Arial" w:hAnsi="Arial"/>
          <w:color w:val="2E9E44"/>
          <w:sz w:val="21"/>
          <w:szCs w:val="21"/>
          <w:rtl/>
        </w:rPr>
        <w:t xml:space="preserve">●</w:t>
      </w:r>
      <w:r>
        <w:rPr>
          <w:rFonts w:ascii="Arial" w:cs="Arial" w:eastAsia="Arial" w:hAnsi="Arial"/>
          <w:b/>
          <w:bCs/>
          <w:sz w:val="21"/>
          <w:szCs w:val="21"/>
          <w:rtl/>
        </w:rPr>
        <w:t xml:space="preserve"> للمراجعة القانونية:</w:t>
      </w:r>
      <w:r>
        <w:rPr>
          <w:rFonts w:ascii="Arial" w:cs="Arial" w:eastAsia="Arial" w:hAnsi="Arial"/>
          <w:b w:val="false"/>
          <w:bCs w:val="false"/>
          <w:sz w:val="21"/>
          <w:szCs w:val="21"/>
          <w:rtl/>
        </w:rPr>
        <w:t xml:space="preserve"> التدقيق 10 سنوات، والمستندات 10 سنوات بعد انتفاء الاستخدام، وهويات الأشخاص وصورها 5 سنوات بعد آخر استخدام نشط (Q-PLT-04، docs/10-detailed-analysis/10-m0-m1-platform-organization.md:616).</w:t>
      </w:r>
    </w:p>
    <w:p>
      <w:pPr>
        <w:pStyle w:val="ListParagraph"/>
        <w:numPr>
          <w:ilvl w:val="0"/>
          <w:numId w:val="2"/>
        </w:numPr>
        <w:bidi/>
        <w:spacing w:after="70" w:before="0" w:line="300"/>
      </w:pPr>
      <w:r>
        <w:rPr>
          <w:rFonts w:ascii="Arial" w:cs="Arial" w:eastAsia="Arial" w:hAnsi="Arial"/>
          <w:b/>
          <w:bCs/>
          <w:sz w:val="21"/>
          <w:szCs w:val="21"/>
          <w:rtl/>
        </w:rPr>
        <w:t xml:space="preserve">ما ليس له مدة في المصادر:</w:t>
      </w:r>
      <w:r>
        <w:rPr>
          <w:rFonts w:ascii="Arial" w:cs="Arial" w:eastAsia="Arial" w:hAnsi="Arial"/>
          <w:b w:val="false"/>
          <w:bCs w:val="false"/>
          <w:sz w:val="21"/>
          <w:szCs w:val="21"/>
          <w:rtl/>
        </w:rPr>
        <w:t xml:space="preserve"> محاولات الدخول، والجلسات، والرموز، وOutbox، وسجل المهام. المقترح في عمود الاحتفاظ بالقسم 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وO-6 (20-database-design) يطلب قرارًا لكل جدول (docs/20-database-design.md:534).</w:t>
      </w:r>
    </w:p>
    <w:p>
      <w:pPr>
        <w:pStyle w:val="ListParagraph"/>
        <w:numPr>
          <w:ilvl w:val="0"/>
          <w:numId w:val="2"/>
        </w:numPr>
        <w:bidi/>
        <w:spacing w:after="70" w:before="0" w:line="300"/>
      </w:pPr>
      <w:r>
        <w:rPr>
          <w:rFonts w:ascii="Arial" w:cs="Arial" w:eastAsia="Arial" w:hAnsi="Arial"/>
          <w:b/>
          <w:bCs/>
          <w:sz w:val="21"/>
          <w:szCs w:val="21"/>
          <w:rtl/>
        </w:rPr>
        <w:t xml:space="preserve">المشترك المغلق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تصدير 30 يومًا ثم قراءة فقط، والإتلاف بموافقة المشغّل وموافقة المشترك الخطية بعد المدة (BR-PLT-002، docs/10-detailed-analysis/10-m0-m1-platform-organization.md:228).</w:t>
      </w:r>
    </w:p>
    <w:p>
      <w:pPr>
        <w:pStyle w:val="ListParagraph"/>
        <w:numPr>
          <w:ilvl w:val="0"/>
          <w:numId w:val="2"/>
        </w:numPr>
        <w:bidi/>
        <w:spacing w:after="70" w:before="0" w:line="300"/>
      </w:pPr>
      <w:r>
        <w:rPr>
          <w:rFonts w:ascii="Arial" w:cs="Arial" w:eastAsia="Arial" w:hAnsi="Arial"/>
          <w:b/>
          <w:bCs/>
          <w:sz w:val="21"/>
          <w:szCs w:val="21"/>
          <w:rtl/>
        </w:rPr>
        <w:t xml:space="preserve">النسخ الاحتياطية:</w:t>
      </w:r>
      <w:r>
        <w:rPr>
          <w:rFonts w:ascii="Arial" w:cs="Arial" w:eastAsia="Arial" w:hAnsi="Arial"/>
          <w:b w:val="false"/>
          <w:bCs w:val="false"/>
          <w:sz w:val="21"/>
          <w:szCs w:val="21"/>
          <w:rtl/>
        </w:rPr>
        <w:t xml:space="preserve"> البيانات المتلفة تبقى في النسخ حتى تنتهي مدتها (DOC-S09، 35 يومًا للاستعادة النقطية و12 شهرًا للنسخ الشهرية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يُذكر ذلك في وصف المعالجة. استعادة نسخة بعد إتلاف تتطلب إعادة تنفيذ الإتلافات المسجّلة بعد تاريخ النسخة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1"/>
        <w:bidi/>
      </w:pPr>
      <w:bookmarkStart w:name="_sec8" w:id="8"/>
      <w:r>
        <w:rPr>
          <w:rFonts w:ascii="Arial" w:cs="Arial" w:eastAsia="Arial" w:hAnsi="Arial"/>
          <w:b/>
          <w:bCs/>
          <w:color w:val="1F3A5F"/>
          <w:sz w:val="32"/>
          <w:szCs w:val="32"/>
          <w:rtl/>
        </w:rPr>
        <w:t xml:space="preserve">8. حقوق أصحاب البيانات</w:t>
      </w:r>
      <w:bookmarkEnd w:id="8"/>
    </w:p>
    <w:p>
      <w:pPr>
        <w:pStyle w:val="Heading2"/>
        <w:bidi/>
      </w:pPr>
      <w:bookmarkStart w:name="_sec9" w:id="9"/>
      <w:r>
        <w:rPr>
          <w:rFonts w:ascii="Arial" w:cs="Arial" w:eastAsia="Arial" w:hAnsi="Arial"/>
          <w:b/>
          <w:bCs/>
          <w:color w:val="2B5C8A"/>
          <w:sz w:val="26"/>
          <w:szCs w:val="26"/>
          <w:rtl/>
        </w:rPr>
        <w:t xml:space="preserve">8.1 المسار</w:t>
      </w:r>
      <w:bookmarkEnd w:id="9"/>
    </w:p>
    <w:p>
      <w:pPr>
        <w:keepNext/>
        <w:bidi/>
        <w:spacing w:after="60" w:before="160"/>
        <w:jc w:val="center"/>
      </w:pPr>
      <w:r>
        <w:drawing>
          <wp:inline distT="0" distB="0" distL="0" distR="0">
            <wp:extent cx="219075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190750" cy="8191500"/>
                    </a:xfrm>
                    <a:prstGeom prst="rect">
                      <a:avLst/>
                    </a:prstGeom>
                  </pic:spPr>
                </pic:pic>
              </a:graphicData>
            </a:graphic>
          </wp:inline>
        </w:drawing>
      </w:r>
    </w:p>
    <w:p>
      <w:pPr>
        <w:pStyle w:val="Heading2"/>
        <w:bidi/>
      </w:pPr>
      <w:bookmarkStart w:name="_sec10" w:id="10"/>
      <w:r>
        <w:rPr>
          <w:rFonts w:ascii="Arial" w:cs="Arial" w:eastAsia="Arial" w:hAnsi="Arial"/>
          <w:b/>
          <w:bCs/>
          <w:color w:val="2B5C8A"/>
          <w:sz w:val="26"/>
          <w:szCs w:val="26"/>
          <w:rtl/>
        </w:rPr>
        <w:t xml:space="preserve">8.2 أنواع الطلبات</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6487"/>
        <w:gridCol w:w="986"/>
        <w:gridCol w:w="1405"/>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w:t>
            </w:r>
          </w:p>
        </w:tc>
        <w:tc>
          <w:tcPr>
            <w:tcW w:type="dxa" w:w="6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يوجد اليوم</w:t>
            </w:r>
          </w:p>
        </w:tc>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1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الاطلاع والنسخة</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«نظرة شاملة للشخص» ضمن نطاق المستخدم (docs/10-detailed-analysis/10-m0-m1-platform-organization.md:218)، وتصدير بيانات المشترك كلها FR-PLT-039 (docs/10-detailed-analysis/10-m0-m1-platform-organization.md:141)</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تصدير لبيانات شخص واحد</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تصدير بيانات شخص واحد (Party) بكل وثائقه واستخداماته، بصلاحية الكشف وإعادة المصادقة، ويُدقَّق</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التصحيح</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رقم الوثيقة بصلاحية ويُدقَّق (BR-PTY-006، docs/10-detailed-analysis/10-m0-m1-platform-organization.md:277)؛ التجديد ينشئ وثيقة جديدة</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جوهري</w:t>
            </w:r>
          </w:p>
        </w:tc>
        <w:tc>
          <w:tcPr>
            <w:tcW w:type="dxa" w:w="1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بعد الاحتفاظ (FR-PTY-029 Could في S5، docs/10-detailed-analysis/10-m0-m1-platform-organization.md:219): إزالة الأرقام والصور وإبقاء الاسم والتاريخ</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التعارض مع التدقيق غير المعدَّل (القسم 8.3)</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الهوية مع تقديم FR-PTY-029 إلى Should</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التقييد والاعتراض</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آلية لتجميد معالجة شخص</w:t>
            </w:r>
          </w:p>
        </w:tc>
        <w:tc>
          <w:tcPr>
            <w:tcW w:type="dxa" w:w="1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 يمنع استعماله في ملفات جديدة (DQ-S07-5)</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المستخدم DS-1</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وأرشفة (FR-PLT-016، docs/10-detailed-analysis/10-m0-m1-platform-organization.md:118)</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محو للأسرار عند الأرشفة</w:t>
            </w:r>
          </w:p>
        </w:tc>
        <w:tc>
          <w:tcPr>
            <w:tcW w:type="dxa" w:w="1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ورموز الاسترداد عند الأرشفة</w:t>
            </w:r>
          </w:p>
        </w:tc>
      </w:tr>
    </w:tbl>
    <w:p>
      <w:pPr>
        <w:bidi/>
        <w:spacing w:after="120" w:before="0"/>
      </w:pPr>
    </w:p>
    <w:p>
      <w:pPr>
        <w:pStyle w:val="Heading2"/>
        <w:bidi/>
      </w:pPr>
      <w:bookmarkStart w:name="_sec11" w:id="11"/>
      <w:r>
        <w:rPr>
          <w:rFonts w:ascii="Arial" w:cs="Arial" w:eastAsia="Arial" w:hAnsi="Arial"/>
          <w:b/>
          <w:bCs/>
          <w:color w:val="2B5C8A"/>
          <w:sz w:val="26"/>
          <w:szCs w:val="26"/>
          <w:rtl/>
        </w:rPr>
        <w:t xml:space="preserve">8.3 الحذف مقابل عدم تعديل التدقيق</w:t>
      </w:r>
      <w:bookmarkEnd w:id="11"/>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للإضافة فقط،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ممنوعان من التعديل والحذف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(db/static/020_roles_and_grants.sql:65). سلسلة البصمات (BR-PLT-009) تكشف أي تعديل.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التدقيق لا يحمل القيم المقيّدة إلا مقنَّعة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(FR-PLT-023، docs/10-detailed-analysis/10-m0-m1-platform-organization.md:125)، والفاعل يُسجَّل بـ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(db/model/10-platform.model:308).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لا يُحذف صف تدقيق لتنفيذ طلب حذف. يُخفى الشخص في جداول الأعمال (FR-PTY-029)، ويبقى في التدقيق معرّفه والقناع فقط. يُذكر في وصف المعالجة أن سجل التدقيق يُحفظ لمدته للمساءلة. القبول القانوني لهذا قرار (DQ-S07-4).</w:t>
      </w:r>
    </w:p>
    <w:p>
      <w:pPr>
        <w:pStyle w:val="ListParagraph"/>
        <w:numPr>
          <w:ilvl w:val="0"/>
          <w:numId w:val="2"/>
        </w:numPr>
        <w:bidi/>
        <w:spacing w:after="70" w:before="0" w:line="300"/>
      </w:pPr>
      <w:r>
        <w:rPr>
          <w:rFonts w:ascii="Arial" w:cs="Arial" w:eastAsia="Arial" w:hAnsi="Arial"/>
          <w:b/>
          <w:bCs/>
          <w:sz w:val="21"/>
          <w:szCs w:val="21"/>
          <w:rtl/>
        </w:rPr>
        <w:t xml:space="preserve">حد تقني:</w:t>
      </w:r>
      <w:r>
        <w:rPr>
          <w:rFonts w:ascii="Arial" w:cs="Arial" w:eastAsia="Arial" w:hAnsi="Arial"/>
          <w:b w:val="false"/>
          <w:bCs w:val="false"/>
          <w:sz w:val="21"/>
          <w:szCs w:val="21"/>
          <w:rtl/>
        </w:rPr>
        <w:t xml:space="preserve"> التشفير بمفتاح لكل مشترك لا لكل شخص، فلا يمكن «محو» شخص بإتلاف مفتاحه. المحو يتم بحذف الغلاف نفسه.</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‎BeforeJson‎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‎AfterJson‎</w:t>
      </w:r>
      <w:r>
        <w:rPr>
          <w:rFonts w:ascii="Arial" w:cs="Arial" w:eastAsia="Arial" w:hAnsi="Arial"/>
          <w:b w:val="false"/>
          <w:bCs w:val="false"/>
          <w:sz w:val="21"/>
          <w:szCs w:val="21"/>
          <w:rtl/>
        </w:rPr>
        <w:t xml:space="preserve"> قد تحمل اسمًا أو عنوانًا (سرّي لا مقيّد).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تُكتب فيها قيم سرّية لأعمدة Party، بل «تغيّر» فقط، مثل المقيّد (DQ-S07-6).</w:t>
      </w:r>
    </w:p>
    <w:p>
      <w:pPr>
        <w:bidi/>
        <w:spacing w:after="60" w:before="0"/>
      </w:pPr>
    </w:p>
    <w:p>
      <w:pPr>
        <w:pStyle w:val="Heading1"/>
        <w:bidi/>
      </w:pPr>
      <w:bookmarkStart w:name="_sec12" w:id="12"/>
      <w:r>
        <w:rPr>
          <w:rFonts w:ascii="Arial" w:cs="Arial" w:eastAsia="Arial" w:hAnsi="Arial"/>
          <w:b/>
          <w:bCs/>
          <w:color w:val="1F3A5F"/>
          <w:sz w:val="32"/>
          <w:szCs w:val="32"/>
          <w:rtl/>
        </w:rPr>
        <w:t xml:space="preserve">9. المعالجون الفرعيون</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69"/>
        <w:gridCol w:w="2369"/>
        <w:gridCol w:w="2635"/>
        <w:gridCol w:w="2491"/>
      </w:tblGrid>
      <w:tr>
        <w:trPr>
          <w:cantSplit/>
          <w:tblHeader/>
        </w:trPr>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23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 التي تصلها</w:t>
            </w:r>
          </w:p>
        </w:tc>
        <w:tc>
          <w:tcPr>
            <w:tcW w:type="dxa" w:w="2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4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المطلوب </w:t>
            </w:r>
            <w:r>
              <w:rPr>
                <w:rFonts w:ascii="Arial" w:cs="Arial" w:eastAsia="Arial" w:hAnsi="Arial"/>
                <w:color w:val="E0A800"/>
                <w:sz w:val="18"/>
                <w:szCs w:val="18"/>
                <w:rtl/>
              </w:rPr>
              <w:t xml:space="preserve">●</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الاستضافة (VPS)</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 مشفّرًا عند التخزين (TDE، DOC-S02)</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مقرر، والمزوّد غير مسمّى في المصادر</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معالجة، ودولة الخادم، والتزام إخطار بالخرق، وحظر الوصول إلى الأقراص</w:t>
            </w:r>
          </w:p>
        </w:tc>
      </w:tr>
      <w:tr>
        <w:trPr>
          <w:cantSplit/>
        </w:trPr>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المستلم واسمه ورابط الدعوة</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«تهيّئه الاستضافة» </w:t>
            </w:r>
            <w:r>
              <w:rPr>
                <w:rFonts w:ascii="Arial" w:cs="Arial" w:eastAsia="Arial" w:hAnsi="Arial"/>
                <w:color w:val="E0A800"/>
                <w:sz w:val="18"/>
                <w:szCs w:val="18"/>
                <w:rtl/>
              </w:rPr>
              <w:t xml:space="preserve">●</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معالجة، وTLS إلزامي (DOC-S05 §6)</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شخصية؛ مفاتيح فقط</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(DQ-S02-1)</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وشروط الوصول</w:t>
            </w:r>
          </w:p>
        </w:tc>
      </w:tr>
      <w:tr>
        <w:trPr>
          <w:cantSplit/>
        </w:trPr>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للنسخ</w:t>
            </w:r>
          </w:p>
        </w:tc>
        <w:tc>
          <w:tcPr>
            <w:tcW w:type="dxa" w:w="23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مشفّرة</w:t>
            </w:r>
          </w:p>
        </w:tc>
        <w:tc>
          <w:tcPr>
            <w:tcW w:type="dxa" w:w="2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مفتوح (DOC-S09)</w:t>
            </w:r>
          </w:p>
        </w:tc>
        <w:tc>
          <w:tcPr>
            <w:tcW w:type="dxa" w:w="2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والحذف عند انتهاء المدة</w:t>
            </w:r>
          </w:p>
        </w:tc>
      </w:tr>
      <w:tr>
        <w:trPr>
          <w:cantSplit/>
        </w:trPr>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ومزوّد DNS</w:t>
            </w:r>
          </w:p>
        </w:tc>
        <w:tc>
          <w:tcPr>
            <w:tcW w:type="dxa" w:w="23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المشتركين في DNS إن وُجدت سجلات لكل مشترك</w:t>
            </w:r>
          </w:p>
        </w:tc>
        <w:tc>
          <w:tcPr>
            <w:tcW w:type="dxa" w:w="2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w:t>
            </w:r>
          </w:p>
        </w:tc>
        <w:tc>
          <w:tcPr>
            <w:tcW w:type="dxa" w:w="2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لا تكشف الرموز (DOC-S05 §4.3)</w:t>
            </w:r>
          </w:p>
        </w:tc>
      </w:tr>
    </w:tbl>
    <w:p>
      <w:pPr>
        <w:bidi/>
        <w:spacing w:after="120" w:before="0"/>
      </w:pP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تنشر المنصة للمشتركين قائمة المعالجين الفرعيين، وتُبلغهم قبل أي تغيير (DQ-S07-3).</w:t>
      </w:r>
    </w:p>
    <w:p>
      <w:pPr>
        <w:pStyle w:val="Heading1"/>
        <w:bidi/>
      </w:pPr>
      <w:bookmarkStart w:name="_sec13" w:id="13"/>
      <w:r>
        <w:rPr>
          <w:rFonts w:ascii="Arial" w:cs="Arial" w:eastAsia="Arial" w:hAnsi="Arial"/>
          <w:b/>
          <w:bCs/>
          <w:color w:val="1F3A5F"/>
          <w:sz w:val="32"/>
          <w:szCs w:val="32"/>
          <w:rtl/>
        </w:rPr>
        <w:t xml:space="preserve">10. تقييم المخاطر</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6"/>
        <w:gridCol w:w="966"/>
        <w:gridCol w:w="5500"/>
        <w:gridCol w:w="966"/>
        <w:gridCol w:w="1466"/>
      </w:tblGrid>
      <w:tr>
        <w:trPr>
          <w:cantSplit/>
          <w:tblHeader/>
        </w:trPr>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5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اليوم</w:t>
            </w:r>
          </w:p>
        </w:tc>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c>
          <w:tcPr>
            <w:tcW w:type="dxa" w:w="1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المتبقي</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 تسريب بين المشتركين</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بيانات مشترك آخر</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وربط الجلسة و41 حالة عزل (T1 إلى T38 مع T8b وT16b وT16c، db/tests/tenant_isolation_tests.sql) يشغّلها tools/ci/db_ci.sh في حاوية التطوير وعلى GitHub منذ 2026-10-12 (O-02 (erd_open_items))</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IDOR على كل نقطة API (DOC-S13)</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 O-20 وO-21 (erd_open_items) مفتوحان</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R-P2 نسخ مقيّدة غير محمية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صريح في المقارنات، ونص البنود الحرفي</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وDR-31 (DOC-S06 §7.1)</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حتى التطبيق</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R-P3 سجلات الأمن بلا مدة</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IP وبريد مكتوب خطأ يتراكم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القسم 4، ومهمة إتلاف بموافقة</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R-P4 النسخ تحمل المحذوف</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متلفة باقية في النسخ</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DOC-S09 وإعادة تنفيذ الإتلاف بعد الاستعادة</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R-P5 وصول المشغّل</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 يرى بيانات المشترك في جلسة دعم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مؤقت بيد مدير الحساب، ولا كشف للمقيّد (FR-PLT-007، docs/10-detailed-analysis/10-m0-m1-platform-organization.md:109؛ BR-PLT-017، docs/10-detailed-analysis/10-m0-m1-platform-organization.md:243)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جلسة الدعم يراه مدير الحساب </w:t>
            </w:r>
            <w:r>
              <w:rPr>
                <w:rFonts w:ascii="Arial" w:cs="Arial" w:eastAsia="Arial" w:hAnsi="Arial"/>
                <w:color w:val="2E9E44"/>
                <w:sz w:val="18"/>
                <w:szCs w:val="18"/>
                <w:rtl/>
              </w:rPr>
              <w:t xml:space="preserve">●</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R-P6 مخالفة الإقامة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أو نسخ في دولة غير مقبولة</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قرار</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وDQ-S07-2</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 حتى القرار</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R-P7 تسرّب عبر البريد</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أو بيانات في بريد غير مشفّر</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لمرة واحدة ومجزّأ، ولا مقيّد في البريد (FR-PLT-013)</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§6</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R-P8 فقد المفتاح الرئيسي</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 الأعمدة المشفّرة والملفات</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بعد</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المزدوج (DOC-S02 §9)</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حتى التطبيق</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R-P9 حزم التصدير</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مقيّدة تخرج من المنصة</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حامل الكشف، وحزمة مختومة (BR-PLT-016)</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 مستوى الحزمة مقيّد</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R-P10 فئات خاصة</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PEP والعقوبات والإعاقة</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لدور التقارير على </w:t>
            </w: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(db/generated/tsql/006_sensitive_columns.sql:20-25)</w:t>
            </w:r>
          </w:p>
        </w:tc>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w:t>
            </w:r>
            <w:r>
              <w:rPr>
                <w:rFonts w:ascii="Courier New" w:cs="Courier New" w:eastAsia="Courier New" w:hAnsi="Courier New"/>
                <w:b w:val="false"/>
                <w:bCs w:val="false"/>
                <w:color w:val="1F2937"/>
                <w:sz w:val="16"/>
                <w:szCs w:val="16"/>
                <w:shd w:fill="F1F3F5" w:color="auto" w:val="clear"/>
                <w:rtl/>
              </w:rPr>
              <w:t xml:space="preserve">‎Details‎</w:t>
            </w:r>
            <w:r>
              <w:rPr>
                <w:rFonts w:ascii="Arial" w:cs="Arial" w:eastAsia="Arial" w:hAnsi="Arial"/>
                <w:b w:val="false"/>
                <w:bCs w:val="false"/>
                <w:sz w:val="18"/>
                <w:szCs w:val="18"/>
                <w:rtl/>
              </w:rPr>
              <w:t xml:space="preserve">، ولا جمع للإعاقة دون رأي قانوني</w:t>
            </w:r>
          </w:p>
        </w:tc>
        <w:tc>
          <w:tcPr>
            <w:tcW w:type="dxa" w:w="1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R-P11 الشذوذ في الكشف</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يكشف أرقامًا كثيرة</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بعد 20 كشفًا في الساعة (BR-PTY-009، docs/10-detailed-analysis/10-m0-m1-platform-organization.md:280)</w:t>
            </w:r>
          </w:p>
        </w:tc>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w:t>
            </w:r>
          </w:p>
        </w:tc>
        <w:tc>
          <w:tcPr>
            <w:tcW w:type="dxa" w:w="1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11. إخطار الخرق</w:t>
      </w:r>
      <w:bookmarkEnd w:id="14"/>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الكامل في DOC-S15 (P2، لم يُكتب بعد؛ docs/30-readiness-documents.md:325-330). هذه الوثيقة تحدد ما يلزمه منها.</w:t>
      </w:r>
    </w:p>
    <w:p>
      <w:pPr>
        <w:pStyle w:val="ListParagraph"/>
        <w:numPr>
          <w:ilvl w:val="0"/>
          <w:numId w:val="2"/>
        </w:numPr>
        <w:bidi/>
        <w:spacing w:after="70" w:before="0" w:line="300"/>
      </w:pPr>
      <w:r>
        <w:rPr>
          <w:rFonts w:ascii="Arial" w:cs="Arial" w:eastAsia="Arial" w:hAnsi="Arial"/>
          <w:b/>
          <w:bCs/>
          <w:sz w:val="21"/>
          <w:szCs w:val="21"/>
          <w:rtl/>
        </w:rPr>
        <w:t xml:space="preserve">مصادر الكشف الموجودة: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‎UNWRAP_FAILED‎</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(db/model/10-platform.model:293)، وشذوذ الكشف (BR-PTY-009)، وفشل سلامة الملفات </w:t>
      </w:r>
      <w:r>
        <w:rPr>
          <w:rFonts w:ascii="Courier New" w:cs="Courier New" w:eastAsia="Courier New" w:hAnsi="Courier New"/>
          <w:b w:val="false"/>
          <w:bCs w:val="false"/>
          <w:color w:val="1F2937"/>
          <w:sz w:val="18"/>
          <w:szCs w:val="18"/>
          <w:shd w:fill="F1F3F5" w:color="auto" w:val="clear"/>
          <w:rtl/>
        </w:rPr>
        <w:t xml:space="preserve">‎MISMATCH‎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‎MISSING‎</w:t>
      </w:r>
      <w:r>
        <w:rPr>
          <w:rFonts w:ascii="Arial" w:cs="Arial" w:eastAsia="Arial" w:hAnsi="Arial"/>
          <w:b w:val="false"/>
          <w:bCs w:val="false"/>
          <w:sz w:val="21"/>
          <w:szCs w:val="21"/>
          <w:rtl/>
        </w:rPr>
        <w:t xml:space="preserve"> (db/model/10-platform.model:399)، وفشل اختبارات العزل.</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تُبلغ المنصة المشترك المتأثر بعد تأكيد الحادث بلا تأخير، وبهدف داخلي 24 ساعة. المهلة النظامية للإبلاغ إلى الجهة المختصة وأصحاب البيانات يحددها المستشار لكل دولة، والمشترك هو المبلِّغ بصفته مسؤول البيانات.</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محتوى الإبلاغ للمشترك: وصف الحادث، والفئات P-n المتأثرة، وعدد السجلات تقريبًا، والإجراءات المتخذة، ونقطة اتصال.</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يسجّل نقطة اتصال للخصوصية عند التهيئة (DQ-S07-7).</w:t>
      </w:r>
    </w:p>
    <w:p>
      <w:pPr>
        <w:bidi/>
        <w:spacing w:after="60" w:before="0"/>
      </w:pPr>
    </w:p>
    <w:p>
      <w:pPr>
        <w:pStyle w:val="Heading1"/>
        <w:bidi/>
      </w:pPr>
      <w:bookmarkStart w:name="_sec15" w:id="15"/>
      <w:r>
        <w:rPr>
          <w:rFonts w:ascii="Arial" w:cs="Arial" w:eastAsia="Arial" w:hAnsi="Arial"/>
          <w:b/>
          <w:bCs/>
          <w:color w:val="1F3A5F"/>
          <w:sz w:val="32"/>
          <w:szCs w:val="32"/>
          <w:rtl/>
        </w:rPr>
        <w:t xml:space="preserve">12. القرارات المطلوبة</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1778"/>
        <w:gridCol w:w="2102"/>
        <w:gridCol w:w="1293"/>
        <w:gridCol w:w="3236"/>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2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تُختار بعد رأي قانوني لكل دولة مستهدفة</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 القانوني</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الدولة نفسها أو دولة يقبلها الرأي القانوني</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الافتراض في القسم 2، وملحق معالجة في عقد الاشتراك</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DQ-S07-4</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بقاء التدقيق المقنَّع بعد طلب حذف</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للمساءلة، ويُذكر في وصف المعالجة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في S1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DQ-S07-6</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القيم السرّية في </w:t>
            </w:r>
            <w:r>
              <w:rPr>
                <w:rFonts w:ascii="Courier New" w:cs="Courier New" w:eastAsia="Courier New" w:hAnsi="Courier New"/>
                <w:b w:val="false"/>
                <w:bCs w:val="false"/>
                <w:color w:val="1F2937"/>
                <w:sz w:val="16"/>
                <w:szCs w:val="16"/>
                <w:shd w:fill="F1F3F5" w:color="auto" w:val="clear"/>
                <w:rtl/>
              </w:rPr>
              <w:t xml:space="preserve">‎BeforeJson‎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‎AfterJson‎</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فقط لأعمدة Party السرّية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حقل إلزامي عند التهيئة</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عمود الاحتفاظ في القسم 4</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مع المالك</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متطلب جديد في S1 أو S2</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DQ-S07-10</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الأساس النظامي لكل غرض</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 القانوني</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(الجزء القانوني)</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 وحماية البيانات الشخصية</w:t>
            </w:r>
          </w:p>
        </w:tc>
        <w:tc>
          <w:tcPr>
            <w:tcW w:type="dxa" w:w="2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المدد النظامية</w:t>
            </w:r>
          </w:p>
        </w:tc>
        <w:tc>
          <w:tcPr>
            <w:tcW w:type="dxa" w:w="2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10 / 5 سنوات حتى الرأي القانوني</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المستشار</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13. تعارضات وفجوات في المصادر</w:t>
      </w:r>
      <w:bookmarkEnd w:id="16"/>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docs/10-detailed-analysis/00-overview-and-cross-cutting.md:301 ما زال يقترح لـ Q-PLT-03 «منطقة داخل دولة المشترك»، والوثيقة نفسها تسجّل القرار «VPS خاص لدى مزوّد استضافة» (docs/10-detailed-analysis/00-overview-and-cross-cutting.md:319). وdocs/10-detailed-analysis/00-overview-and-cross-cutting.md:303 ما زال يقترح «عربية كاملة» لـ Q-PLT-05 خلافًا للقرار في docs/10-detailed-analysis/00-overview-and-cross-cutting.md:320.</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‎plat.Tenant.DataRegion‎</w:t>
      </w:r>
      <w:r>
        <w:rPr>
          <w:rFonts w:ascii="Arial" w:cs="Arial" w:eastAsia="Arial" w:hAnsi="Arial"/>
          <w:b w:val="false"/>
          <w:bCs w:val="false"/>
          <w:sz w:val="21"/>
          <w:szCs w:val="21"/>
          <w:rtl/>
        </w:rPr>
        <w:t xml:space="preserve"> (db/model/10-platform.model:42) يوحي بإقامة لكل مشترك، والقاعدة واحدة لكل المشتركين (docs/20-database-design.md:61).</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docs/10-detailed-analysis/10-m0-m1-platform-organization.md:588 ينسب «استخراج كل بيانات شخص عند الطلب» إلى FR-PTY-028، لكن FR-PTY-028 نظرة شاملة ضمن نطاق المستخدم (docs/10-detailed-analysis/10-m0-m1-platform-organization.md:218) لا تصدير.</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يخزّن البريد المكتوب لمستخدم غير موجود (db/static/030_session_context.sql:124-126) بلا مدة احتفاظ، وقد يكون بريد شخص لا علاقة له بالمنصة.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مرحّل البريد «تهيّئه الاستضافة» (docs/10-detailed-analysis/10-m0-m1-platform-organization.md:115) دون ذكر أنه معالج فرعي يلزمه عقد.</w:t>
      </w:r>
    </w:p>
    <w:p>
      <w:pPr>
        <w:pStyle w:val="ListParagraph"/>
        <w:numPr>
          <w:ilvl w:val="0"/>
          <w:numId w:val="2"/>
        </w:numPr>
        <w:bidi/>
        <w:spacing w:after="70" w:before="0" w:line="300"/>
      </w:pPr>
      <w:r>
        <w:rPr>
          <w:rFonts w:ascii="Arial" w:cs="Arial" w:eastAsia="Arial" w:hAnsi="Arial"/>
          <w:b w:val="false"/>
          <w:bCs w:val="false"/>
          <w:sz w:val="21"/>
          <w:szCs w:val="21"/>
          <w:rtl/>
        </w:rPr>
        <w:t xml:space="preserve">صف الخصوصية يحيل الإقامة إلى Q-PLT-03 (docs/10-detailed-analysis/10-m0-m1-platform-organization.md:588)، وQ-PLT-03 يحيلها إلى المراجعة القانونية (docs/10-detailed-analysis/10-m0-m1-platform-organization.md:615)؛ لا وثيقة تحدد دولة الخادم.</w:t>
      </w:r>
    </w:p>
    <w:p>
      <w:pPr>
        <w:bidi/>
        <w:spacing w:after="60" w:before="0"/>
      </w:pPr>
    </w:p>
    <w:p>
      <w:pPr>
        <w:pStyle w:val="Heading1"/>
        <w:bidi/>
      </w:pPr>
      <w:bookmarkStart w:name="_sec17" w:id="17"/>
      <w:r>
        <w:rPr>
          <w:rFonts w:ascii="Arial" w:cs="Arial" w:eastAsia="Arial" w:hAnsi="Arial"/>
          <w:b/>
          <w:bCs/>
          <w:color w:val="1F3A5F"/>
          <w:sz w:val="32"/>
          <w:szCs w:val="32"/>
          <w:rtl/>
        </w:rPr>
        <w:t xml:space="preserve">14. التتبع</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2</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الخصوصية، X-AUD-4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 docs/10-detailed-analysis/00-overview-and-cross-cutting.md:150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DOC-S06</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db/model/11-organization-party.model</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 G-12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docs/10-detailed-analysis/10-m0-m1-platform-organization.md:290؛ docs/05-kyc-forms-analysis.md:73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01 س-4، T-1، FR-PLT-047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docs/10-detailed-analysis/10-m0-m1-platform-organization.md:615 و149؛ docs/01-preliminary-analysis.md:125؛ docs/20-database-design.md:61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Q-PLT-04، FR-PLT-040، BR-PLT-002، X-AUD-3، O-6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docs/10-detailed-analysis/10-m0-m1-platform-organization.md:242 و616 و142 و228؛ docs/10-detailed-analysis/00-overview-and-cross-cutting.md:149؛ docs/20-database-design.md:534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FR-PTY-029، BR-PTY-006، FR-PLT-039، FR-PLT-023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docs/10-detailed-analysis/10-m0-m1-platform-organization.md:218 و219 و277 و141 و125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Q-NTF-01</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docs/10-detailed-analysis/10-m0-m1-platform-organization.md:115؛ docs/10-detailed-analysis/13-m6-workflow-engine-notifications.md:737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وR5</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 BR-PTY-009</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docs/30-readiness-documents.md:325-330؛ docs/10-detailed-analysis/10-m0-m1-platform-organization.md:280</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DOC-S07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866faa485897001b587ebfeb523997392b29fa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DOC-S07 — تقييم أثر الخصوصية وحماية البيانات الشخصية</dc:title>
  <dc:creator>Claude</dc:creator>
  <dc:description>BankFas database design document</dc:description>
  <cp:lastModifiedBy>Un-named</cp:lastModifiedBy>
  <cp:revision>1</cp:revision>
  <dcterms:created xsi:type="dcterms:W3CDTF">2026-10-20T22:18:05.163Z</dcterms:created>
  <dcterms:modified xsi:type="dcterms:W3CDTF">2026-10-20T22:18:05.163Z</dcterms:modified>
</cp:coreProperties>
</file>

<file path=docProps/custom.xml><?xml version="1.0" encoding="utf-8"?>
<Properties xmlns="http://schemas.openxmlformats.org/officeDocument/2006/custom-properties" xmlns:vt="http://schemas.openxmlformats.org/officeDocument/2006/docPropsVTypes"/>
</file>