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line="300"/>
        <w:jc w:val="right"/>
      </w:pPr>
      <w:r>
        <w:rPr>
          <w:rFonts w:ascii="Arial" w:cs="Arial" w:eastAsia="Arial" w:hAnsi="Arial"/>
          <w:b/>
          <w:bCs/>
          <w:color w:val="0A5BD3"/>
          <w:sz w:val="44"/>
          <w:szCs w:val="44"/>
          <w:rtl/>
        </w:rPr>
        <w:t xml:space="preserve">مســلك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0B1F3F"/>
          <w:sz w:val="36"/>
          <w:szCs w:val="36"/>
          <w:rtl/>
        </w:rPr>
        <w:t xml:space="preserve">خطة التحميل الأولي للبيانات</w:t>
      </w:r>
    </w:p>
    <w:p>
      <w:pPr>
        <w:bidi/>
        <w:spacing w:after="300" w:line="300"/>
        <w:jc w:val="right"/>
      </w:pPr>
      <w:r>
        <w:rPr>
          <w:rFonts w:ascii="Arial" w:cs="Arial" w:eastAsia="Arial" w:hAnsi="Arial"/>
          <w:color w:val="4B5565"/>
          <w:sz w:val="22"/>
          <w:szCs w:val="22"/>
          <w:rtl/>
        </w:rPr>
        <w:t xml:space="preserve">إدخال البيانات المرجعية والناقلين والأسطول والشبكة قبل التشغيل التجريبي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الإصدار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0.2 (مسودة للمراجعة والاعتماد)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التاريخ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13 تشرين الأول 2026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في سجل الوثائق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البند و5</w:t>
            </w:r>
          </w:p>
        </w:tc>
      </w:tr>
    </w:tbl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1. المبدأ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لا ترحيل من نظام سابق: المنصة تبدأ بقاعدة جديدة. التحميل الأولي هو إدخال البيانات المرجعية وبيانات المشاركين الأوائل، كلٌّ من مصدره الرسمي، عبر مسارات النظام نفسها، فتمر كل سجلة بقواعد القاعدة وتحققها كما في التشغيل.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color w:val="0F1B2D"/>
          <w:sz w:val="21"/>
          <w:szCs w:val="21"/>
          <w:rtl/>
        </w:rPr>
        <w:t xml:space="preserve">لا إدخال مباشر في القاعدة: </w:t>
      </w: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لا تجاوز لقواعد القاعدة ولا للعزل؛ ويُسجَّل كل إدخال في سجل النشاط.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color w:val="0F1B2D"/>
          <w:sz w:val="21"/>
          <w:szCs w:val="21"/>
          <w:rtl/>
        </w:rPr>
        <w:t xml:space="preserve">أداة التحميل الجماعي مبنية: </w:t>
      </w: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backend/app/tools/bulk_import.py تقرأ ملف CSV وترسل كل سطر إلى مسارات الخادم نفسها، فتسري كل القواعد والصلاحيات وسجل النشاط. تجربة دون إدخال (--dry-run)، وتقرير لكل سطر، وإعادة الملف نفسه لا تكرر ما أُدخل. الدليل في docs/operations/INITIAL_DATA_LOAD.md.</w:t>
      </w:r>
    </w:p>
    <w:p>
      <w:r>
        <w:br w:type="page"/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2. ترتيب التحميل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638"/>
        <w:gridCol w:w="1446"/>
        <w:gridCol w:w="2506"/>
        <w:gridCol w:w="1928"/>
        <w:gridCol w:w="1446"/>
      </w:tblGrid>
      <w:tr>
        <w:trPr>
          <w:tblHeader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الترتيب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البيانات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طريقة الإدخال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التحقق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المسؤول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1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الأسواق والعملات والمدن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قرار المالك، والمصادر الرسمية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شاشات البيانات المرجعية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عملة السوق لا تتغير بعد فتحه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المنصة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2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المحطات وكاونتراتها وبواباتها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الجهات المشغّلة للمحطات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/api/admin/stations، وترقيم المنصة للكاونترات والبوابات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الموقع ضمن المدينة؛ الأرقام لا تتكرر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المنصة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3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خيارات الدفع والرسوم وحدود النقد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قرار المالك وعقود المزودين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/api/admin/payment-methods، fee-rules، cash/limits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خيار مفتوح واحد على الأقل؛ لا خيار بمزود دون مزود نشط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المالية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4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الناقلون التجريبيون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الناقلون، ووثائقهم الرسمية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التسجيل ورفع الوثائق، ثم مراجعة المنصة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الوثائق مفحوصة ومعتمدة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الناقل، والمنصة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5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المراجع والتراخيص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 والجهات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/api/carrier/references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رقم نشط واحد لكل نوع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6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الأسطول ومخططات المقاعد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سجلات الناقل والترخيص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أداة التحميل (vehicles)، أو /api/carrier/vehicles، seat-layouts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تأمين ساري لكل مركبة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7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السائقون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أداة التحميل (drivers)، أو /api/carrier/crew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سائق نشط لكل رحلة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8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المسارات والأسعار وفئات العمر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 ضمن التعرفة المعتمدة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أداة التحميل (routes)، أو /api/carrier/routes، شاشات التسعير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الأسعار ضمن التعرفة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9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قوالب الرحلات والرحلات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جداول الناقل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أداة التحميل (trips)، أو trip-templates/{id}/generate، ثم النشر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مركبة وسائق؛ لا تعارض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الناقل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10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الوكالات وحصصها وعمولاتها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عقود الوكالات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/api/admin/agencies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رصيد الوكالة والحد اليومي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المنصة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11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وجهات البيانات وقواعد وثائق السفر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الجهات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شاشات بيانات الركاب، /api/w/travel-rules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الاستثناء بموظفَين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الامتثال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12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شركات تشغيل المحطات ومنحها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التكليف أو التعاقد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/api/admin/boarding/operating-companies، ثم المنح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تُمنح الصلاحية حين تُفتح المحطة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المنصة، والناقل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13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المخططات الضريبية وقواعدها وشرائحها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الهيئة الضريبية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الشاشات العامة، ويعتمدها المالي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لا مخطط يُطبَّق قبل اعتماده؛ لا حلقة بين الضرائب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المالية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14</w:t>
            </w:r>
          </w:p>
        </w:tc>
        <w:tc>
          <w:tcPr>
            <w:tcW w:type="dxa" w:w="16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شركاء الولاء واتفاقياتهم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عقود الشركاء</w:t>
            </w:r>
          </w:p>
        </w:tc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الشاشات العامة: الشريك، ثم الاتفاقية تفعّلها المالية بشخص آخر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اتفاقية سارية واحدة لكل شريك وعملة</w:t>
            </w:r>
          </w:p>
        </w:tc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المالية</w:t>
            </w:r>
          </w:p>
        </w:tc>
      </w:tr>
    </w:tbl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3. التحقق بعد التحميل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تقرير لكل نوع بيانات: العدد المدخل مقابل العدد في المصدر، والمرفوض وسببه.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مطابقة المحافظ مع الدفتر بعد أي رصيد افتتاحي، وصفر فرق.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حجز تجريبي كامل على كل ناقل قبل فتح البيع، ثم إلغاؤه.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توقيع الناقل التجريبي على صحة بياناته.</w:t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4. ما يُستكمل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قائمة المحطات والمدن الأولى، والناقلين التجريبيين، ومصدر كل منها.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ملفات CSV الأولى لكل ناقل على قوالب الأداة (--template)، وتجربتها دون إدخال قبل التحميل.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جدول زمني للتحميل يسبق التشغيل التجريبي بوقت كافٍ للمراجعة.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5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4B55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 w:line="300"/>
      <w:jc w:val="right"/>
    </w:pPr>
    <w:r>
      <w:rPr>
        <w:rFonts w:ascii="Arial" w:cs="Arial" w:eastAsia="Arial" w:hAnsi="Arial"/>
        <w:color w:val="4B5565"/>
        <w:sz w:val="16"/>
        <w:szCs w:val="16"/>
        <w:rtl/>
      </w:rPr>
      <w:t xml:space="preserve">مسلك · خطة التحميل الأولي للبيانات · 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مسلك · خطة التحميل الأولي للبيانات · 0.2</dc:title>
  <dc:creator>Masslak</dc:creator>
  <cp:lastModifiedBy>Un-named</cp:lastModifiedBy>
  <cp:revision>1</cp:revision>
  <dcterms:created xsi:type="dcterms:W3CDTF">2026-10-13T11:18:56.753Z</dcterms:created>
  <dcterms:modified xsi:type="dcterms:W3CDTF">2026-10-13T11:18:56.753Z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