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line="300"/>
        <w:jc w:val="right"/>
      </w:pPr>
      <w:r>
        <w:rPr>
          <w:rFonts w:ascii="Arial" w:cs="Arial" w:eastAsia="Arial" w:hAnsi="Arial"/>
          <w:b/>
          <w:bCs/>
          <w:color w:val="0A5BD3"/>
          <w:sz w:val="44"/>
          <w:szCs w:val="44"/>
          <w:rtl/>
        </w:rPr>
        <w:t xml:space="preserve">مســلك</w:t>
      </w:r>
    </w:p>
    <w:p>
      <w:pPr>
        <w:bidi/>
        <w:spacing w:after="120" w:line="300"/>
        <w:jc w:val="right"/>
      </w:pPr>
      <w:r>
        <w:rPr>
          <w:rFonts w:ascii="Arial" w:cs="Arial" w:eastAsia="Arial" w:hAnsi="Arial"/>
          <w:b/>
          <w:bCs/>
          <w:color w:val="0B1F3F"/>
          <w:sz w:val="36"/>
          <w:szCs w:val="36"/>
          <w:rtl/>
        </w:rPr>
        <w:t xml:space="preserve">مصفوفة المسؤوليات (RACI)</w:t>
      </w:r>
    </w:p>
    <w:p>
      <w:pPr>
        <w:bidi/>
        <w:spacing w:after="300" w:line="300"/>
        <w:jc w:val="right"/>
      </w:pPr>
      <w:r>
        <w:rPr>
          <w:rFonts w:ascii="Arial" w:cs="Arial" w:eastAsia="Arial" w:hAnsi="Arial"/>
          <w:color w:val="4B5565"/>
          <w:sz w:val="22"/>
          <w:szCs w:val="22"/>
          <w:rtl/>
        </w:rPr>
        <w:t xml:space="preserve">من ينفذ ومن يقرر ومن يُستشار ومن يُبلَّغ، في التنفيذ والإطلاق والتشغيل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القيمة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الإصدار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0.2 (مسودة للمراجعة والاعتماد؛ مقترح يُستكمل بأسماء الأشخاص)</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التاريخ</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13 تشرين الأول 2026</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في سجل الوثائق</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البند و2</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 الرموز والأدوار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tblHeader/>
        </w:trPr>
        <w:tc>
          <w:tcPr>
            <w:tcW w:type="dxa" w:w="144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الرمز</w:t>
            </w:r>
          </w:p>
        </w:tc>
        <w:tc>
          <w:tcPr>
            <w:tcW w:type="dxa" w:w="8192"/>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المعنى</w:t>
            </w:r>
          </w:p>
        </w:tc>
      </w:tr>
      <w:tr>
        <w:trPr>
          <w:cantSplit/>
        </w:trPr>
        <w:tc>
          <w:tcPr>
            <w:tcW w:type="dxa" w:w="144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R</w:t>
            </w:r>
          </w:p>
        </w:tc>
        <w:tc>
          <w:tcPr>
            <w:tcW w:type="dxa" w:w="819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ينفذ العمل</w:t>
            </w:r>
          </w:p>
        </w:tc>
      </w:tr>
      <w:tr>
        <w:trPr>
          <w:cantSplit/>
        </w:trPr>
        <w:tc>
          <w:tcPr>
            <w:tcW w:type="dxa" w:w="144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A</w:t>
            </w:r>
          </w:p>
        </w:tc>
        <w:tc>
          <w:tcPr>
            <w:tcW w:type="dxa" w:w="819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يقرر ويعتمد ويُسأل عن النتيجة (واحد لكل نشاط)</w:t>
            </w:r>
          </w:p>
        </w:tc>
      </w:tr>
      <w:tr>
        <w:trPr>
          <w:cantSplit/>
        </w:trPr>
        <w:tc>
          <w:tcPr>
            <w:tcW w:type="dxa" w:w="144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R/A</w:t>
            </w:r>
          </w:p>
        </w:tc>
        <w:tc>
          <w:tcPr>
            <w:tcW w:type="dxa" w:w="819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ينفذ ويُسأل معاً</w:t>
            </w:r>
          </w:p>
        </w:tc>
      </w:tr>
      <w:tr>
        <w:trPr>
          <w:cantSplit/>
        </w:trPr>
        <w:tc>
          <w:tcPr>
            <w:tcW w:type="dxa" w:w="144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C</w:t>
            </w:r>
          </w:p>
        </w:tc>
        <w:tc>
          <w:tcPr>
            <w:tcW w:type="dxa" w:w="819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يُستشار قبل القرار</w:t>
            </w:r>
          </w:p>
        </w:tc>
      </w:tr>
      <w:tr>
        <w:trPr>
          <w:cantSplit/>
        </w:trPr>
        <w:tc>
          <w:tcPr>
            <w:tcW w:type="dxa" w:w="144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I</w:t>
            </w:r>
          </w:p>
        </w:tc>
        <w:tc>
          <w:tcPr>
            <w:tcW w:type="dxa" w:w="819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يُبلَّغ بالنتيجة</w:t>
            </w:r>
          </w:p>
        </w:tc>
      </w:tr>
    </w:tbl>
    <w:p>
      <w:pPr>
        <w:bidi/>
        <w:spacing w:after="120" w:line="300"/>
        <w:jc w:val="right"/>
      </w:pPr>
      <w:r>
        <w:rPr>
          <w:rFonts w:ascii="Arial" w:cs="Arial" w:eastAsia="Arial" w:hAnsi="Arial"/>
          <w:color w:val="0F1B2D"/>
          <w:sz w:val="21"/>
          <w:szCs w:val="21"/>
          <w:rtl/>
        </w:rPr>
        <w:t xml:space="preserve">الأدوار: المالك (مالك المنصة)، المشروع (مدير المشروع لدى المالك)، الجهة (الجهة المختصة بالأنظمة)، التطوير (فريق التطوير)، العمليات (فريق العمليات والمناوبة)، الأمن (مسؤول الأمن)، الخصوصية (مسؤول حماية البيانات)، المالية (مالية المنصة)، الناقل (الناقل التجريبي).</w:t>
      </w:r>
    </w:p>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2. المصفوفة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771"/>
        <w:gridCol w:w="771"/>
        <w:gridCol w:w="771"/>
        <w:gridCol w:w="771"/>
        <w:gridCol w:w="771"/>
        <w:gridCol w:w="771"/>
        <w:gridCol w:w="771"/>
        <w:gridCol w:w="771"/>
        <w:gridCol w:w="771"/>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النشاط</w:t>
            </w:r>
          </w:p>
        </w:tc>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المالك</w:t>
            </w:r>
          </w:p>
        </w:tc>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المشروع</w:t>
            </w:r>
          </w:p>
        </w:tc>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الجهة</w:t>
            </w:r>
          </w:p>
        </w:tc>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التطوير</w:t>
            </w:r>
          </w:p>
        </w:tc>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العمليات</w:t>
            </w:r>
          </w:p>
        </w:tc>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الأمن</w:t>
            </w:r>
          </w:p>
        </w:tc>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الخصوصية</w:t>
            </w:r>
          </w:p>
        </w:tc>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المالية</w:t>
            </w:r>
          </w:p>
        </w:tc>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الناقل</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اعتماد المتطلبات وأولوياتها</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تحديث الدراسة ووثائق التصميم</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البناء والاختبارات الآلية</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مراجعة الكود والتصميم المستقلة</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اختبارات القبول</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اختبار الاختراق وإعادته</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بوابات الاستعادة والتحويل والسعة (1، 3)</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بوابة المراقبة والمناوبة (5)</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R/A</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قرار الإطلاق</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الإصدارات وترحيل القاعدة</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التشغيل اليومي والمراقبة</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R/A</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النسخ الاحتياطي وتمارين الاستعادة</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الحوادث الأمنية</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طلبات أصحاب البيانات وحوادث الخصوصية</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فتح الوحدات والميزات الحساسة</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تسجيل الناقلين ومراجعة وثائقهم</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التسويات والسحوبات والتوريد</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R/A</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التعاقد مع مزودي الدفع والرسائل والهوية</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التحميل الأولي للبيانات</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التدريب</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دعم العملاء ومعالجة الشكاوى</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R/A</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فتح محطة وشاشاتها ومنح شركات التشغيل</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المخططات الضريبية واعتمادها</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اتفاقيات شركاء الولاء وتسوية كشوفهم</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تفعيل غرامة إلغاء الرحلة بقرار الجهة الناظمة</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bl>
    <w:p>
      <w:pPr>
        <w:bidi/>
        <w:spacing w:after="120" w:line="300"/>
        <w:jc w:val="right"/>
      </w:pPr>
      <w:r>
        <w:rPr>
          <w:rFonts w:ascii="Arial" w:cs="Arial" w:eastAsia="Arial" w:hAnsi="Arial"/>
          <w:color w:val="0F1B2D"/>
          <w:sz w:val="21"/>
          <w:szCs w:val="21"/>
          <w:rtl/>
        </w:rPr>
        <w:t xml:space="preserve">A في قرار التسويات والسحوبات هو المالية، مع فصل المهام الذي يفرضه النظام (طالب ومعتمد ومنفّذ مختلفون).</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3. ما يُستكمل</w:t>
      </w:r>
    </w:p>
    <w:p>
      <w:pPr>
        <w:pStyle w:val="ListParagraph"/>
        <w:numPr>
          <w:ilvl w:val="0"/>
          <w:numId w:val="2"/>
        </w:numPr>
        <w:bidi/>
        <w:spacing w:after="80" w:line="290"/>
        <w:jc w:val="right"/>
      </w:pPr>
      <w:r>
        <w:rPr>
          <w:rFonts w:ascii="Arial" w:cs="Arial" w:eastAsia="Arial" w:hAnsi="Arial"/>
          <w:color w:val="0F1B2D"/>
          <w:sz w:val="21"/>
          <w:szCs w:val="21"/>
          <w:rtl/>
        </w:rPr>
        <w:t xml:space="preserve">أسماء الأشخاص لكل دور، ونوابهم.</w:t>
      </w:r>
    </w:p>
    <w:p>
      <w:pPr>
        <w:pStyle w:val="ListParagraph"/>
        <w:numPr>
          <w:ilvl w:val="0"/>
          <w:numId w:val="2"/>
        </w:numPr>
        <w:bidi/>
        <w:spacing w:after="80" w:line="290"/>
        <w:jc w:val="right"/>
      </w:pPr>
      <w:r>
        <w:rPr>
          <w:rFonts w:ascii="Arial" w:cs="Arial" w:eastAsia="Arial" w:hAnsi="Arial"/>
          <w:color w:val="0F1B2D"/>
          <w:sz w:val="21"/>
          <w:szCs w:val="21"/>
          <w:rtl/>
        </w:rPr>
        <w:t xml:space="preserve">جدول المناوبة، ومسار التصعيد في الحوادث.</w:t>
      </w:r>
    </w:p>
    <w:p>
      <w:pPr>
        <w:pStyle w:val="ListParagraph"/>
        <w:numPr>
          <w:ilvl w:val="0"/>
          <w:numId w:val="2"/>
        </w:numPr>
        <w:bidi/>
        <w:spacing w:after="80" w:line="290"/>
        <w:jc w:val="right"/>
      </w:pPr>
      <w:r>
        <w:rPr>
          <w:rFonts w:ascii="Arial" w:cs="Arial" w:eastAsia="Arial" w:hAnsi="Arial"/>
          <w:color w:val="0F1B2D"/>
          <w:sz w:val="21"/>
          <w:szCs w:val="21"/>
          <w:rtl/>
        </w:rPr>
        <w:t xml:space="preserve">مراجعة المصفوفة بعد تعيين الجهة المختصة وشركة التشغيل الأولى.</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5"/>
        <w:sz w:val="16"/>
        <w:szCs w:val="16"/>
        <w:rtl/>
      </w:rPr>
      <w:t xml:space="preserve">صفحة </w:t>
    </w:r>
    <w:r>
      <w:rPr>
        <w:rFonts w:ascii="Arial" w:cs="Arial" w:eastAsia="Arial" w:hAnsi="Arial"/>
        <w:color w:val="4B5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00"/>
      <w:jc w:val="right"/>
    </w:pPr>
    <w:r>
      <w:rPr>
        <w:rFonts w:ascii="Arial" w:cs="Arial" w:eastAsia="Arial" w:hAnsi="Arial"/>
        <w:color w:val="4B5565"/>
        <w:sz w:val="16"/>
        <w:szCs w:val="16"/>
        <w:rtl/>
      </w:rPr>
      <w:t xml:space="preserve">مسلك · مصفوفة المسؤوليات ·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 مصفوفة المسؤوليات · 0.2</dc:title>
  <dc:creator>Masslak</dc:creator>
  <cp:lastModifiedBy>Un-named</cp:lastModifiedBy>
  <cp:revision>1</cp:revision>
  <dcterms:created xsi:type="dcterms:W3CDTF">2026-10-13T11:18:56.663Z</dcterms:created>
  <dcterms:modified xsi:type="dcterms:W3CDTF">2026-10-13T11:18:56.663Z</dcterms:modified>
</cp:coreProperties>
</file>

<file path=docProps/custom.xml><?xml version="1.0" encoding="utf-8"?>
<Properties xmlns="http://schemas.openxmlformats.org/officeDocument/2006/custom-properties" xmlns:vt="http://schemas.openxmlformats.org/officeDocument/2006/docPropsVTypes"/>
</file>