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100" w:line="300"/>
        <w:jc w:val="right"/>
      </w:pPr>
      <w:r>
        <w:rPr>
          <w:rFonts w:ascii="Arial" w:cs="Arial" w:eastAsia="Arial" w:hAnsi="Arial"/>
          <w:b/>
          <w:bCs/>
          <w:color w:val="0A5BD3"/>
          <w:sz w:val="44"/>
          <w:szCs w:val="44"/>
          <w:rtl/>
        </w:rPr>
        <w:t xml:space="preserve">مســلك</w:t>
      </w:r>
    </w:p>
    <w:p>
      <w:pPr>
        <w:bidi/>
        <w:spacing w:after="120" w:line="300"/>
        <w:jc w:val="right"/>
      </w:pPr>
      <w:r>
        <w:rPr>
          <w:rFonts w:ascii="Arial" w:cs="Arial" w:eastAsia="Arial" w:hAnsi="Arial"/>
          <w:b/>
          <w:bCs/>
          <w:color w:val="0B1F3F"/>
          <w:sz w:val="36"/>
          <w:szCs w:val="36"/>
          <w:rtl/>
        </w:rPr>
        <w:t xml:space="preserve">سجل وثائق الجاهزية للتنفيذ</w:t>
      </w:r>
    </w:p>
    <w:p>
      <w:pPr>
        <w:bidi/>
        <w:spacing w:after="300" w:line="300"/>
        <w:jc w:val="right"/>
      </w:pPr>
      <w:r>
        <w:rPr>
          <w:rFonts w:ascii="Arial" w:cs="Arial" w:eastAsia="Arial" w:hAnsi="Arial"/>
          <w:color w:val="4B5565"/>
          <w:sz w:val="22"/>
          <w:szCs w:val="22"/>
          <w:rtl/>
        </w:rPr>
        <w:t xml:space="preserve">ما يلزم من وثائق لتنفيذ المنصة فعلياً، وما هو قائم منها، وما يُستكمل ومن يستكمله</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99"/>
        <w:gridCol w:w="6939"/>
      </w:tblGrid>
      <w:tr>
        <w:trPr>
          <w:tblHeader/>
        </w:trPr>
        <w:tc>
          <w:tcPr>
            <w:tcW w:type="dxa" w:w="2699"/>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البند</w:t>
            </w:r>
          </w:p>
        </w:tc>
        <w:tc>
          <w:tcPr>
            <w:tcW w:type="dxa" w:w="6939"/>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القيمة</w:t>
            </w:r>
          </w:p>
        </w:tc>
      </w:tr>
      <w:tr>
        <w:trPr>
          <w:cantSplit/>
        </w:trPr>
        <w:tc>
          <w:tcPr>
            <w:tcW w:type="dxa" w:w="269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الإصدار</w:t>
            </w:r>
          </w:p>
        </w:tc>
        <w:tc>
          <w:tcPr>
            <w:tcW w:type="dxa" w:w="693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2.4 (يحل محل 2.3)</w:t>
            </w:r>
          </w:p>
        </w:tc>
      </w:tr>
      <w:tr>
        <w:trPr>
          <w:cantSplit/>
        </w:trPr>
        <w:tc>
          <w:tcPr>
            <w:tcW w:type="dxa" w:w="269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التاريخ</w:t>
            </w:r>
          </w:p>
        </w:tc>
        <w:tc>
          <w:tcPr>
            <w:tcW w:type="dxa" w:w="693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18 تشرين الأول 2026</w:t>
            </w:r>
          </w:p>
        </w:tc>
      </w:tr>
      <w:tr>
        <w:trPr>
          <w:cantSplit/>
        </w:trPr>
        <w:tc>
          <w:tcPr>
            <w:tcW w:type="dxa" w:w="269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حالة النظام</w:t>
            </w:r>
          </w:p>
        </w:tc>
        <w:tc>
          <w:tcPr>
            <w:tcW w:type="dxa" w:w="693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الإصدار الحالي في المستودع: ملفات قاعدة البيانات حتى 1136 (149 ملفاً)، و924 فحصاً للقاعدة و773 اختباراً للخادم ناجحة؛ والخادم مكتوب بـ Python 3.12 مع FastAPI، والموقع بـ React والتطبيقات بـ React Native (الدراسة 2.9)؛ ولم يُعدَّل الموقع ولا التطبيقات بطلب من المالك</w:t>
            </w:r>
          </w:p>
        </w:tc>
      </w:tr>
      <w:tr>
        <w:trPr>
          <w:cantSplit/>
        </w:trPr>
        <w:tc>
          <w:tcPr>
            <w:tcW w:type="dxa" w:w="269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الجمهور</w:t>
            </w:r>
          </w:p>
        </w:tc>
        <w:tc>
          <w:tcPr>
            <w:tcW w:type="dxa" w:w="693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الجهة المختصة بالأنظمة التي تدرس المنصة قبل التنفيذ</w:t>
            </w:r>
          </w:p>
        </w:tc>
      </w:tr>
      <w:tr>
        <w:trPr>
          <w:cantSplit/>
        </w:trPr>
        <w:tc>
          <w:tcPr>
            <w:tcW w:type="dxa" w:w="269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الوثائق المرافقة</w:t>
            </w:r>
          </w:p>
        </w:tc>
        <w:tc>
          <w:tcPr>
            <w:tcW w:type="dxa" w:w="693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حالات الاستخدام وتدفق البيانات 2.1؛ نماذج السلوك 1.1؛ مواصفات المتطلبات 1.1 ومصفوفة التتبع 1.1؛ كتالوج قواعد الأعمال 1.1؛ خطة الاختبار والقبول 1.1؛ دراسة التحليل والتصميم 3.9؛ تصميم القاعدة 3.18؛ مسودات تقييم الأثر والمسؤوليات والتحميل والتدريب 0.2؛ مراجعة تصميم شاشات محطات الصعود 1.0؛ الرد الموحّد على تقارير التقييم الأربعة 1.1؛ التقرير اللاحق على تقرير المراجع المستقل 1.0</w:t>
            </w:r>
          </w:p>
        </w:tc>
      </w:tr>
    </w:tbl>
    <w:p>
      <w:pPr>
        <w:pStyle w:val="Heading1"/>
        <w:keepNext/>
        <w:pBdr>
          <w:bottom w:val="single" w:color="0A5BD3" w:sz="10" w:space="4"/>
        </w:pBdr>
        <w:bidi/>
        <w:spacing w:after="160" w:before="360"/>
        <w:jc w:val="right"/>
      </w:pPr>
      <w:r>
        <w:rPr>
          <w:rFonts w:ascii="Arial" w:cs="Arial" w:eastAsia="Arial" w:hAnsi="Arial"/>
          <w:b/>
          <w:bCs/>
          <w:color w:val="0B1F3F"/>
          <w:sz w:val="30"/>
          <w:szCs w:val="30"/>
          <w:rtl/>
        </w:rPr>
        <w:t xml:space="preserve">1. الغرض وطريقة القراءة</w:t>
      </w:r>
    </w:p>
    <w:p>
      <w:pPr>
        <w:bidi/>
        <w:spacing w:after="120" w:line="300"/>
        <w:jc w:val="right"/>
      </w:pPr>
      <w:r>
        <w:rPr>
          <w:rFonts w:ascii="Arial" w:cs="Arial" w:eastAsia="Arial" w:hAnsi="Arial"/>
          <w:color w:val="0F1B2D"/>
          <w:sz w:val="21"/>
          <w:szCs w:val="21"/>
          <w:rtl/>
        </w:rPr>
        <w:t xml:space="preserve">يجمع هذا السجل الوثائق التي تطلبها عادة جهة مختصة بالأنظمة لتحكم على جاهزية نظام للتنفيذ والتشغيل الفعلي، ويذكر لكل وثيقة غرضها ومكانها وحالتها وما يلزم لإكمالها. أُخذت الحالات من المستودع نفسه، لا من الذاكرة.</w:t>
      </w:r>
    </w:p>
    <w:p>
      <w:pPr>
        <w:bidi/>
        <w:spacing w:after="120" w:line="300"/>
        <w:jc w:val="right"/>
      </w:pPr>
      <w:r>
        <w:rPr>
          <w:rFonts w:ascii="Arial" w:cs="Arial" w:eastAsia="Arial" w:hAnsi="Arial"/>
          <w:color w:val="0F1B2D"/>
          <w:sz w:val="21"/>
          <w:szCs w:val="21"/>
          <w:rtl/>
        </w:rPr>
        <w:t xml:space="preserve">الحالات المستعملة:</w:t>
      </w:r>
    </w:p>
    <w:p>
      <w:pPr>
        <w:pStyle w:val="ListParagraph"/>
        <w:numPr>
          <w:ilvl w:val="0"/>
          <w:numId w:val="2"/>
        </w:numPr>
        <w:bidi/>
        <w:spacing w:after="80" w:line="290"/>
        <w:jc w:val="right"/>
      </w:pPr>
      <w:r>
        <w:rPr>
          <w:rFonts w:ascii="Arial" w:cs="Arial" w:eastAsia="Arial" w:hAnsi="Arial"/>
          <w:b/>
          <w:bCs/>
          <w:color w:val="0F1B2D"/>
          <w:sz w:val="21"/>
          <w:szCs w:val="21"/>
          <w:rtl/>
        </w:rPr>
        <w:t xml:space="preserve">مكتملة: </w:t>
      </w:r>
      <w:r>
        <w:rPr>
          <w:rFonts w:ascii="Arial" w:cs="Arial" w:eastAsia="Arial" w:hAnsi="Arial"/>
          <w:color w:val="0F1B2D"/>
          <w:sz w:val="21"/>
          <w:szCs w:val="21"/>
          <w:rtl/>
        </w:rPr>
        <w:t xml:space="preserve">الوثيقة قائمة وتطابق النظام الحالي، وتُعرض كما هي.</w:t>
      </w:r>
    </w:p>
    <w:p>
      <w:pPr>
        <w:pStyle w:val="ListParagraph"/>
        <w:numPr>
          <w:ilvl w:val="0"/>
          <w:numId w:val="2"/>
        </w:numPr>
        <w:bidi/>
        <w:spacing w:after="80" w:line="290"/>
        <w:jc w:val="right"/>
      </w:pPr>
      <w:r>
        <w:rPr>
          <w:rFonts w:ascii="Arial" w:cs="Arial" w:eastAsia="Arial" w:hAnsi="Arial"/>
          <w:b/>
          <w:bCs/>
          <w:color w:val="0F1B2D"/>
          <w:sz w:val="21"/>
          <w:szCs w:val="21"/>
          <w:rtl/>
        </w:rPr>
        <w:t xml:space="preserve">مكتملة جزئياً: </w:t>
      </w:r>
      <w:r>
        <w:rPr>
          <w:rFonts w:ascii="Arial" w:cs="Arial" w:eastAsia="Arial" w:hAnsi="Arial"/>
          <w:color w:val="0F1B2D"/>
          <w:sz w:val="21"/>
          <w:szCs w:val="21"/>
          <w:rtl/>
        </w:rPr>
        <w:t xml:space="preserve">الوثيقة قائمة وتغطي معظم الموضوع، ويبقى جزء مسمّى في العمود الأخير.</w:t>
      </w:r>
    </w:p>
    <w:p>
      <w:pPr>
        <w:pStyle w:val="ListParagraph"/>
        <w:numPr>
          <w:ilvl w:val="0"/>
          <w:numId w:val="2"/>
        </w:numPr>
        <w:bidi/>
        <w:spacing w:after="80" w:line="290"/>
        <w:jc w:val="right"/>
      </w:pPr>
      <w:r>
        <w:rPr>
          <w:rFonts w:ascii="Arial" w:cs="Arial" w:eastAsia="Arial" w:hAnsi="Arial"/>
          <w:b/>
          <w:bCs/>
          <w:color w:val="0F1B2D"/>
          <w:sz w:val="21"/>
          <w:szCs w:val="21"/>
          <w:rtl/>
        </w:rPr>
        <w:t xml:space="preserve">تحتاج تحديثاً: </w:t>
      </w:r>
      <w:r>
        <w:rPr>
          <w:rFonts w:ascii="Arial" w:cs="Arial" w:eastAsia="Arial" w:hAnsi="Arial"/>
          <w:color w:val="0F1B2D"/>
          <w:sz w:val="21"/>
          <w:szCs w:val="21"/>
          <w:rtl/>
        </w:rPr>
        <w:t xml:space="preserve">الوثيقة قائمة لكنها تسبق تغييرات لاحقة في النظام.</w:t>
      </w:r>
    </w:p>
    <w:p>
      <w:pPr>
        <w:pStyle w:val="ListParagraph"/>
        <w:numPr>
          <w:ilvl w:val="0"/>
          <w:numId w:val="2"/>
        </w:numPr>
        <w:bidi/>
        <w:spacing w:after="80" w:line="290"/>
        <w:jc w:val="right"/>
      </w:pPr>
      <w:r>
        <w:rPr>
          <w:rFonts w:ascii="Arial" w:cs="Arial" w:eastAsia="Arial" w:hAnsi="Arial"/>
          <w:b/>
          <w:bCs/>
          <w:color w:val="0F1B2D"/>
          <w:sz w:val="21"/>
          <w:szCs w:val="21"/>
          <w:rtl/>
        </w:rPr>
        <w:t xml:space="preserve">أُعدّت في هذه الحزمة: </w:t>
      </w:r>
      <w:r>
        <w:rPr>
          <w:rFonts w:ascii="Arial" w:cs="Arial" w:eastAsia="Arial" w:hAnsi="Arial"/>
          <w:color w:val="0F1B2D"/>
          <w:sz w:val="21"/>
          <w:szCs w:val="21"/>
          <w:rtl/>
        </w:rPr>
        <w:t xml:space="preserve">أُعدّت مع هذا السجل من النظام نفسه، وتُعرض على الجهة المختصة للمراجعة.</w:t>
      </w:r>
    </w:p>
    <w:p>
      <w:pPr>
        <w:pStyle w:val="ListParagraph"/>
        <w:numPr>
          <w:ilvl w:val="0"/>
          <w:numId w:val="2"/>
        </w:numPr>
        <w:bidi/>
        <w:spacing w:after="80" w:line="290"/>
        <w:jc w:val="right"/>
      </w:pPr>
      <w:r>
        <w:rPr>
          <w:rFonts w:ascii="Arial" w:cs="Arial" w:eastAsia="Arial" w:hAnsi="Arial"/>
          <w:b/>
          <w:bCs/>
          <w:color w:val="0F1B2D"/>
          <w:sz w:val="21"/>
          <w:szCs w:val="21"/>
          <w:rtl/>
        </w:rPr>
        <w:t xml:space="preserve">مسودة تنتظر الاعتماد: </w:t>
      </w:r>
      <w:r>
        <w:rPr>
          <w:rFonts w:ascii="Arial" w:cs="Arial" w:eastAsia="Arial" w:hAnsi="Arial"/>
          <w:color w:val="0F1B2D"/>
          <w:sz w:val="21"/>
          <w:szCs w:val="21"/>
          <w:rtl/>
        </w:rPr>
        <w:t xml:space="preserve">أُعدّت مسودتها، وتنتظر اعتماد صاحب القرار أو استكمال الأسماء والقيم.</w:t>
      </w:r>
    </w:p>
    <w:p>
      <w:pPr>
        <w:pStyle w:val="ListParagraph"/>
        <w:numPr>
          <w:ilvl w:val="0"/>
          <w:numId w:val="2"/>
        </w:numPr>
        <w:bidi/>
        <w:spacing w:after="80" w:line="290"/>
        <w:jc w:val="right"/>
      </w:pPr>
      <w:r>
        <w:rPr>
          <w:rFonts w:ascii="Arial" w:cs="Arial" w:eastAsia="Arial" w:hAnsi="Arial"/>
          <w:b/>
          <w:bCs/>
          <w:color w:val="0F1B2D"/>
          <w:sz w:val="21"/>
          <w:szCs w:val="21"/>
          <w:rtl/>
        </w:rPr>
        <w:t xml:space="preserve">ناقصة: </w:t>
      </w:r>
      <w:r>
        <w:rPr>
          <w:rFonts w:ascii="Arial" w:cs="Arial" w:eastAsia="Arial" w:hAnsi="Arial"/>
          <w:color w:val="0F1B2D"/>
          <w:sz w:val="21"/>
          <w:szCs w:val="21"/>
          <w:rtl/>
        </w:rPr>
        <w:t xml:space="preserve">غير موجودة، ونقترح أن تعدّها الجهة المختصة أو فريق المالك.</w:t>
      </w:r>
    </w:p>
    <w:p>
      <w:pPr>
        <w:pStyle w:val="ListParagraph"/>
        <w:numPr>
          <w:ilvl w:val="0"/>
          <w:numId w:val="2"/>
        </w:numPr>
        <w:bidi/>
        <w:spacing w:after="80" w:line="290"/>
        <w:jc w:val="right"/>
      </w:pPr>
      <w:r>
        <w:rPr>
          <w:rFonts w:ascii="Arial" w:cs="Arial" w:eastAsia="Arial" w:hAnsi="Arial"/>
          <w:b/>
          <w:bCs/>
          <w:color w:val="0F1B2D"/>
          <w:sz w:val="21"/>
          <w:szCs w:val="21"/>
          <w:rtl/>
        </w:rPr>
        <w:t xml:space="preserve">مدخل من المالك: </w:t>
      </w:r>
      <w:r>
        <w:rPr>
          <w:rFonts w:ascii="Arial" w:cs="Arial" w:eastAsia="Arial" w:hAnsi="Arial"/>
          <w:color w:val="0F1B2D"/>
          <w:sz w:val="21"/>
          <w:szCs w:val="21"/>
          <w:rtl/>
        </w:rPr>
        <w:t xml:space="preserve">تحتاج قراراً أو مستنداً من المالك أو من جهة رسمية، ولا يمكن إعدادها تقنياً وحدها.</w:t>
      </w:r>
    </w:p>
    <w:p>
      <w:pPr>
        <w:pStyle w:val="Heading1"/>
        <w:keepNext/>
        <w:pBdr>
          <w:bottom w:val="single" w:color="0A5BD3" w:sz="10" w:space="4"/>
        </w:pBdr>
        <w:bidi/>
        <w:spacing w:after="160" w:before="360"/>
        <w:jc w:val="right"/>
      </w:pPr>
      <w:r>
        <w:rPr>
          <w:rFonts w:ascii="Arial" w:cs="Arial" w:eastAsia="Arial" w:hAnsi="Arial"/>
          <w:b/>
          <w:bCs/>
          <w:color w:val="0B1F3F"/>
          <w:sz w:val="30"/>
          <w:szCs w:val="30"/>
          <w:rtl/>
        </w:rPr>
        <w:t xml:space="preserve">2. الخلاصة</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83"/>
        <w:gridCol w:w="3855"/>
      </w:tblGrid>
      <w:tr>
        <w:trPr>
          <w:tblHeader/>
        </w:trPr>
        <w:tc>
          <w:tcPr>
            <w:tcW w:type="dxa" w:w="5783"/>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الحالة</w:t>
            </w:r>
          </w:p>
        </w:tc>
        <w:tc>
          <w:tcPr>
            <w:tcW w:type="dxa" w:w="3855"/>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عدد الوثائق</w:t>
            </w:r>
          </w:p>
        </w:tc>
      </w:tr>
      <w:tr>
        <w:trPr>
          <w:cantSplit/>
        </w:trPr>
        <w:tc>
          <w:tcPr>
            <w:tcW w:type="dxa" w:w="578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مكتملة</w:t>
            </w:r>
          </w:p>
        </w:tc>
        <w:tc>
          <w:tcPr>
            <w:tcW w:type="dxa" w:w="385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15</w:t>
            </w:r>
          </w:p>
        </w:tc>
      </w:tr>
      <w:tr>
        <w:trPr>
          <w:cantSplit/>
        </w:trPr>
        <w:tc>
          <w:tcPr>
            <w:tcW w:type="dxa" w:w="578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أُعدّت في هذه الحزمة</w:t>
            </w:r>
          </w:p>
        </w:tc>
        <w:tc>
          <w:tcPr>
            <w:tcW w:type="dxa" w:w="385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9</w:t>
            </w:r>
          </w:p>
        </w:tc>
      </w:tr>
      <w:tr>
        <w:trPr>
          <w:cantSplit/>
        </w:trPr>
        <w:tc>
          <w:tcPr>
            <w:tcW w:type="dxa" w:w="578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مسودة تنتظر الاعتماد</w:t>
            </w:r>
          </w:p>
        </w:tc>
        <w:tc>
          <w:tcPr>
            <w:tcW w:type="dxa" w:w="385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4</w:t>
            </w:r>
          </w:p>
        </w:tc>
      </w:tr>
      <w:tr>
        <w:trPr>
          <w:cantSplit/>
        </w:trPr>
        <w:tc>
          <w:tcPr>
            <w:tcW w:type="dxa" w:w="578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مكتملة جزئياً</w:t>
            </w:r>
          </w:p>
        </w:tc>
        <w:tc>
          <w:tcPr>
            <w:tcW w:type="dxa" w:w="385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6</w:t>
            </w:r>
          </w:p>
        </w:tc>
      </w:tr>
      <w:tr>
        <w:trPr>
          <w:cantSplit/>
        </w:trPr>
        <w:tc>
          <w:tcPr>
            <w:tcW w:type="dxa" w:w="578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تحتاج تحديثاً</w:t>
            </w:r>
          </w:p>
        </w:tc>
        <w:tc>
          <w:tcPr>
            <w:tcW w:type="dxa" w:w="385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0</w:t>
            </w:r>
          </w:p>
        </w:tc>
      </w:tr>
      <w:tr>
        <w:trPr>
          <w:cantSplit/>
        </w:trPr>
        <w:tc>
          <w:tcPr>
            <w:tcW w:type="dxa" w:w="578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ناقصة</w:t>
            </w:r>
          </w:p>
        </w:tc>
        <w:tc>
          <w:tcPr>
            <w:tcW w:type="dxa" w:w="385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2</w:t>
            </w:r>
          </w:p>
        </w:tc>
      </w:tr>
      <w:tr>
        <w:trPr>
          <w:cantSplit/>
        </w:trPr>
        <w:tc>
          <w:tcPr>
            <w:tcW w:type="dxa" w:w="578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مدخل من المالك</w:t>
            </w:r>
          </w:p>
        </w:tc>
        <w:tc>
          <w:tcPr>
            <w:tcW w:type="dxa" w:w="385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7</w:t>
            </w:r>
          </w:p>
        </w:tc>
      </w:tr>
    </w:tbl>
    <w:p>
      <w:pPr>
        <w:bidi/>
        <w:spacing w:after="120" w:line="300"/>
        <w:jc w:val="right"/>
      </w:pPr>
      <w:r>
        <w:rPr>
          <w:rFonts w:ascii="Arial" w:cs="Arial" w:eastAsia="Arial" w:hAnsi="Arial"/>
          <w:color w:val="0F1B2D"/>
          <w:sz w:val="21"/>
          <w:szCs w:val="21"/>
          <w:rtl/>
        </w:rPr>
        <w:t xml:space="preserve"/>
      </w:r>
    </w:p>
    <w:p>
      <w:pPr>
        <w:bidi/>
        <w:spacing w:after="120" w:line="300"/>
        <w:jc w:val="right"/>
      </w:pPr>
      <w:r>
        <w:rPr>
          <w:rFonts w:ascii="Arial" w:cs="Arial" w:eastAsia="Arial" w:hAnsi="Arial"/>
          <w:color w:val="0F1B2D"/>
          <w:sz w:val="21"/>
          <w:szCs w:val="21"/>
          <w:rtl/>
        </w:rPr>
        <w:t xml:space="preserve">من 43 وثيقة: 15 مكتملة، و9 أُعدّت في هذه الحزمة، و4 مسودات تنتظر الاعتماد. ما بقي قبل التنفيذ الفعلي:</w:t>
      </w:r>
    </w:p>
    <w:p>
      <w:pPr>
        <w:pStyle w:val="ListParagraph"/>
        <w:numPr>
          <w:ilvl w:val="0"/>
          <w:numId w:val="3"/>
        </w:numPr>
        <w:bidi/>
        <w:spacing w:after="80" w:line="290"/>
        <w:jc w:val="right"/>
      </w:pPr>
      <w:r>
        <w:rPr>
          <w:rFonts w:ascii="Arial" w:cs="Arial" w:eastAsia="Arial" w:hAnsi="Arial"/>
          <w:color w:val="0F1B2D"/>
          <w:sz w:val="21"/>
          <w:szCs w:val="21"/>
          <w:rtl/>
        </w:rPr>
        <w:t xml:space="preserve">مدخلات المالك والعقود بحلول 13 تشرين الثاني 2026 ليبدأ الإطلاق التجريبي في 4 كانون الثاني 2027 (و1).</w:t>
      </w:r>
    </w:p>
    <w:p>
      <w:pPr>
        <w:pStyle w:val="ListParagraph"/>
        <w:numPr>
          <w:ilvl w:val="0"/>
          <w:numId w:val="3"/>
        </w:numPr>
        <w:bidi/>
        <w:spacing w:after="80" w:line="290"/>
        <w:jc w:val="right"/>
      </w:pPr>
      <w:r>
        <w:rPr>
          <w:rFonts w:ascii="Arial" w:cs="Arial" w:eastAsia="Arial" w:hAnsi="Arial"/>
          <w:color w:val="0F1B2D"/>
          <w:sz w:val="21"/>
          <w:szCs w:val="21"/>
          <w:rtl/>
        </w:rPr>
        <w:t xml:space="preserve">نماذج العمليات الباقية مع فرق التشغيل (ب5)، واختبار شاشات المحطات مع مستخدمين فعليين بعد مراجعة تصميمها (ج6).</w:t>
      </w:r>
    </w:p>
    <w:p>
      <w:pPr>
        <w:pStyle w:val="ListParagraph"/>
        <w:numPr>
          <w:ilvl w:val="0"/>
          <w:numId w:val="3"/>
        </w:numPr>
        <w:bidi/>
        <w:spacing w:after="80" w:line="290"/>
        <w:jc w:val="right"/>
      </w:pPr>
      <w:r>
        <w:rPr>
          <w:rFonts w:ascii="Arial" w:cs="Arial" w:eastAsia="Arial" w:hAnsi="Arial"/>
          <w:color w:val="0F1B2D"/>
          <w:sz w:val="21"/>
          <w:szCs w:val="21"/>
          <w:rtl/>
        </w:rPr>
        <w:t xml:space="preserve">اعتماد تقييم أثر صورة الصعود، ومصفوفة المسؤوليات، وخطتي التحميل والتدريب (ج7، و2، و4، و5).</w:t>
      </w:r>
    </w:p>
    <w:p>
      <w:pPr>
        <w:pStyle w:val="ListParagraph"/>
        <w:numPr>
          <w:ilvl w:val="0"/>
          <w:numId w:val="3"/>
        </w:numPr>
        <w:bidi/>
        <w:spacing w:after="80" w:line="290"/>
        <w:jc w:val="right"/>
      </w:pPr>
      <w:r>
        <w:rPr>
          <w:rFonts w:ascii="Arial" w:cs="Arial" w:eastAsia="Arial" w:hAnsi="Arial"/>
          <w:color w:val="0F1B2D"/>
          <w:sz w:val="21"/>
          <w:szCs w:val="21"/>
          <w:rtl/>
        </w:rPr>
        <w:t xml:space="preserve">قياس الأداء على بيئة ما قبل الإنتاج، واختبار الاختراق، ومحاضر القبول، وأدلة بوابات الإطلاق (د3، د4، د5، هـ5).</w:t>
      </w:r>
    </w:p>
    <w:p>
      <w:pPr>
        <w:pStyle w:val="ListParagraph"/>
        <w:numPr>
          <w:ilvl w:val="0"/>
          <w:numId w:val="3"/>
        </w:numPr>
        <w:bidi/>
        <w:spacing w:after="80" w:line="290"/>
        <w:jc w:val="right"/>
      </w:pPr>
      <w:r>
        <w:rPr>
          <w:rFonts w:ascii="Arial" w:cs="Arial" w:eastAsia="Arial" w:hAnsi="Arial"/>
          <w:color w:val="0F1B2D"/>
          <w:sz w:val="21"/>
          <w:szCs w:val="21"/>
          <w:rtl/>
        </w:rPr>
        <w:t xml:space="preserve">المستندات القانونية والقرارات الرسمية المذكورة في القسم ز، ومنها القيم الضريبية وقرار غرامة الإلغاء (ز6، ز7).</w:t>
      </w:r>
    </w:p>
    <w:p>
      <w:pPr>
        <w:bidi/>
        <w:spacing w:after="120" w:line="300"/>
        <w:jc w:val="right"/>
      </w:pPr>
      <w:r>
        <w:rPr>
          <w:rFonts w:ascii="Arial" w:cs="Arial" w:eastAsia="Arial" w:hAnsi="Arial"/>
          <w:color w:val="0F1B2D"/>
          <w:sz w:val="21"/>
          <w:szCs w:val="21"/>
          <w:rtl/>
        </w:rPr>
        <w:t xml:space="preserve">والفجوات الوظيفية بين التصميم والنظام المبني (ما لم يُبنَ وما بُني جزئياً) في الفصل السادس من وثيقة حالات الاستخدام 2.1.</w:t>
      </w:r>
    </w:p>
    <w:p>
      <w:pPr>
        <w:pStyle w:val="Heading2"/>
        <w:keepNext/>
        <w:bidi/>
        <w:spacing w:after="100" w:before="240"/>
        <w:jc w:val="right"/>
      </w:pPr>
      <w:r>
        <w:rPr>
          <w:rFonts w:ascii="Arial" w:cs="Arial" w:eastAsia="Arial" w:hAnsi="Arial"/>
          <w:b/>
          <w:bCs/>
          <w:color w:val="0A5BD3"/>
          <w:sz w:val="24"/>
          <w:szCs w:val="24"/>
          <w:rtl/>
        </w:rPr>
        <w:t xml:space="preserve">ما تغيّر منذ الإصدار 1.1</w:t>
      </w:r>
    </w:p>
    <w:p>
      <w:pPr>
        <w:pStyle w:val="ListParagraph"/>
        <w:numPr>
          <w:ilvl w:val="0"/>
          <w:numId w:val="2"/>
        </w:numPr>
        <w:bidi/>
        <w:spacing w:after="80" w:line="290"/>
        <w:jc w:val="right"/>
      </w:pPr>
      <w:r>
        <w:rPr>
          <w:rFonts w:ascii="Arial" w:cs="Arial" w:eastAsia="Arial" w:hAnsi="Arial"/>
          <w:color w:val="0F1B2D"/>
          <w:sz w:val="21"/>
          <w:szCs w:val="21"/>
          <w:rtl/>
        </w:rPr>
        <w:t xml:space="preserve">الإصدار 2.4: بعد تقرير المراجع المستقل على التسليم الأول. كان ملف التحقق في حزمة الأدلة من بناء أقدم (840b3dc، الملف 1132)، فاختلفت أرقام الحزمة عن وثائقها؛ صارت الحزمة تولّده من قاعدتها وسجلاتها، وتُفحص كل وثائق التسليم بأداة ترفضه إن لم تذكر التزام الحزمة وأرقامها. تصميم القاعدة 3.18 وهذا السجل وأرقامهما من الالتزام 921369d، التزام التسليم الثاني؛ ولم تتغيّر القاعدة ولا شيفرة الخادم. وصف «د6» يذكر التقرير اللاحق والتسليم الثاني.</w:t>
      </w:r>
    </w:p>
    <w:p>
      <w:pPr>
        <w:pStyle w:val="ListParagraph"/>
        <w:numPr>
          <w:ilvl w:val="0"/>
          <w:numId w:val="2"/>
        </w:numPr>
        <w:bidi/>
        <w:spacing w:after="80" w:line="290"/>
        <w:jc w:val="right"/>
      </w:pPr>
      <w:r>
        <w:rPr>
          <w:rFonts w:ascii="Arial" w:cs="Arial" w:eastAsia="Arial" w:hAnsi="Arial"/>
          <w:color w:val="0F1B2D"/>
          <w:sz w:val="21"/>
          <w:szCs w:val="21"/>
          <w:rtl/>
        </w:rPr>
        <w:t xml:space="preserve">الإصدار 2.3: بعد تقارير التقييم الأربعة لتشرين الأول 2026 وقرارات المالك عليها. تصميم القاعدة 3.17 (ج2) حتى ملف القاعدة 1136: نقطة مراجعة صندوق الأحداث، وتفويض أدوات المساعد الذكي من القاعدة، ومنع تنفيذ دوال SECURITY DEFINER لـ PUBLIC، والمصادقة المتدرجة للعمليات الحساسة؛ وأرقامه وأرقام هذا السجل من تشغيل التحقق عند الالتزام e6dbeb8، وهو الالتزام المسلَّم للمراجع المستقل. وصف جديد (د6) للمراجعة المستقلة دون الوصول إلى المستودع، فيه الرد الموحّد 1.1 والتسليم الأول. وسيناريو 10,000 مستخدم متزامن في الأداء والسعة (د3). ولم يُعدَّل الموقع ولا التطبيقات.</w:t>
      </w:r>
    </w:p>
    <w:p>
      <w:pPr>
        <w:pStyle w:val="ListParagraph"/>
        <w:numPr>
          <w:ilvl w:val="0"/>
          <w:numId w:val="2"/>
        </w:numPr>
        <w:bidi/>
        <w:spacing w:after="80" w:line="290"/>
        <w:jc w:val="right"/>
      </w:pPr>
      <w:r>
        <w:rPr>
          <w:rFonts w:ascii="Arial" w:cs="Arial" w:eastAsia="Arial" w:hAnsi="Arial"/>
          <w:color w:val="0F1B2D"/>
          <w:sz w:val="21"/>
          <w:szCs w:val="21"/>
          <w:rtl/>
        </w:rPr>
        <w:t xml:space="preserve">الإصدار 2.2: صف الاختبارات الآلية (د2) كان ما زال يحمل أرقام إصدار قديم (706 فحوص و691 اختباراً و10 متخطاة) بينما ترويسة السجل تحمل 904 و758، كما لاحظ أحد المقيّمين. صار الصف يقرأ أرقامه من تشغيل التحقق نفسه الذي تقرأ منه الترويسة وتصميم القاعدة، ويذكر الالتزام الذي جرى عنده.</w:t>
      </w:r>
    </w:p>
    <w:p>
      <w:pPr>
        <w:pStyle w:val="ListParagraph"/>
        <w:numPr>
          <w:ilvl w:val="0"/>
          <w:numId w:val="2"/>
        </w:numPr>
        <w:bidi/>
        <w:spacing w:after="80" w:line="290"/>
        <w:jc w:val="right"/>
      </w:pPr>
      <w:r>
        <w:rPr>
          <w:rFonts w:ascii="Arial" w:cs="Arial" w:eastAsia="Arial" w:hAnsi="Arial"/>
          <w:color w:val="0F1B2D"/>
          <w:sz w:val="21"/>
          <w:szCs w:val="21"/>
          <w:rtl/>
        </w:rPr>
        <w:t xml:space="preserve">الإصدار 2.1: بعد مراجعة خبير الأنظمة للدراسة 3.8 (تشرين الأول 2026). دراسة التحليل والتصميم 3.9 (أ1) بقسمين جديدين: طبقة التطبيق كما بُنيت (2.9) والرد على المراجعة بنداً بنداً (16.44)، وفيه أن ثغرة تخطّي فحوص الإنتاج في وضع sandbox مغلقة في الشيفرة منذ الإصدار 1.50.0. وتصميم القاعدة 3.16 (ج2): كان جدول المخططات يعدّ 23 مخططاً فغابت عنه sch وrpt وgis ‏(16 جدولاً)، فبلغ مجموعه 544؛ وصار يعدّ المخططات الـ26 مع صف مجموع (560 جدولاً). وصارت أرقام هذا السجل في ج2 وج3 وج4 وحالة النظام تُقرأ من البناء وآخر تشغيل للتحقق وخط أساس الواجهات، فلا تختلف عن تصميم القاعدة. ولم يتغيّر شيء في القاعدة ولا في الشيفرة.</w:t>
      </w:r>
    </w:p>
    <w:p>
      <w:pPr>
        <w:pStyle w:val="ListParagraph"/>
        <w:numPr>
          <w:ilvl w:val="0"/>
          <w:numId w:val="2"/>
        </w:numPr>
        <w:bidi/>
        <w:spacing w:after="80" w:line="290"/>
        <w:jc w:val="right"/>
      </w:pPr>
      <w:r>
        <w:rPr>
          <w:rFonts w:ascii="Arial" w:cs="Arial" w:eastAsia="Arial" w:hAnsi="Arial"/>
          <w:color w:val="0F1B2D"/>
          <w:sz w:val="21"/>
          <w:szCs w:val="21"/>
          <w:rtl/>
        </w:rPr>
        <w:t xml:space="preserve">الإصدار 2.0: دراسة التحليل والتصميم 3.8 بالعربية والإنجليزية (أ1) حتى ملف القاعدة 1132، بأربعة أقسام جديدة (7.25 و7.26 و22.9 و30.15) وثمانية وعشرين رمز خطأ جديداً؛ والجدول الزمني للتنفيذ 3.2 (و1) بما أُنجز حتى 18 تشرين الأول 2026؛ وما بُني بعد الإصدار 1.9: نواة نقل البضائع والحاويات بالشاحنات داخل سوريا ومن الميناء وإليه وبالترانزيت وعبر الحدود، مع بوالص الشحن وبوالص الوكلاء والحاويات والإرساليات وأسعار أصحاب الشاحنات وحركة الشاحنات وفواتير النقل لكل بوليصة أو حاوية، ومذكرة الشحن وبيان TCN اللذين تصدرهما المنصة؛ وحجز أموال الرحلة الفائتة في الرحلات غير المباشرة حتى تنتهي مهلة التعديل، وبه أُغلق قرار المالك في القسم 22.8. ولم يُعدَّل الموقع بطلب من المالك. وأُضيفت للمالك تسع مسائل في نقل البضائع (22.9).</w:t>
      </w:r>
    </w:p>
    <w:p>
      <w:pPr>
        <w:pStyle w:val="ListParagraph"/>
        <w:numPr>
          <w:ilvl w:val="0"/>
          <w:numId w:val="2"/>
        </w:numPr>
        <w:bidi/>
        <w:spacing w:after="80" w:line="290"/>
        <w:jc w:val="right"/>
      </w:pPr>
      <w:r>
        <w:rPr>
          <w:rFonts w:ascii="Arial" w:cs="Arial" w:eastAsia="Arial" w:hAnsi="Arial"/>
          <w:color w:val="0F1B2D"/>
          <w:sz w:val="21"/>
          <w:szCs w:val="21"/>
          <w:rtl/>
        </w:rPr>
        <w:t xml:space="preserve">الإصدار 1.9: دراسة التحليل والتصميم 3.7 بالعربية والإنجليزية (أ1) حتى ملف القاعدة 1130، بأربعة أقسام جديدة (7.24 و22.8 و30.14 و32.11) وثلاثة عشر رمز خطأ جديداً؛ والجدول الزمني للتنفيذ 3.1 (و1) بما أُنجز حتى 17 تشرين الأول 2026؛ وما بُني بعد الإصدار 1.8: الرحلات غير المباشرة عبر عدة ناقلين حيث لا توجد رحلة مباشرة، مع الموافقة على المخاطر والرحلات اللاحقة المرنة وسياسة كل ناقل في الرحلة الفائتة وتعديل الحجز إلى رحلة أخرى. وأُضيف قرار للمالك: الرحلة الفائتة بعد أن يُتمّها الناقل (22.8).</w:t>
      </w:r>
    </w:p>
    <w:p>
      <w:pPr>
        <w:pStyle w:val="ListParagraph"/>
        <w:numPr>
          <w:ilvl w:val="0"/>
          <w:numId w:val="2"/>
        </w:numPr>
        <w:bidi/>
        <w:spacing w:after="80" w:line="290"/>
        <w:jc w:val="right"/>
      </w:pPr>
      <w:r>
        <w:rPr>
          <w:rFonts w:ascii="Arial" w:cs="Arial" w:eastAsia="Arial" w:hAnsi="Arial"/>
          <w:color w:val="0F1B2D"/>
          <w:sz w:val="21"/>
          <w:szCs w:val="21"/>
          <w:rtl/>
        </w:rPr>
        <w:t xml:space="preserve">الإصدار 1.8: دراسة التحليل والتصميم 3.6 بالعربية والإنجليزية (أ1) حتى ملف القاعدة 1129، باثني عشر قسماً جديداً ومئة رمز خطأ جديد؛ والجدول الزمني للتنفيذ 3.0 (و1) بما أُنجز حتى 15 تشرين الأول 2026؛ وما بُني بعد الإصدار 1.7: اعرف عميلك للشركات، والرحلات المنتظمة، وأرقام الرحلات الرباعية، وأنماط الحجز والمجموعات واختيار المقاعد في كل رحلة، والاستئجار مع العربون وتسمية المركبات والمسافرين، وشاشات المغادرة والوصول مع المواقف والناقلين والربط برمز قصير وتنبيه الشاشة غير المرئية، والتقسيم الإداري لسوريا مع المسح الميداني والحدود والأسماء المصحّحة وخريطة المنطقة، وشاشات إعدادات الصورة. ولم يتغيّر ما ينتظر المالك: المدخلات والعقود وبيئة التجريب وبوابات الإطلاق واختبار الاختراق وحسابات المتاجر ومزود الدفع والإدارة الضريبية.</w:t>
      </w:r>
    </w:p>
    <w:p>
      <w:pPr>
        <w:pStyle w:val="ListParagraph"/>
        <w:numPr>
          <w:ilvl w:val="0"/>
          <w:numId w:val="2"/>
        </w:numPr>
        <w:bidi/>
        <w:spacing w:after="80" w:line="290"/>
        <w:jc w:val="right"/>
      </w:pPr>
      <w:r>
        <w:rPr>
          <w:rFonts w:ascii="Arial" w:cs="Arial" w:eastAsia="Arial" w:hAnsi="Arial"/>
          <w:color w:val="0F1B2D"/>
          <w:sz w:val="21"/>
          <w:szCs w:val="21"/>
          <w:rtl/>
        </w:rPr>
        <w:t xml:space="preserve">الإصدار 1.7: نُفّذت قرارات المالك في شاشات المحطات (ج6، الملفان 1114 و1115): يصعد السائق المسافر برقم التذكرة ومرجع الحجز بعد التحقق من الهوية، متصلاً أو دون اتصال؛ وتتناوب الشاشة العملاقة بين العربية والإنجليزية كل عشر ثوانٍ وتظهر الرحلة الملغاة بالأحمر؛ وتخصّص إدارة المحطة المواقف، موقفاً دائماً لكل ناقل أو موقفاً لكل رحلة؛ ويظهر شعار الشركة بجانب اسمها وفق مواصفة؛ ويقرأ المسافر رقم رحلة قصيراً مثل DC 101 يتكرر للرحلة نفسها كل يوم، ويبقى الرقم الطويل مرجعاً للرحلة.</w:t>
      </w:r>
    </w:p>
    <w:p>
      <w:pPr>
        <w:pStyle w:val="ListParagraph"/>
        <w:numPr>
          <w:ilvl w:val="0"/>
          <w:numId w:val="2"/>
        </w:numPr>
        <w:bidi/>
        <w:spacing w:after="80" w:line="290"/>
        <w:jc w:val="right"/>
      </w:pPr>
      <w:r>
        <w:rPr>
          <w:rFonts w:ascii="Arial" w:cs="Arial" w:eastAsia="Arial" w:hAnsi="Arial"/>
          <w:color w:val="0F1B2D"/>
          <w:sz w:val="21"/>
          <w:szCs w:val="21"/>
          <w:rtl/>
        </w:rPr>
        <w:t xml:space="preserve">الإصدار 1.6: مراجعة تصميم شاشات محطات الصعود (ج6) أُنجزت: عشرون ملاحظة، أُصلحت منها خمس عشرة، أهمها أن بطاقة الصعود والتذكرة المطبوعة تحملان رمزاً موقّعاً ثابتاً يُمسح من الورق، وأن قائمة رحلات الكاونتر تذكر الوجهة وحالة التسجيل. ويبقى الاختبار مع مستخدمين فعليين بين 7 و18 كانون الأول 2026، وقرارا المالك في التذاكر الورقية المبكرة ولغة الشاشة العملاقة.</w:t>
      </w:r>
    </w:p>
    <w:p>
      <w:pPr>
        <w:pStyle w:val="ListParagraph"/>
        <w:numPr>
          <w:ilvl w:val="0"/>
          <w:numId w:val="2"/>
        </w:numPr>
        <w:bidi/>
        <w:spacing w:after="80" w:line="290"/>
        <w:jc w:val="right"/>
      </w:pPr>
      <w:r>
        <w:rPr>
          <w:rFonts w:ascii="Arial" w:cs="Arial" w:eastAsia="Arial" w:hAnsi="Arial"/>
          <w:color w:val="0F1B2D"/>
          <w:sz w:val="21"/>
          <w:szCs w:val="21"/>
          <w:rtl/>
        </w:rPr>
        <w:t xml:space="preserve">الإصدار 1.5: الجدول الزمني للتنفيذ 2.0 (و1) يعرض ما أُنجز وما بقي، ويعيد التخطيط من اليوم: الإطلاق التجريبي في 4 كانون الثاني 2027 بدلاً من 4 تشرين الأول 2027، والإطلاق العام في 22 آذار 2027، وإغلاق المرحلة 1 في 9 نيسان 2027.</w:t>
      </w:r>
    </w:p>
    <w:p>
      <w:pPr>
        <w:pStyle w:val="ListParagraph"/>
        <w:numPr>
          <w:ilvl w:val="0"/>
          <w:numId w:val="2"/>
        </w:numPr>
        <w:bidi/>
        <w:spacing w:after="80" w:line="290"/>
        <w:jc w:val="right"/>
      </w:pPr>
      <w:r>
        <w:rPr>
          <w:rFonts w:ascii="Arial" w:cs="Arial" w:eastAsia="Arial" w:hAnsi="Arial"/>
          <w:color w:val="0F1B2D"/>
          <w:sz w:val="21"/>
          <w:szCs w:val="21"/>
          <w:rtl/>
        </w:rPr>
        <w:t xml:space="preserve">الإصدار 1.4: دراسة التحليل والتصميم 3.5 بالعربية والإنجليزية (أ1) مكتملة حتى ملف القاعدة 1112، باثني عشر قسماً جديداً وإضافات إلى المتطلبات والقواعد والواجهات ورموز الأخطاء والشاشات والقرارات وسيناريوهات القبول.</w:t>
      </w:r>
    </w:p>
    <w:p>
      <w:pPr>
        <w:pStyle w:val="ListParagraph"/>
        <w:numPr>
          <w:ilvl w:val="0"/>
          <w:numId w:val="2"/>
        </w:numPr>
        <w:bidi/>
        <w:spacing w:after="80" w:line="290"/>
        <w:jc w:val="right"/>
      </w:pPr>
      <w:r>
        <w:rPr>
          <w:rFonts w:ascii="Arial" w:cs="Arial" w:eastAsia="Arial" w:hAnsi="Arial"/>
          <w:color w:val="0F1B2D"/>
          <w:sz w:val="21"/>
          <w:szCs w:val="21"/>
          <w:rtl/>
        </w:rPr>
        <w:t xml:space="preserve">كل وثائق الحزمة صارت على الكود نفسه (الالتزام c7528af، ملفات القاعدة حتى 1112): حالات الاستخدام وتدفق البيانات 2.1، ونماذج السلوك 1.1، ومواصفات المتطلبات 1.1 ومصفوفة التتبع 1.1، وكتالوج القواعد 1.1، وخطة الاختبار 1.1، وتصميم القاعدة 3.14، والمسودات الأربع 0.2.</w:t>
      </w:r>
    </w:p>
    <w:p>
      <w:pPr>
        <w:pStyle w:val="ListParagraph"/>
        <w:numPr>
          <w:ilvl w:val="0"/>
          <w:numId w:val="2"/>
        </w:numPr>
        <w:bidi/>
        <w:spacing w:after="80" w:line="290"/>
        <w:jc w:val="right"/>
      </w:pPr>
      <w:r>
        <w:rPr>
          <w:rFonts w:ascii="Arial" w:cs="Arial" w:eastAsia="Arial" w:hAnsi="Arial"/>
          <w:color w:val="0F1B2D"/>
          <w:sz w:val="21"/>
          <w:szCs w:val="21"/>
          <w:rtl/>
        </w:rPr>
        <w:t xml:space="preserve">تصميم القاعدة (ج2) مكتمل بالإصدار 3.14، وقد صحح عدّ المفاتيح الأجنبية على الجداول المقسّمة.</w:t>
      </w:r>
    </w:p>
    <w:p>
      <w:pPr>
        <w:pStyle w:val="ListParagraph"/>
        <w:numPr>
          <w:ilvl w:val="0"/>
          <w:numId w:val="2"/>
        </w:numPr>
        <w:bidi/>
        <w:spacing w:after="80" w:line="290"/>
        <w:jc w:val="right"/>
      </w:pPr>
      <w:r>
        <w:rPr>
          <w:rFonts w:ascii="Arial" w:cs="Arial" w:eastAsia="Arial" w:hAnsi="Arial"/>
          <w:color w:val="0F1B2D"/>
          <w:sz w:val="21"/>
          <w:szCs w:val="21"/>
          <w:rtl/>
        </w:rPr>
        <w:t xml:space="preserve">نماذج النشاط (ب5) تضم الآن الاستغاثة والحوادث والمسافر في المحطة وإلغاء الناقل لرحلة.</w:t>
      </w:r>
    </w:p>
    <w:p>
      <w:pPr>
        <w:pStyle w:val="ListParagraph"/>
        <w:numPr>
          <w:ilvl w:val="0"/>
          <w:numId w:val="2"/>
        </w:numPr>
        <w:bidi/>
        <w:spacing w:after="80" w:line="290"/>
        <w:jc w:val="right"/>
      </w:pPr>
      <w:r>
        <w:rPr>
          <w:rFonts w:ascii="Arial" w:cs="Arial" w:eastAsia="Arial" w:hAnsi="Arial"/>
          <w:color w:val="0F1B2D"/>
          <w:sz w:val="21"/>
          <w:szCs w:val="21"/>
          <w:rtl/>
        </w:rPr>
        <w:t xml:space="preserve">مواصفة الواجهات (ج4) مكتملة: الخط الأساسي يضم مسارات الصورة والمحطات والشاشات.</w:t>
      </w:r>
    </w:p>
    <w:p>
      <w:pPr>
        <w:pStyle w:val="ListParagraph"/>
        <w:numPr>
          <w:ilvl w:val="0"/>
          <w:numId w:val="2"/>
        </w:numPr>
        <w:bidi/>
        <w:spacing w:after="80" w:line="290"/>
        <w:jc w:val="right"/>
      </w:pPr>
      <w:r>
        <w:rPr>
          <w:rFonts w:ascii="Arial" w:cs="Arial" w:eastAsia="Arial" w:hAnsi="Arial"/>
          <w:color w:val="0F1B2D"/>
          <w:sz w:val="21"/>
          <w:szCs w:val="21"/>
          <w:rtl/>
        </w:rPr>
        <w:t xml:space="preserve">أُضيف إلى القسم ز قراران للمالك والجهات الرسمية: القيم الضريبية ومواصفة الإرسال (ز6)، وقرار غرامة الإلغاء (ز7).</w:t>
      </w:r>
    </w:p>
    <w:p>
      <w:pPr>
        <w:pStyle w:val="Heading1"/>
        <w:keepNext/>
        <w:pBdr>
          <w:bottom w:val="single" w:color="0A5BD3" w:sz="10" w:space="4"/>
        </w:pBdr>
        <w:bidi/>
        <w:spacing w:after="160" w:before="360"/>
        <w:jc w:val="right"/>
      </w:pPr>
      <w:r>
        <w:rPr>
          <w:rFonts w:ascii="Arial" w:cs="Arial" w:eastAsia="Arial" w:hAnsi="Arial"/>
          <w:b/>
          <w:bCs/>
          <w:color w:val="0B1F3F"/>
          <w:sz w:val="30"/>
          <w:szCs w:val="30"/>
          <w:rtl/>
        </w:rPr>
        <w:t xml:space="preserve">3. السجل</w:t>
      </w:r>
    </w:p>
    <w:p>
      <w:pPr>
        <w:pStyle w:val="Heading2"/>
        <w:keepNext/>
        <w:bidi/>
        <w:spacing w:after="100" w:before="240"/>
        <w:jc w:val="right"/>
      </w:pPr>
      <w:r>
        <w:rPr>
          <w:rFonts w:ascii="Arial" w:cs="Arial" w:eastAsia="Arial" w:hAnsi="Arial"/>
          <w:b/>
          <w:bCs/>
          <w:color w:val="0A5BD3"/>
          <w:sz w:val="24"/>
          <w:szCs w:val="24"/>
          <w:rtl/>
        </w:rPr>
        <w:t xml:space="preserve">أ. المتطلبات والأعمال</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8"/>
        <w:gridCol w:w="1735"/>
        <w:gridCol w:w="1735"/>
        <w:gridCol w:w="1060"/>
        <w:gridCol w:w="2410"/>
        <w:gridCol w:w="2120"/>
      </w:tblGrid>
      <w:tr>
        <w:trPr>
          <w:tblHeader/>
        </w:trPr>
        <w:tc>
          <w:tcPr>
            <w:tcW w:type="dxa" w:w="578"/>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الرقم</w:t>
            </w:r>
          </w:p>
        </w:tc>
        <w:tc>
          <w:tcPr>
            <w:tcW w:type="dxa" w:w="1735"/>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الوثيقة</w:t>
            </w:r>
          </w:p>
        </w:tc>
        <w:tc>
          <w:tcPr>
            <w:tcW w:type="dxa" w:w="1735"/>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الغرض</w:t>
            </w:r>
          </w:p>
        </w:tc>
        <w:tc>
          <w:tcPr>
            <w:tcW w:type="dxa" w:w="106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الحالة</w:t>
            </w:r>
          </w:p>
        </w:tc>
        <w:tc>
          <w:tcPr>
            <w:tcW w:type="dxa" w:w="241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المكان الحالي</w:t>
            </w:r>
          </w:p>
        </w:tc>
        <w:tc>
          <w:tcPr>
            <w:tcW w:type="dxa" w:w="212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ما يلزم لإكمالها</w:t>
            </w:r>
          </w:p>
        </w:tc>
      </w:tr>
      <w:tr>
        <w:trPr>
          <w:cantSplit/>
        </w:trPr>
        <w:tc>
          <w:tcPr>
            <w:tcW w:type="dxa" w:w="57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أ1</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دراسة التحليل والتصميم (متطلبات الأعمال والنظام)</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الخدمات والأدوار والقواعد والوحدات</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مكتملة</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docs/Masslak_Analysis_and_Design_EN_v3.9.docx والنسخة العربية 3.9؛ تغطي حتى ملف القاعدة 1136: ما في 3.9 (طبقة التطبيق كما بُنيت باللغات والأطر وحجم الشيفرة وضوابط الجودة، والرد بنداً بنداً على مراجعة خبير الأنظمة للإصدار 3.8)، وما في 3.8 (نقل البضائع والحاويات بالشاحنات مع بوالص الشحن والإرساليات وفواتير النقل ومذكرة الشحن وبيان TCN، وحجز أموال الرحلة الفائتة حتى تنتهي مهلة التعديل)، وما في 3.7 (الرحلات غير المباشرة عبر عدة ناقلين مع الموافقة على المخاطر وتعديل الحجز)، وما في 3.6 (اعرف عميلك للشركات، والشعارات وأرقام الرحلات، والرحلات المنتظمة، وأنماط الحجز والمجموعات والمقاعد في كل رحلة، والاستئجار مع العربون، وشاشات المغادرة والوصول وربطها برمز قصير، والتقسيم الإداري لسوريا مع المسح الميداني والحدود والأسماء المصحّحة والخريطة، وشاشات إعدادات الصورة)، وما في 3.5</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تحديثها مع كل إصدار؛ وتحيل إلى وثائق هذه الحزمة</w:t>
            </w:r>
          </w:p>
        </w:tc>
      </w:tr>
      <w:tr>
        <w:trPr>
          <w:cantSplit/>
        </w:trPr>
        <w:tc>
          <w:tcPr>
            <w:tcW w:type="dxa" w:w="57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أ2</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مواصفات متطلبات البرمجيات (SRS)</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متطلبات مرقّمة قابلة للتتبع والقبول</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أُعدّت في هذه الحزمة</w:t>
            </w:r>
          </w:p>
        </w:tc>
        <w:tc>
          <w:tcPr>
            <w:tcW w:type="dxa" w:w="241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docs/readiness/Masslak_Software_Requirements_Specification_AR_v1.1.docx: 220 متطلباً وظيفياً و32 غير وظيفي (خط أساس كما بُني، حتى ملف القاعدة 1112)</w:t>
            </w:r>
          </w:p>
        </w:tc>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صياغة متطلبات أولوية الإطلاق بصيغة «يجب أن» مع شروطها؛ وقرار المالك في أولوية ما «يحدده المالك»</w:t>
            </w:r>
          </w:p>
        </w:tc>
      </w:tr>
      <w:tr>
        <w:trPr>
          <w:cantSplit/>
        </w:trPr>
        <w:tc>
          <w:tcPr>
            <w:tcW w:type="dxa" w:w="57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أ3</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مصفوفة تتبع المتطلبات (RTM)</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ربط كل متطلب بحالة استخدام وعملية ودليل واختبار وسيناريو قبول</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أُعدّت في هذه الحزمة</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docs/readiness/Masslak_Requirements_Traceability_Matrix_AR_v1.1.xlsx</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تحديثها مع كل إصدار</w:t>
            </w:r>
          </w:p>
        </w:tc>
      </w:tr>
      <w:tr>
        <w:trPr>
          <w:cantSplit/>
        </w:trPr>
        <w:tc>
          <w:tcPr>
            <w:tcW w:type="dxa" w:w="57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أ4</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كتالوج قواعد الأعمال</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القواعد المفروضة ورموز أخطائها ومكان تطبيقها</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أُعدّت في هذه الحزمة</w:t>
            </w:r>
          </w:p>
        </w:tc>
        <w:tc>
          <w:tcPr>
            <w:tcW w:type="dxa" w:w="241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docs/readiness/Masslak_Business_Rules_Catalog_AR_v1.1.docx والملف المرافق xlsx: 350 قاعدة في القاعدة، و504 في الخادم، و1603 قيود</w:t>
            </w:r>
          </w:p>
        </w:tc>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إعادة الاستخراج بعد كل إصدار؛ ومراجعة القواعد التي في الخادم وحده</w:t>
            </w:r>
          </w:p>
        </w:tc>
      </w:tr>
      <w:tr>
        <w:trPr>
          <w:cantSplit/>
        </w:trPr>
        <w:tc>
          <w:tcPr>
            <w:tcW w:type="dxa" w:w="57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أ5</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مسرد المصطلحات</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معنى واحد للمصطلح بين الفرق</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أُعدّت في هذه الحزمة</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الفصل الثامن من ملحق نماذج النظام 1.0</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توسيعه بمصطلحات الدراسة 3.5 (محطات الصعود والصورة والولاء)</w:t>
            </w:r>
          </w:p>
        </w:tc>
      </w:tr>
    </w:tbl>
    <w:p>
      <w:pPr>
        <w:pStyle w:val="Heading2"/>
        <w:keepNext/>
        <w:bidi/>
        <w:spacing w:after="100" w:before="240"/>
        <w:jc w:val="right"/>
      </w:pPr>
      <w:r>
        <w:rPr>
          <w:rFonts w:ascii="Arial" w:cs="Arial" w:eastAsia="Arial" w:hAnsi="Arial"/>
          <w:b/>
          <w:bCs/>
          <w:color w:val="0A5BD3"/>
          <w:sz w:val="24"/>
          <w:szCs w:val="24"/>
          <w:rtl/>
        </w:rPr>
        <w:t xml:space="preserve">ب. نماذج التحليل</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8"/>
        <w:gridCol w:w="1735"/>
        <w:gridCol w:w="1735"/>
        <w:gridCol w:w="1060"/>
        <w:gridCol w:w="2410"/>
        <w:gridCol w:w="2120"/>
      </w:tblGrid>
      <w:tr>
        <w:trPr>
          <w:tblHeader/>
        </w:trPr>
        <w:tc>
          <w:tcPr>
            <w:tcW w:type="dxa" w:w="578"/>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الرقم</w:t>
            </w:r>
          </w:p>
        </w:tc>
        <w:tc>
          <w:tcPr>
            <w:tcW w:type="dxa" w:w="1735"/>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الوثيقة</w:t>
            </w:r>
          </w:p>
        </w:tc>
        <w:tc>
          <w:tcPr>
            <w:tcW w:type="dxa" w:w="1735"/>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الغرض</w:t>
            </w:r>
          </w:p>
        </w:tc>
        <w:tc>
          <w:tcPr>
            <w:tcW w:type="dxa" w:w="106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الحالة</w:t>
            </w:r>
          </w:p>
        </w:tc>
        <w:tc>
          <w:tcPr>
            <w:tcW w:type="dxa" w:w="241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المكان الحالي</w:t>
            </w:r>
          </w:p>
        </w:tc>
        <w:tc>
          <w:tcPr>
            <w:tcW w:type="dxa" w:w="212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ما يلزم لإكمالها</w:t>
            </w:r>
          </w:p>
        </w:tc>
      </w:tr>
      <w:tr>
        <w:trPr>
          <w:cantSplit/>
        </w:trPr>
        <w:tc>
          <w:tcPr>
            <w:tcW w:type="dxa" w:w="57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ب1</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مخططات حالات الاستخدام ومواصفاتها</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من يستخدم المنصة، ولأي غرض، وما بُني من ذلك</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أُعدّت في هذه الحزمة</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docs/readiness/Masslak_Use_Case_and_Data_Flow_Diagrams_AR_v2.1.docx: 18 مخططاً و220 حالة، لكل منها حالة بناء ودليل من النظام، حتى ملف القاعدة 1112</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مراجعة الجهة المختصة؛ ويحل محل الإصدار 2.0 والوثيقة 1.0 والملحق</w:t>
            </w:r>
          </w:p>
        </w:tc>
      </w:tr>
      <w:tr>
        <w:trPr>
          <w:cantSplit/>
        </w:trPr>
        <w:tc>
          <w:tcPr>
            <w:tcW w:type="dxa" w:w="57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ب2</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مخططات تدفق البيانات (DFD)</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حركة البيانات بين الفاعلين والعمليات والمخازن</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أُعدّت في هذه الحزمة</w:t>
            </w:r>
          </w:p>
        </w:tc>
        <w:tc>
          <w:tcPr>
            <w:tcW w:type="dxa" w:w="241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الوثيقة نفسها: السياق، وثلاثة مخططات من المستوى الأول، و13 من المستوى الثاني، والمخازن D1 إلى D23 بجداول القاعدة</w:t>
            </w:r>
          </w:p>
        </w:tc>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إعادة رسم مخططات المستوى الثاني القديمة كما بُنيت عند بناء ما تبقى منها</w:t>
            </w:r>
          </w:p>
        </w:tc>
      </w:tr>
      <w:tr>
        <w:trPr>
          <w:cantSplit/>
        </w:trPr>
        <w:tc>
          <w:tcPr>
            <w:tcW w:type="dxa" w:w="57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ب3</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مخططات الحالات</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دورة حياة الكيانات وانتقالاتها المسموحة</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أُعدّت في هذه الحزمة</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docs/readiness/Masslak_Behaviour_Models_AR_v1.1.docx: 24 مخططاً لتسعة عشر كياناً، مع مكان فرض كل انتقال</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إضافة كيانات أخرى عند بنائها</w:t>
            </w:r>
          </w:p>
        </w:tc>
      </w:tr>
      <w:tr>
        <w:trPr>
          <w:cantSplit/>
        </w:trPr>
        <w:tc>
          <w:tcPr>
            <w:tcW w:type="dxa" w:w="57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ب4</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مخططات التسلسل</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ترتيب الرسائل بين المستخدم والتطبيق والخادم والقاعدة</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أُعدّت في هذه الحزمة</w:t>
            </w:r>
          </w:p>
        </w:tc>
        <w:tc>
          <w:tcPr>
            <w:tcW w:type="dxa" w:w="241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الوثيقة نفسها: عشرة مخططات (الحجز، الصعود، الإلغاء، البيان، السحب، الصورة، صلاحيات المحطات، التسجيل والصعود في المحطة، إلغاء الناقل لرحلة، قسيمة الشريك)</w:t>
            </w:r>
          </w:p>
        </w:tc>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r>
      <w:tr>
        <w:trPr>
          <w:cantSplit/>
        </w:trPr>
        <w:tc>
          <w:tcPr>
            <w:tcW w:type="dxa" w:w="57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ب5</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العمليات التشغيلية (BPMN أو مخططات النشاط)</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خطوات العمل اليومية</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مكتملة جزئياً</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الوثيقة نفسها: تسعة مخططات نشاط (الكاونتر والتوريد، الصعود، الدفع اللاحق، تسجيل الناقل، سياسة الصورة، الإقفال المالي، الاستغاثة والحوادث، المسافر في المحطة، إلغاء الناقل لرحلة)</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معالجة الشكوى حتى التعويض، وما بعد الاستغاثة خارج النظام: مع فرق التشغيل والدعم</w:t>
            </w:r>
          </w:p>
        </w:tc>
      </w:tr>
    </w:tbl>
    <w:p>
      <w:pPr>
        <w:pStyle w:val="Heading2"/>
        <w:keepNext/>
        <w:bidi/>
        <w:spacing w:after="100" w:before="240"/>
        <w:jc w:val="right"/>
      </w:pPr>
      <w:r>
        <w:rPr>
          <w:rFonts w:ascii="Arial" w:cs="Arial" w:eastAsia="Arial" w:hAnsi="Arial"/>
          <w:b/>
          <w:bCs/>
          <w:color w:val="0A5BD3"/>
          <w:sz w:val="24"/>
          <w:szCs w:val="24"/>
          <w:rtl/>
        </w:rPr>
        <w:t xml:space="preserve">ج. التصميم</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8"/>
        <w:gridCol w:w="1735"/>
        <w:gridCol w:w="1735"/>
        <w:gridCol w:w="1060"/>
        <w:gridCol w:w="2410"/>
        <w:gridCol w:w="2120"/>
      </w:tblGrid>
      <w:tr>
        <w:trPr>
          <w:tblHeader/>
        </w:trPr>
        <w:tc>
          <w:tcPr>
            <w:tcW w:type="dxa" w:w="578"/>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الرقم</w:t>
            </w:r>
          </w:p>
        </w:tc>
        <w:tc>
          <w:tcPr>
            <w:tcW w:type="dxa" w:w="1735"/>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الوثيقة</w:t>
            </w:r>
          </w:p>
        </w:tc>
        <w:tc>
          <w:tcPr>
            <w:tcW w:type="dxa" w:w="1735"/>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الغرض</w:t>
            </w:r>
          </w:p>
        </w:tc>
        <w:tc>
          <w:tcPr>
            <w:tcW w:type="dxa" w:w="106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الحالة</w:t>
            </w:r>
          </w:p>
        </w:tc>
        <w:tc>
          <w:tcPr>
            <w:tcW w:type="dxa" w:w="241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المكان الحالي</w:t>
            </w:r>
          </w:p>
        </w:tc>
        <w:tc>
          <w:tcPr>
            <w:tcW w:type="dxa" w:w="212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ما يلزم لإكمالها</w:t>
            </w:r>
          </w:p>
        </w:tc>
      </w:tr>
      <w:tr>
        <w:trPr>
          <w:cantSplit/>
        </w:trPr>
        <w:tc>
          <w:tcPr>
            <w:tcW w:type="dxa" w:w="57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ج1</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وثيقة البنية المعمارية</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الطبقات والوحدات وتكامل القاعدة والأمن</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مكتملة</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docs/architecture/ARCHITECTURE.md</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مراجعة فقط</w:t>
            </w:r>
          </w:p>
        </w:tc>
      </w:tr>
      <w:tr>
        <w:trPr>
          <w:cantSplit/>
        </w:trPr>
        <w:tc>
          <w:tcPr>
            <w:tcW w:type="dxa" w:w="57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ج2</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تصميم قاعدة البيانات ومخططات ERD</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الجداول والعلاقات والقيود</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مكتملة</w:t>
            </w:r>
          </w:p>
        </w:tc>
        <w:tc>
          <w:tcPr>
            <w:tcW w:type="dxa" w:w="241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docs/database/Masslak_Database_Design_and_ERD_v3.18.docx: حتى ملف القاعدة 1136، 26 مخطط قاعدة (schema) و560 جدولاً و1,667 مفتاحاً أجنبياً و49 مخطط ERD للوحدات، مع أدلة تحقق من بناء جديد؛ ويعدّ جدول المخططات فيه كل المخططات مع صف مجموع</w:t>
            </w:r>
          </w:p>
        </w:tc>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يُعاد توليدها مع كل تغيير في القاعدة</w:t>
            </w:r>
          </w:p>
        </w:tc>
      </w:tr>
      <w:tr>
        <w:trPr>
          <w:cantSplit/>
        </w:trPr>
        <w:tc>
          <w:tcPr>
            <w:tcW w:type="dxa" w:w="57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ج3</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قاموس البيانات</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كل جدول وعمود وقيد</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مكتملة</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db/DATA_DICTIONARY.md، يولَّد من القاعدة: 560 جدولاً و5,922 عموداً في 26 مخططاً</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r>
      <w:tr>
        <w:trPr>
          <w:cantSplit/>
        </w:trPr>
        <w:tc>
          <w:tcPr>
            <w:tcW w:type="dxa" w:w="57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ج4</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مواصفة الواجهات البرمجية (API)</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المسارات والطلبات والردود</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مكتملة</w:t>
            </w:r>
          </w:p>
        </w:tc>
        <w:tc>
          <w:tcPr>
            <w:tcW w:type="dxa" w:w="241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docs/api/openapi-baseline.json وdocs/api/API_CHANGES.md: 588 عملية للموقع والتطبيقات و34 في الواجهة العامة v1 للشركاء</w:t>
            </w:r>
          </w:p>
        </w:tc>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r>
      <w:tr>
        <w:trPr>
          <w:cantSplit/>
        </w:trPr>
        <w:tc>
          <w:tcPr>
            <w:tcW w:type="dxa" w:w="57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ج5</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التكامل والأحداث</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الأحداث الصادرة، والواجهة العامة للشركاء والجهات</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مكتملة جزئياً</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docs/integration/EVENTS.md</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عقود المزودين ومواصفاتهم: الدفع الإلكتروني، التحقق من الهوية، الجهات الرسمية</w:t>
            </w:r>
          </w:p>
        </w:tc>
      </w:tr>
      <w:tr>
        <w:trPr>
          <w:cantSplit/>
        </w:trPr>
        <w:tc>
          <w:tcPr>
            <w:tcW w:type="dxa" w:w="57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ج6</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تصميم الواجهات وتجربة المستخدم</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نظام التصميم والنماذج الأولية للشاشات</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مكتملة جزئياً</w:t>
            </w:r>
          </w:p>
        </w:tc>
        <w:tc>
          <w:tcPr>
            <w:tcW w:type="dxa" w:w="241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docs/design؛ وشاشات محطات الصعود مبنية وروجعت تصميمياً (docs/design/STATION_SCREENS_REVIEW.md): عشرون ملاحظة، أُصلحت منها خمس عشرة (ملف القاعدة 1113)، ونُفّذت قرارات المالك بعدها (الملفان 1114 و1115): الصعود برقم التذكرة ومرجع الحجز، وتناوب العربية والإنجليزية على الشاشة، وتخصيص المواقف من إدارة المحطة، وشعارات الشركات، وأرقام الرحلات القصيرة (TRIP_NUMBERS.md)؛ وبروتوكول الاختبار مع المستخدمين جاهز (STATION_USER_TESTING.md)</w:t>
            </w:r>
          </w:p>
        </w:tc>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جلسات الاختبار مع مستخدمين فعليين في المحطة التجريبية (7 إلى 18 كانون الأول 2026)، وشاشات سياسة الصورة</w:t>
            </w:r>
          </w:p>
        </w:tc>
      </w:tr>
      <w:tr>
        <w:trPr>
          <w:cantSplit/>
        </w:trPr>
        <w:tc>
          <w:tcPr>
            <w:tcW w:type="dxa" w:w="57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ج7</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تصميم الأمن ونموذج التهديد وتقييم الأثر</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الضوابط والتهديدات ومعالجاتها</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مسودة تنتظر الاعتماد</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قسم الأمن في ARCHITECTURE.md؛ تقييم أثر المساعد الذكي؛ ونطاق اختبار الاختراق؛ وdocs/readiness/Masslak_DPIA_Boarding_Photo_AR_v0.2.docx (ومنه صورة الكاونتر)</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اعتماد تقييم أثر صورة الصعود من مسؤول حماية البيانات قبل تشغيلها</w:t>
            </w:r>
          </w:p>
        </w:tc>
      </w:tr>
    </w:tbl>
    <w:p>
      <w:pPr>
        <w:pStyle w:val="Heading2"/>
        <w:keepNext/>
        <w:bidi/>
        <w:spacing w:after="100" w:before="240"/>
        <w:jc w:val="right"/>
      </w:pPr>
      <w:r>
        <w:rPr>
          <w:rFonts w:ascii="Arial" w:cs="Arial" w:eastAsia="Arial" w:hAnsi="Arial"/>
          <w:b/>
          <w:bCs/>
          <w:color w:val="0A5BD3"/>
          <w:sz w:val="24"/>
          <w:szCs w:val="24"/>
          <w:rtl/>
        </w:rPr>
        <w:t xml:space="preserve">د. الجودة والقبول</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8"/>
        <w:gridCol w:w="1735"/>
        <w:gridCol w:w="1735"/>
        <w:gridCol w:w="1060"/>
        <w:gridCol w:w="2410"/>
        <w:gridCol w:w="2120"/>
      </w:tblGrid>
      <w:tr>
        <w:trPr>
          <w:tblHeader/>
        </w:trPr>
        <w:tc>
          <w:tcPr>
            <w:tcW w:type="dxa" w:w="578"/>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الرقم</w:t>
            </w:r>
          </w:p>
        </w:tc>
        <w:tc>
          <w:tcPr>
            <w:tcW w:type="dxa" w:w="1735"/>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الوثيقة</w:t>
            </w:r>
          </w:p>
        </w:tc>
        <w:tc>
          <w:tcPr>
            <w:tcW w:type="dxa" w:w="1735"/>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الغرض</w:t>
            </w:r>
          </w:p>
        </w:tc>
        <w:tc>
          <w:tcPr>
            <w:tcW w:type="dxa" w:w="106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الحالة</w:t>
            </w:r>
          </w:p>
        </w:tc>
        <w:tc>
          <w:tcPr>
            <w:tcW w:type="dxa" w:w="241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المكان الحالي</w:t>
            </w:r>
          </w:p>
        </w:tc>
        <w:tc>
          <w:tcPr>
            <w:tcW w:type="dxa" w:w="212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ما يلزم لإكمالها</w:t>
            </w:r>
          </w:p>
        </w:tc>
      </w:tr>
      <w:tr>
        <w:trPr>
          <w:cantSplit/>
        </w:trPr>
        <w:tc>
          <w:tcPr>
            <w:tcW w:type="dxa" w:w="57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د1</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استراتيجية الاختبار وخطة القبول</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مستويات الاختبار، ومعايير الدخول والخروج، وسيناريوهات القبول</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أُعدّت في هذه الحزمة</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docs/readiness/Masslak_Test_and_Acceptance_Plan_AR_v1.1.docx: 45 سيناريو، منها ثمانية لما بُني حتى ملف القاعدة 1112</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اعتمادها، ثم تنفيذها مع المالك والناقل التجريبي</w:t>
            </w:r>
          </w:p>
        </w:tc>
      </w:tr>
      <w:tr>
        <w:trPr>
          <w:cantSplit/>
        </w:trPr>
        <w:tc>
          <w:tcPr>
            <w:tcW w:type="dxa" w:w="57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د2</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الاختبارات الآلية</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دليل مستمر على سلوك النظام</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مكتملة</w:t>
            </w:r>
          </w:p>
        </w:tc>
        <w:tc>
          <w:tcPr>
            <w:tcW w:type="dxa" w:w="241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db/tests: 924 فحصاً؛ backend/tests: 773 اختباراً ناجحاً (تشغيل التحقق عند الالتزام 921369d، كما في تصميم القاعدة 3.18)؛ فحوص الويب والجوال وإتاحة الشاشات بالعربية والإنجليزية في CI</w:t>
            </w:r>
          </w:p>
        </w:tc>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r>
      <w:tr>
        <w:trPr>
          <w:cantSplit/>
        </w:trPr>
        <w:tc>
          <w:tcPr>
            <w:tcW w:type="dxa" w:w="57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د3</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الأداء والسعة</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قدرة النظام على الحمل المتوقع</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مكتملة جزئياً</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docs/operations/CAPACITY_MODEL.md وPERFORMANCE_BASELINE.md، وأدوات اختبار الحمل، ومنها سيناريو 10,000 مستخدم متزامن بزمن تفكير (backend/loadtest/users.py) يحكم على أهداف SLO</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قياس على بيئة ما قبل الإنتاج عند الذروة وضعفيها، وتشغيل سيناريو 10,000 مستخدم عليها</w:t>
            </w:r>
          </w:p>
        </w:tc>
      </w:tr>
      <w:tr>
        <w:trPr>
          <w:cantSplit/>
        </w:trPr>
        <w:tc>
          <w:tcPr>
            <w:tcW w:type="dxa" w:w="57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د4</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اختبار الاختراق</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فحص مستقل للأمن</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ناقصة</w:t>
            </w:r>
          </w:p>
        </w:tc>
        <w:tc>
          <w:tcPr>
            <w:tcW w:type="dxa" w:w="241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النطاق في docs/security/PENETRATION_TEST_SCOPE.md</w:t>
            </w:r>
          </w:p>
        </w:tc>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تنفيذه بجهة مستقلة قبل الإطلاق العام</w:t>
            </w:r>
          </w:p>
        </w:tc>
      </w:tr>
      <w:tr>
        <w:trPr>
          <w:cantSplit/>
        </w:trPr>
        <w:tc>
          <w:tcPr>
            <w:tcW w:type="dxa" w:w="57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د5</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محاضر قبول المستخدم (UAT)</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توقيع المالك والمستخدمين على السيناريوهات</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ناقصة</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النموذج في خطة القبول</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تُملأ أثناء القبول والمرحلة التجريبية</w:t>
            </w:r>
          </w:p>
        </w:tc>
      </w:tr>
      <w:tr>
        <w:trPr>
          <w:cantSplit/>
        </w:trPr>
        <w:tc>
          <w:tcPr>
            <w:tcW w:type="dxa" w:w="57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د6</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المراجعة المستقلة دون الوصول إلى المستودع</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رأي مراجع مستقل في الوثائق وأدلة الاختبار من التزام واحد</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مكتملة جزئياً</w:t>
            </w:r>
          </w:p>
        </w:tc>
        <w:tc>
          <w:tcPr>
            <w:tcW w:type="dxa" w:w="241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الرد الموحّد على تقارير التقييم الأربعة 1.1 (قرار المالك: تُسلَّم الوثائق ولا تُفتح أي صلاحية على المستودع)؛ التسليم 1 (الالتزام e6dbeb8) وتقرير المراجع عليه (87.1 من 100، غير جاهز للإطلاق العام، جاهز للبناء التشغيلي)؛ والتقرير اللاحق 1.0 والتسليم 2 عند الالتزام 921369d: تصميم القاعدة 3.18 وهذا السجل وحزمة الأدلة نسخة المراجع، من تشغيل واحد، مفحوصة بـ db/tools/check_delivery.py؛ docs/operations/INDEPENDENT_REVIEW.md</w:t>
            </w:r>
          </w:p>
        </w:tc>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إعادة الدراسة على التسليم 2 والمقارنة بالجولة السابقة؛ ثم البوابات الإجرائية والتعاقدية</w:t>
            </w:r>
          </w:p>
        </w:tc>
      </w:tr>
    </w:tbl>
    <w:p>
      <w:pPr>
        <w:pStyle w:val="Heading2"/>
        <w:keepNext/>
        <w:bidi/>
        <w:spacing w:after="100" w:before="240"/>
        <w:jc w:val="right"/>
      </w:pPr>
      <w:r>
        <w:rPr>
          <w:rFonts w:ascii="Arial" w:cs="Arial" w:eastAsia="Arial" w:hAnsi="Arial"/>
          <w:b/>
          <w:bCs/>
          <w:color w:val="0A5BD3"/>
          <w:sz w:val="24"/>
          <w:szCs w:val="24"/>
          <w:rtl/>
        </w:rPr>
        <w:t xml:space="preserve">هـ. التشغيل</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8"/>
        <w:gridCol w:w="1735"/>
        <w:gridCol w:w="1735"/>
        <w:gridCol w:w="1060"/>
        <w:gridCol w:w="2410"/>
        <w:gridCol w:w="2120"/>
      </w:tblGrid>
      <w:tr>
        <w:trPr>
          <w:tblHeader/>
        </w:trPr>
        <w:tc>
          <w:tcPr>
            <w:tcW w:type="dxa" w:w="578"/>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الرقم</w:t>
            </w:r>
          </w:p>
        </w:tc>
        <w:tc>
          <w:tcPr>
            <w:tcW w:type="dxa" w:w="1735"/>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الوثيقة</w:t>
            </w:r>
          </w:p>
        </w:tc>
        <w:tc>
          <w:tcPr>
            <w:tcW w:type="dxa" w:w="1735"/>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الغرض</w:t>
            </w:r>
          </w:p>
        </w:tc>
        <w:tc>
          <w:tcPr>
            <w:tcW w:type="dxa" w:w="106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الحالة</w:t>
            </w:r>
          </w:p>
        </w:tc>
        <w:tc>
          <w:tcPr>
            <w:tcW w:type="dxa" w:w="241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المكان الحالي</w:t>
            </w:r>
          </w:p>
        </w:tc>
        <w:tc>
          <w:tcPr>
            <w:tcW w:type="dxa" w:w="212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ما يلزم لإكمالها</w:t>
            </w:r>
          </w:p>
        </w:tc>
      </w:tr>
      <w:tr>
        <w:trPr>
          <w:cantSplit/>
        </w:trPr>
        <w:tc>
          <w:tcPr>
            <w:tcW w:type="dxa" w:w="57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هـ1</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متطلبات البنية التحتية والاستضافة</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الخوادم والبرمجيات والشبكة</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مكتملة</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docs/operations/INFRASTRUCTURE_REQUIREMENTS.md والنسخة العربية</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r>
      <w:tr>
        <w:trPr>
          <w:cantSplit/>
        </w:trPr>
        <w:tc>
          <w:tcPr>
            <w:tcW w:type="dxa" w:w="57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هـ2</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أدلة التشغيل (Runbooks)</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الإجراءات خطوة بخطوة</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مكتملة</w:t>
            </w:r>
          </w:p>
        </w:tc>
        <w:tc>
          <w:tcPr>
            <w:tcW w:type="dxa" w:w="241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docs/operations/RUNBOOKS.md: 32 قسماً</w:t>
            </w:r>
          </w:p>
        </w:tc>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r>
      <w:tr>
        <w:trPr>
          <w:cantSplit/>
        </w:trPr>
        <w:tc>
          <w:tcPr>
            <w:tcW w:type="dxa" w:w="57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هـ3</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الاستمرارية والتعافي من الكوارث</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التوافر العالي والنسخ والاستعادة</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مكتملة</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docs/operations/HIGH_AVAILABILITY.md؛ RPO 60 ثانية؛ تمارين الاستعادة والتحويل</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تمرين على عتاد الإنتاج نفسه</w:t>
            </w:r>
          </w:p>
        </w:tc>
      </w:tr>
      <w:tr>
        <w:trPr>
          <w:cantSplit/>
        </w:trPr>
        <w:tc>
          <w:tcPr>
            <w:tcW w:type="dxa" w:w="57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هـ4</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مستويات الخدمة والمراقبة</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أهداف الخدمة والتنبيهات</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مكتملة</w:t>
            </w:r>
          </w:p>
        </w:tc>
        <w:tc>
          <w:tcPr>
            <w:tcW w:type="dxa" w:w="241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docs/operations/SLO.md، معتمدة في 8 تشرين الأول 2026</w:t>
            </w:r>
          </w:p>
        </w:tc>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r>
      <w:tr>
        <w:trPr>
          <w:cantSplit/>
        </w:trPr>
        <w:tc>
          <w:tcPr>
            <w:tcW w:type="dxa" w:w="57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هـ5</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بوابات الإطلاق</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معايير الانتقال إلى التشغيل</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مكتملة جزئياً</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docs/operations/LAUNCH_GATES.md</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أدلة البوابات 1 إلى 8 وقرار الإطلاق الموقّع</w:t>
            </w:r>
          </w:p>
        </w:tc>
      </w:tr>
      <w:tr>
        <w:trPr>
          <w:cantSplit/>
        </w:trPr>
        <w:tc>
          <w:tcPr>
            <w:tcW w:type="dxa" w:w="57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هـ6</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ملف الإنتاج وبيئة ما قبل الإنتاج</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ما يُفرض على خادم الإنتاج، وبيئة staging</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مكتملة</w:t>
            </w:r>
          </w:p>
        </w:tc>
        <w:tc>
          <w:tcPr>
            <w:tcW w:type="dxa" w:w="241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docs/operations/PRODUCTION_PROFILE.md وSTAGING.md</w:t>
            </w:r>
          </w:p>
        </w:tc>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r>
      <w:tr>
        <w:trPr>
          <w:cantSplit/>
        </w:trPr>
        <w:tc>
          <w:tcPr>
            <w:tcW w:type="dxa" w:w="57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هـ7</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إدارة الإصدارات والتغيير</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خريطة الإصدارات وخطط ترحيل القاعدة</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مكتملة</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docs/operations/RELEASE_MAP.md وdocs/database/MIGRATION_PLANS.md</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r>
      <w:tr>
        <w:trPr>
          <w:cantSplit/>
        </w:trPr>
        <w:tc>
          <w:tcPr>
            <w:tcW w:type="dxa" w:w="57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هـ8</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الحد الأدنى من الكوادر</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أدوار التشغيل وأعدادها</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مكتملة</w:t>
            </w:r>
          </w:p>
        </w:tc>
        <w:tc>
          <w:tcPr>
            <w:tcW w:type="dxa" w:w="241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docs/operations/STAFFING.md والنسخة العربية</w:t>
            </w:r>
          </w:p>
        </w:tc>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r>
    </w:tbl>
    <w:p>
      <w:pPr>
        <w:pStyle w:val="Heading2"/>
        <w:keepNext/>
        <w:bidi/>
        <w:spacing w:after="100" w:before="240"/>
        <w:jc w:val="right"/>
      </w:pPr>
      <w:r>
        <w:rPr>
          <w:rFonts w:ascii="Arial" w:cs="Arial" w:eastAsia="Arial" w:hAnsi="Arial"/>
          <w:b/>
          <w:bCs/>
          <w:color w:val="0A5BD3"/>
          <w:sz w:val="24"/>
          <w:szCs w:val="24"/>
          <w:rtl/>
        </w:rPr>
        <w:t xml:space="preserve">و. المشروع والحوكمة</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8"/>
        <w:gridCol w:w="1735"/>
        <w:gridCol w:w="1735"/>
        <w:gridCol w:w="1060"/>
        <w:gridCol w:w="2410"/>
        <w:gridCol w:w="2120"/>
      </w:tblGrid>
      <w:tr>
        <w:trPr>
          <w:tblHeader/>
        </w:trPr>
        <w:tc>
          <w:tcPr>
            <w:tcW w:type="dxa" w:w="578"/>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الرقم</w:t>
            </w:r>
          </w:p>
        </w:tc>
        <w:tc>
          <w:tcPr>
            <w:tcW w:type="dxa" w:w="1735"/>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الوثيقة</w:t>
            </w:r>
          </w:p>
        </w:tc>
        <w:tc>
          <w:tcPr>
            <w:tcW w:type="dxa" w:w="1735"/>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الغرض</w:t>
            </w:r>
          </w:p>
        </w:tc>
        <w:tc>
          <w:tcPr>
            <w:tcW w:type="dxa" w:w="106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الحالة</w:t>
            </w:r>
          </w:p>
        </w:tc>
        <w:tc>
          <w:tcPr>
            <w:tcW w:type="dxa" w:w="241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المكان الحالي</w:t>
            </w:r>
          </w:p>
        </w:tc>
        <w:tc>
          <w:tcPr>
            <w:tcW w:type="dxa" w:w="212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ما يلزم لإكمالها</w:t>
            </w:r>
          </w:p>
        </w:tc>
      </w:tr>
      <w:tr>
        <w:trPr>
          <w:cantSplit/>
        </w:trPr>
        <w:tc>
          <w:tcPr>
            <w:tcW w:type="dxa" w:w="57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و1</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الجدول الزمني للتنفيذ</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مراحل التنفيذ ومددها</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مكتملة</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docs/plan/Masslak_Implementation_Timeline_v3.2 (HTML وPDF) والنسخة العربية: ما أُنجز حتى ملف القاعدة 1132 وما بقي؛ الإطلاق التجريبي 4 كانون الثاني 2027 والإطلاق العام 22 آذار 2027 إذا اكتملت مدخلات المالك بحلول 13 تشرين الثاني 2026</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تحديثه مع كل تأخير في المدخلات أو العقود أو الجهات</w:t>
            </w:r>
          </w:p>
        </w:tc>
      </w:tr>
      <w:tr>
        <w:trPr>
          <w:cantSplit/>
        </w:trPr>
        <w:tc>
          <w:tcPr>
            <w:tcW w:type="dxa" w:w="57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و2</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مصفوفة المسؤوليات (RACI)</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من يقرر ومن ينفذ ومن يُستشار ومن يُبلَّغ</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مسودة تنتظر الاعتماد</w:t>
            </w:r>
          </w:p>
        </w:tc>
        <w:tc>
          <w:tcPr>
            <w:tcW w:type="dxa" w:w="241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docs/readiness/Masslak_RACI_Matrix_AR_v0.2.docx: 25 نشاطاً و9 أدوار</w:t>
            </w:r>
          </w:p>
        </w:tc>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أسماء الأشخاص ونوابهم، ومسار التصعيد</w:t>
            </w:r>
          </w:p>
        </w:tc>
      </w:tr>
      <w:tr>
        <w:trPr>
          <w:cantSplit/>
        </w:trPr>
        <w:tc>
          <w:tcPr>
            <w:tcW w:type="dxa" w:w="57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و3</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دراسة الجدوى</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المبررات المالية والاستثمارية</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مكتملة</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الدراسة العربية المسلّمة</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r>
      <w:tr>
        <w:trPr>
          <w:cantSplit/>
        </w:trPr>
        <w:tc>
          <w:tcPr>
            <w:tcW w:type="dxa" w:w="57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و4</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خطة التدريب ومواده</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تدريب كل دور على ما يخصه</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مسودة تنتظر الاعتماد</w:t>
            </w:r>
          </w:p>
        </w:tc>
        <w:tc>
          <w:tcPr>
            <w:tcW w:type="dxa" w:w="241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docs/readiness/Masslak_Training_Plan_AR_v0.2.docx: عشرة مسارات بمعايير اجتياز؛ ودليل المستخدم العربي المسلّم</w:t>
            </w:r>
          </w:p>
        </w:tc>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تحديث دليل المستخدم بالميزات الأخيرة، واعتماد المدد</w:t>
            </w:r>
          </w:p>
        </w:tc>
      </w:tr>
      <w:tr>
        <w:trPr>
          <w:cantSplit/>
        </w:trPr>
        <w:tc>
          <w:tcPr>
            <w:tcW w:type="dxa" w:w="57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و5</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خطة التحميل الأولي للبيانات</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إدخال المرجعيات والناقلين والمحطات والأسطول والشبكة</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مسودة تنتظر الاعتماد</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docs/readiness/Masslak_Initial_Data_Load_Plan_AR_v0.2.docx: ترتيب 14 نوع بيانات بمصدره وأداته وتحققه، مع أداة التحميل الجماعي</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قوائم المصادر الأولى، وملفات CSV لكل ناقل</w:t>
            </w:r>
          </w:p>
        </w:tc>
      </w:tr>
    </w:tbl>
    <w:p>
      <w:pPr>
        <w:pStyle w:val="Heading2"/>
        <w:keepNext/>
        <w:bidi/>
        <w:spacing w:after="100" w:before="240"/>
        <w:jc w:val="right"/>
      </w:pPr>
      <w:r>
        <w:rPr>
          <w:rFonts w:ascii="Arial" w:cs="Arial" w:eastAsia="Arial" w:hAnsi="Arial"/>
          <w:b/>
          <w:bCs/>
          <w:color w:val="0A5BD3"/>
          <w:sz w:val="24"/>
          <w:szCs w:val="24"/>
          <w:rtl/>
        </w:rPr>
        <w:t xml:space="preserve">ز. القانون والتنظيم</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8"/>
        <w:gridCol w:w="1735"/>
        <w:gridCol w:w="1735"/>
        <w:gridCol w:w="1060"/>
        <w:gridCol w:w="2410"/>
        <w:gridCol w:w="2120"/>
      </w:tblGrid>
      <w:tr>
        <w:trPr>
          <w:tblHeader/>
        </w:trPr>
        <w:tc>
          <w:tcPr>
            <w:tcW w:type="dxa" w:w="578"/>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الرقم</w:t>
            </w:r>
          </w:p>
        </w:tc>
        <w:tc>
          <w:tcPr>
            <w:tcW w:type="dxa" w:w="1735"/>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الوثيقة</w:t>
            </w:r>
          </w:p>
        </w:tc>
        <w:tc>
          <w:tcPr>
            <w:tcW w:type="dxa" w:w="1735"/>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الغرض</w:t>
            </w:r>
          </w:p>
        </w:tc>
        <w:tc>
          <w:tcPr>
            <w:tcW w:type="dxa" w:w="106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الحالة</w:t>
            </w:r>
          </w:p>
        </w:tc>
        <w:tc>
          <w:tcPr>
            <w:tcW w:type="dxa" w:w="241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المكان الحالي</w:t>
            </w:r>
          </w:p>
        </w:tc>
        <w:tc>
          <w:tcPr>
            <w:tcW w:type="dxa" w:w="212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ما يلزم لإكمالها</w:t>
            </w:r>
          </w:p>
        </w:tc>
      </w:tr>
      <w:tr>
        <w:trPr>
          <w:cantSplit/>
        </w:trPr>
        <w:tc>
          <w:tcPr>
            <w:tcW w:type="dxa" w:w="57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ز1</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سياسة الخصوصية وشروط الاستخدام ونماذج الاتفاقيات</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الأساس التعاقدي مع المسافر والناقل والوكيل وشركة التشغيل</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مدخل من المالك</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صياغة قانونية واعتماد</w:t>
            </w:r>
          </w:p>
        </w:tc>
      </w:tr>
      <w:tr>
        <w:trPr>
          <w:cantSplit/>
        </w:trPr>
        <w:tc>
          <w:tcPr>
            <w:tcW w:type="dxa" w:w="57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ز2</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المستند القانوني لصورة الصعود ولصورة الكاونتر</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شرط تشغيل الميزة</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مدخل من المالك</w:t>
            </w:r>
          </w:p>
        </w:tc>
        <w:tc>
          <w:tcPr>
            <w:tcW w:type="dxa" w:w="241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الميزتان مغلقتان؛ صورة الكاونتر دور خامس لا يُفعَّل إلا بتغيير يسجّل رقم المستند القانوني (1111)</w:t>
            </w:r>
          </w:p>
        </w:tc>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المستند ورقمه، يُسجَّل عند الاعتماد</w:t>
            </w:r>
          </w:p>
        </w:tc>
      </w:tr>
      <w:tr>
        <w:trPr>
          <w:cantSplit/>
        </w:trPr>
        <w:tc>
          <w:tcPr>
            <w:tcW w:type="dxa" w:w="57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ز3</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قائمة التراخيص وصيغة ترقيم المراجع</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ما يجب أن يحمله الناقل من أرقام</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مدخل من المالك</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الحقول قائمة واختيارية</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القائمة والصيغة من الجهات المختصة</w:t>
            </w:r>
          </w:p>
        </w:tc>
      </w:tr>
      <w:tr>
        <w:trPr>
          <w:cantSplit/>
        </w:trPr>
        <w:tc>
          <w:tcPr>
            <w:tcW w:type="dxa" w:w="57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ز4</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قيم نافذة الصعود الرسمية</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متى يفتح الكاونتر ويغلق قبل المغادرة</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مدخل من المالك</w:t>
            </w:r>
          </w:p>
        </w:tc>
        <w:tc>
          <w:tcPr>
            <w:tcW w:type="dxa" w:w="241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الإعداد قائم وفارغ</w:t>
            </w:r>
          </w:p>
        </w:tc>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القيم من الهيئات</w:t>
            </w:r>
          </w:p>
        </w:tc>
      </w:tr>
      <w:tr>
        <w:trPr>
          <w:cantSplit/>
        </w:trPr>
        <w:tc>
          <w:tcPr>
            <w:tcW w:type="dxa" w:w="57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ز5</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عقود مزودي الدفع والرسائل والتحقق من الهوية</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فتح الدفع بالبطاقة والتقسيط والتمويل، والرسائل، والتحقق من الهوية</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مدخل من المالك</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الخيارات مغلقة حتى يُفعَّل مزود</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العقود وإعدادات المزود</w:t>
            </w:r>
          </w:p>
        </w:tc>
      </w:tr>
      <w:tr>
        <w:trPr>
          <w:cantSplit/>
        </w:trPr>
        <w:tc>
          <w:tcPr>
            <w:tcW w:type="dxa" w:w="57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ز6</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الشرائح والنسب الضريبية المعتمدة ومواصفة الإرسال إلى الهيئة الضريبية</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ضرائب الفواتير الإلكترونية وإرسالها</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مدخل من المالك</w:t>
            </w:r>
          </w:p>
        </w:tc>
        <w:tc>
          <w:tcPr>
            <w:tcW w:type="dxa" w:w="241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محرك الضرائب مبني (1108): الإعفاء والصفر والشرائح والضريبة المركبة والضريبة على الضريبة، ويعتمدها المالي</w:t>
            </w:r>
          </w:p>
        </w:tc>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القيم من الهيئة الضريبية، ومواصفة الربط معها</w:t>
            </w:r>
          </w:p>
        </w:tc>
      </w:tr>
      <w:tr>
        <w:trPr>
          <w:cantSplit/>
        </w:trPr>
        <w:tc>
          <w:tcPr>
            <w:tcW w:type="dxa" w:w="57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ز7</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قرار الجهة الناظمة بغرامة إلغاء الرحلة</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متى تُفرض الغرامة على الناقل ولمن تُدفع</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مدخل من المالك</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الإعداد مبني ومعطّل (1106)، ويُفعَّل برقم القرار</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القرار ورقمه إن صدر</w:t>
            </w:r>
          </w:p>
        </w:tc>
      </w:tr>
    </w:tbl>
    <w:p>
      <w:pPr>
        <w:pStyle w:val="Heading1"/>
        <w:keepNext/>
        <w:pBdr>
          <w:bottom w:val="single" w:color="0A5BD3" w:sz="10" w:space="4"/>
        </w:pBdr>
        <w:bidi/>
        <w:spacing w:after="160" w:before="360"/>
        <w:jc w:val="right"/>
      </w:pPr>
      <w:r>
        <w:rPr>
          <w:rFonts w:ascii="Arial" w:cs="Arial" w:eastAsia="Arial" w:hAnsi="Arial"/>
          <w:b/>
          <w:bCs/>
          <w:color w:val="0B1F3F"/>
          <w:sz w:val="30"/>
          <w:szCs w:val="30"/>
          <w:rtl/>
        </w:rPr>
        <w:t xml:space="preserve">4. ترتيب القراءة المقترح للجهة المختصة</w:t>
      </w:r>
    </w:p>
    <w:p>
      <w:pPr>
        <w:pStyle w:val="ListParagraph"/>
        <w:numPr>
          <w:ilvl w:val="0"/>
          <w:numId w:val="3"/>
        </w:numPr>
        <w:bidi/>
        <w:spacing w:after="80" w:line="290"/>
        <w:jc w:val="right"/>
      </w:pPr>
      <w:r>
        <w:rPr>
          <w:rFonts w:ascii="Arial" w:cs="Arial" w:eastAsia="Arial" w:hAnsi="Arial"/>
          <w:color w:val="0F1B2D"/>
          <w:sz w:val="21"/>
          <w:szCs w:val="21"/>
          <w:rtl/>
        </w:rPr>
        <w:t xml:space="preserve">هذا السجل، ثم وثيقة البنية المعمارية (ج1) لفهم الطبقات والوحدات.</w:t>
      </w:r>
    </w:p>
    <w:p>
      <w:pPr>
        <w:pStyle w:val="ListParagraph"/>
        <w:numPr>
          <w:ilvl w:val="0"/>
          <w:numId w:val="3"/>
        </w:numPr>
        <w:bidi/>
        <w:spacing w:after="80" w:line="290"/>
        <w:jc w:val="right"/>
      </w:pPr>
      <w:r>
        <w:rPr>
          <w:rFonts w:ascii="Arial" w:cs="Arial" w:eastAsia="Arial" w:hAnsi="Arial"/>
          <w:color w:val="0F1B2D"/>
          <w:sz w:val="21"/>
          <w:szCs w:val="21"/>
          <w:rtl/>
        </w:rPr>
        <w:t xml:space="preserve">دراسة التحليل والتصميم 3.9 (أ1) للخدمات والأدوار والقواعد، وطبقة التطبيق في القسم 2.9.</w:t>
      </w:r>
    </w:p>
    <w:p>
      <w:pPr>
        <w:pStyle w:val="ListParagraph"/>
        <w:numPr>
          <w:ilvl w:val="0"/>
          <w:numId w:val="3"/>
        </w:numPr>
        <w:bidi/>
        <w:spacing w:after="80" w:line="290"/>
        <w:jc w:val="right"/>
      </w:pPr>
      <w:r>
        <w:rPr>
          <w:rFonts w:ascii="Arial" w:cs="Arial" w:eastAsia="Arial" w:hAnsi="Arial"/>
          <w:color w:val="0F1B2D"/>
          <w:sz w:val="21"/>
          <w:szCs w:val="21"/>
          <w:rtl/>
        </w:rPr>
        <w:t xml:space="preserve">حالات الاستخدام وتدفق البيانات 2.1 (ب1، ب2)، ثم نماذج السلوك (ب3 إلى ب5).</w:t>
      </w:r>
    </w:p>
    <w:p>
      <w:pPr>
        <w:pStyle w:val="ListParagraph"/>
        <w:numPr>
          <w:ilvl w:val="0"/>
          <w:numId w:val="3"/>
        </w:numPr>
        <w:bidi/>
        <w:spacing w:after="80" w:line="290"/>
        <w:jc w:val="right"/>
      </w:pPr>
      <w:r>
        <w:rPr>
          <w:rFonts w:ascii="Arial" w:cs="Arial" w:eastAsia="Arial" w:hAnsi="Arial"/>
          <w:color w:val="0F1B2D"/>
          <w:sz w:val="21"/>
          <w:szCs w:val="21"/>
          <w:rtl/>
        </w:rPr>
        <w:t xml:space="preserve">مواصفات المتطلبات ومصفوفة التتبع وكتالوج قواعد الأعمال (أ2 إلى أ4).</w:t>
      </w:r>
    </w:p>
    <w:p>
      <w:pPr>
        <w:pStyle w:val="ListParagraph"/>
        <w:numPr>
          <w:ilvl w:val="0"/>
          <w:numId w:val="3"/>
        </w:numPr>
        <w:bidi/>
        <w:spacing w:after="80" w:line="290"/>
        <w:jc w:val="right"/>
      </w:pPr>
      <w:r>
        <w:rPr>
          <w:rFonts w:ascii="Arial" w:cs="Arial" w:eastAsia="Arial" w:hAnsi="Arial"/>
          <w:color w:val="0F1B2D"/>
          <w:sz w:val="21"/>
          <w:szCs w:val="21"/>
          <w:rtl/>
        </w:rPr>
        <w:t xml:space="preserve">تصميم القاعدة 3.18 وقاموس البيانات (ج2، ج3)، ثم مواصفة الواجهات (ج4).</w:t>
      </w:r>
    </w:p>
    <w:p>
      <w:pPr>
        <w:pStyle w:val="ListParagraph"/>
        <w:numPr>
          <w:ilvl w:val="0"/>
          <w:numId w:val="3"/>
        </w:numPr>
        <w:bidi/>
        <w:spacing w:after="80" w:line="290"/>
        <w:jc w:val="right"/>
      </w:pPr>
      <w:r>
        <w:rPr>
          <w:rFonts w:ascii="Arial" w:cs="Arial" w:eastAsia="Arial" w:hAnsi="Arial"/>
          <w:color w:val="0F1B2D"/>
          <w:sz w:val="21"/>
          <w:szCs w:val="21"/>
          <w:rtl/>
        </w:rPr>
        <w:t xml:space="preserve">خطة الاختبار والقبول (د1) مع نتائج الاختبارات الآلية (د2).</w:t>
      </w:r>
    </w:p>
    <w:p>
      <w:pPr>
        <w:pStyle w:val="ListParagraph"/>
        <w:numPr>
          <w:ilvl w:val="0"/>
          <w:numId w:val="3"/>
        </w:numPr>
        <w:bidi/>
        <w:spacing w:after="80" w:line="290"/>
        <w:jc w:val="right"/>
      </w:pPr>
      <w:r>
        <w:rPr>
          <w:rFonts w:ascii="Arial" w:cs="Arial" w:eastAsia="Arial" w:hAnsi="Arial"/>
          <w:color w:val="0F1B2D"/>
          <w:sz w:val="21"/>
          <w:szCs w:val="21"/>
          <w:rtl/>
        </w:rPr>
        <w:t xml:space="preserve">وثائق التشغيل: البنية التحتية، الاستمرارية، مستويات الخدمة، بوابات الإطلاق (هـ1 إلى هـ5).</w:t>
      </w:r>
    </w:p>
    <w:p>
      <w:pPr>
        <w:pStyle w:val="Heading1"/>
        <w:keepNext/>
        <w:pBdr>
          <w:bottom w:val="single" w:color="0A5BD3" w:sz="10" w:space="4"/>
        </w:pBdr>
        <w:bidi/>
        <w:spacing w:after="160" w:before="360"/>
        <w:jc w:val="right"/>
      </w:pPr>
      <w:r>
        <w:rPr>
          <w:rFonts w:ascii="Arial" w:cs="Arial" w:eastAsia="Arial" w:hAnsi="Arial"/>
          <w:b/>
          <w:bCs/>
          <w:color w:val="0B1F3F"/>
          <w:sz w:val="30"/>
          <w:szCs w:val="30"/>
          <w:rtl/>
        </w:rPr>
        <w:t xml:space="preserve">5. ما نقترح أن تقدمه الجهة المختصة</w:t>
      </w:r>
    </w:p>
    <w:p>
      <w:pPr>
        <w:pStyle w:val="ListParagraph"/>
        <w:numPr>
          <w:ilvl w:val="0"/>
          <w:numId w:val="2"/>
        </w:numPr>
        <w:bidi/>
        <w:spacing w:after="80" w:line="290"/>
        <w:jc w:val="right"/>
      </w:pPr>
      <w:r>
        <w:rPr>
          <w:rFonts w:ascii="Arial" w:cs="Arial" w:eastAsia="Arial" w:hAnsi="Arial"/>
          <w:b/>
          <w:bCs/>
          <w:color w:val="0F1B2D"/>
          <w:sz w:val="21"/>
          <w:szCs w:val="21"/>
          <w:rtl/>
        </w:rPr>
        <w:t xml:space="preserve">المتطلبات: </w:t>
      </w:r>
      <w:r>
        <w:rPr>
          <w:rFonts w:ascii="Arial" w:cs="Arial" w:eastAsia="Arial" w:hAnsi="Arial"/>
          <w:color w:val="0F1B2D"/>
          <w:sz w:val="21"/>
          <w:szCs w:val="21"/>
          <w:rtl/>
        </w:rPr>
        <w:t xml:space="preserve">مراجعة خط أساس المتطلبات ومصفوفة التتبع، وصياغة متطلبات الإطلاق بصيغة «يجب أن» (أ2، أ3).</w:t>
      </w:r>
    </w:p>
    <w:p>
      <w:pPr>
        <w:pStyle w:val="ListParagraph"/>
        <w:numPr>
          <w:ilvl w:val="0"/>
          <w:numId w:val="2"/>
        </w:numPr>
        <w:bidi/>
        <w:spacing w:after="80" w:line="290"/>
        <w:jc w:val="right"/>
      </w:pPr>
      <w:r>
        <w:rPr>
          <w:rFonts w:ascii="Arial" w:cs="Arial" w:eastAsia="Arial" w:hAnsi="Arial"/>
          <w:b/>
          <w:bCs/>
          <w:color w:val="0F1B2D"/>
          <w:sz w:val="21"/>
          <w:szCs w:val="21"/>
          <w:rtl/>
        </w:rPr>
        <w:t xml:space="preserve">العمليات: </w:t>
      </w:r>
      <w:r>
        <w:rPr>
          <w:rFonts w:ascii="Arial" w:cs="Arial" w:eastAsia="Arial" w:hAnsi="Arial"/>
          <w:color w:val="0F1B2D"/>
          <w:sz w:val="21"/>
          <w:szCs w:val="21"/>
          <w:rtl/>
        </w:rPr>
        <w:t xml:space="preserve">مراجعة مخططات النشاط، وإكمال نماذج الحوادث وفحص الكاونتر وإلغاء الرحلة مع فرق التشغيل (ب5).</w:t>
      </w:r>
    </w:p>
    <w:p>
      <w:pPr>
        <w:pStyle w:val="ListParagraph"/>
        <w:numPr>
          <w:ilvl w:val="0"/>
          <w:numId w:val="2"/>
        </w:numPr>
        <w:bidi/>
        <w:spacing w:after="80" w:line="290"/>
        <w:jc w:val="right"/>
      </w:pPr>
      <w:r>
        <w:rPr>
          <w:rFonts w:ascii="Arial" w:cs="Arial" w:eastAsia="Arial" w:hAnsi="Arial"/>
          <w:b/>
          <w:bCs/>
          <w:color w:val="0F1B2D"/>
          <w:sz w:val="21"/>
          <w:szCs w:val="21"/>
          <w:rtl/>
        </w:rPr>
        <w:t xml:space="preserve">التصميم: </w:t>
      </w:r>
      <w:r>
        <w:rPr>
          <w:rFonts w:ascii="Arial" w:cs="Arial" w:eastAsia="Arial" w:hAnsi="Arial"/>
          <w:color w:val="0F1B2D"/>
          <w:sz w:val="21"/>
          <w:szCs w:val="21"/>
          <w:rtl/>
        </w:rPr>
        <w:t xml:space="preserve">مراجعة البنية والقاعدة والواجهات، والمشاركة في اختبار شاشات المحطات مع المستخدمين (ج1 إلى ج6).</w:t>
      </w:r>
    </w:p>
    <w:p>
      <w:pPr>
        <w:pStyle w:val="ListParagraph"/>
        <w:numPr>
          <w:ilvl w:val="0"/>
          <w:numId w:val="2"/>
        </w:numPr>
        <w:bidi/>
        <w:spacing w:after="80" w:line="290"/>
        <w:jc w:val="right"/>
      </w:pPr>
      <w:r>
        <w:rPr>
          <w:rFonts w:ascii="Arial" w:cs="Arial" w:eastAsia="Arial" w:hAnsi="Arial"/>
          <w:b/>
          <w:bCs/>
          <w:color w:val="0F1B2D"/>
          <w:sz w:val="21"/>
          <w:szCs w:val="21"/>
          <w:rtl/>
        </w:rPr>
        <w:t xml:space="preserve">الأمن والخصوصية: </w:t>
      </w:r>
      <w:r>
        <w:rPr>
          <w:rFonts w:ascii="Arial" w:cs="Arial" w:eastAsia="Arial" w:hAnsi="Arial"/>
          <w:color w:val="0F1B2D"/>
          <w:sz w:val="21"/>
          <w:szCs w:val="21"/>
          <w:rtl/>
        </w:rPr>
        <w:t xml:space="preserve">مراجعة نموذج التهديد ومسودة تقييم أثر صورة الصعود، والإشراف على اختبار الاختراق (ج7، د4).</w:t>
      </w:r>
    </w:p>
    <w:p>
      <w:pPr>
        <w:pStyle w:val="ListParagraph"/>
        <w:numPr>
          <w:ilvl w:val="0"/>
          <w:numId w:val="2"/>
        </w:numPr>
        <w:bidi/>
        <w:spacing w:after="80" w:line="290"/>
        <w:jc w:val="right"/>
      </w:pPr>
      <w:r>
        <w:rPr>
          <w:rFonts w:ascii="Arial" w:cs="Arial" w:eastAsia="Arial" w:hAnsi="Arial"/>
          <w:b/>
          <w:bCs/>
          <w:color w:val="0F1B2D"/>
          <w:sz w:val="21"/>
          <w:szCs w:val="21"/>
          <w:rtl/>
        </w:rPr>
        <w:t xml:space="preserve">القبول: </w:t>
      </w:r>
      <w:r>
        <w:rPr>
          <w:rFonts w:ascii="Arial" w:cs="Arial" w:eastAsia="Arial" w:hAnsi="Arial"/>
          <w:color w:val="0F1B2D"/>
          <w:sz w:val="21"/>
          <w:szCs w:val="21"/>
          <w:rtl/>
        </w:rPr>
        <w:t xml:space="preserve">تيسير اختبار قبول المستخدم وتوثيق محاضره مع المالك والناقل التجريبي (د1، د5).</w:t>
      </w:r>
    </w:p>
    <w:p>
      <w:pPr>
        <w:pStyle w:val="ListParagraph"/>
        <w:numPr>
          <w:ilvl w:val="0"/>
          <w:numId w:val="2"/>
        </w:numPr>
        <w:bidi/>
        <w:spacing w:after="80" w:line="290"/>
        <w:jc w:val="right"/>
      </w:pPr>
      <w:r>
        <w:rPr>
          <w:rFonts w:ascii="Arial" w:cs="Arial" w:eastAsia="Arial" w:hAnsi="Arial"/>
          <w:b/>
          <w:bCs/>
          <w:color w:val="0F1B2D"/>
          <w:sz w:val="21"/>
          <w:szCs w:val="21"/>
          <w:rtl/>
        </w:rPr>
        <w:t xml:space="preserve">التشغيل: </w:t>
      </w:r>
      <w:r>
        <w:rPr>
          <w:rFonts w:ascii="Arial" w:cs="Arial" w:eastAsia="Arial" w:hAnsi="Arial"/>
          <w:color w:val="0F1B2D"/>
          <w:sz w:val="21"/>
          <w:szCs w:val="21"/>
          <w:rtl/>
        </w:rPr>
        <w:t xml:space="preserve">مراجعة جاهزية التشغيل وبوابات الإطلاق قبل قرار الإطلاق (هـ5).</w:t>
      </w:r>
    </w:p>
    <w:p>
      <w:pPr>
        <w:pStyle w:val="Heading1"/>
        <w:keepNext/>
        <w:pBdr>
          <w:bottom w:val="single" w:color="0A5BD3" w:sz="10" w:space="4"/>
        </w:pBdr>
        <w:bidi/>
        <w:spacing w:after="160" w:before="360"/>
        <w:jc w:val="right"/>
      </w:pPr>
      <w:r>
        <w:rPr>
          <w:rFonts w:ascii="Arial" w:cs="Arial" w:eastAsia="Arial" w:hAnsi="Arial"/>
          <w:b/>
          <w:bCs/>
          <w:color w:val="0B1F3F"/>
          <w:sz w:val="30"/>
          <w:szCs w:val="30"/>
          <w:rtl/>
        </w:rPr>
        <w:t xml:space="preserve">6. القرارات المفتوحة لدى المالك</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70"/>
        <w:gridCol w:w="2699"/>
        <w:gridCol w:w="3470"/>
      </w:tblGrid>
      <w:tr>
        <w:trPr>
          <w:tblHeader/>
        </w:trPr>
        <w:tc>
          <w:tcPr>
            <w:tcW w:type="dxa" w:w="347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القرار</w:t>
            </w:r>
          </w:p>
        </w:tc>
        <w:tc>
          <w:tcPr>
            <w:tcW w:type="dxa" w:w="2699"/>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أثره</w:t>
            </w:r>
          </w:p>
        </w:tc>
        <w:tc>
          <w:tcPr>
            <w:tcW w:type="dxa" w:w="347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الحالة في النظام</w:t>
            </w:r>
          </w:p>
        </w:tc>
      </w:tr>
      <w:tr>
        <w:trPr>
          <w:cantSplit/>
        </w:trPr>
        <w:tc>
          <w:tcPr>
            <w:tcW w:type="dxa" w:w="347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قيم نافذة الصعود التي قد تحددها الهيئات</w:t>
            </w:r>
          </w:p>
        </w:tc>
        <w:tc>
          <w:tcPr>
            <w:tcW w:type="dxa" w:w="269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متى يفتح الكاونتر ويغلق قبل المغادرة</w:t>
            </w:r>
          </w:p>
        </w:tc>
        <w:tc>
          <w:tcPr>
            <w:tcW w:type="dxa" w:w="347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الإعداد قائم وفارغ؛ لكل محطة نافذتها الخاصة</w:t>
            </w:r>
          </w:p>
        </w:tc>
      </w:tr>
      <w:tr>
        <w:trPr>
          <w:cantSplit/>
        </w:trPr>
        <w:tc>
          <w:tcPr>
            <w:tcW w:type="dxa" w:w="347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صيغة ترقيم مراجع الاتفاقيات والتراخيص</w:t>
            </w:r>
          </w:p>
        </w:tc>
        <w:tc>
          <w:tcPr>
            <w:tcW w:type="dxa" w:w="269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التحقق من صحة الأرقام</w:t>
            </w:r>
          </w:p>
        </w:tc>
        <w:tc>
          <w:tcPr>
            <w:tcW w:type="dxa" w:w="347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تُقبل الأرقام كما يُدخلها الناقل، دون فرض صيغة</w:t>
            </w:r>
          </w:p>
        </w:tc>
      </w:tr>
      <w:tr>
        <w:trPr>
          <w:cantSplit/>
        </w:trPr>
        <w:tc>
          <w:tcPr>
            <w:tcW w:type="dxa" w:w="347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قائمة التراخيص المطلوبة، وما يلزم منها في المرحلة الأولى</w:t>
            </w:r>
          </w:p>
        </w:tc>
        <w:tc>
          <w:tcPr>
            <w:tcW w:type="dxa" w:w="269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ما يُطلب من الناقل</w:t>
            </w:r>
          </w:p>
        </w:tc>
        <w:tc>
          <w:tcPr>
            <w:tcW w:type="dxa" w:w="347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الإعداد boarding.references.required فارغ</w:t>
            </w:r>
          </w:p>
        </w:tc>
      </w:tr>
      <w:tr>
        <w:trPr>
          <w:cantSplit/>
        </w:trPr>
        <w:tc>
          <w:tcPr>
            <w:tcW w:type="dxa" w:w="347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المستند القانوني لصورة الكاونتر ورقمه</w:t>
            </w:r>
          </w:p>
        </w:tc>
        <w:tc>
          <w:tcPr>
            <w:tcW w:type="dxa" w:w="269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تفعيل صورة الكاونتر</w:t>
            </w:r>
          </w:p>
        </w:tc>
        <w:tc>
          <w:tcPr>
            <w:tcW w:type="dxa" w:w="347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مبنية ومغلقة (1111)؛ لا تُفعَّل من المنصة حتى تُعتمد الموافقات القانونية والتشريعية ويُسجَّل رقم مستندها</w:t>
            </w:r>
          </w:p>
        </w:tc>
      </w:tr>
      <w:tr>
        <w:trPr>
          <w:cantSplit/>
        </w:trPr>
        <w:tc>
          <w:tcPr>
            <w:tcW w:type="dxa" w:w="347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قائمة الصلاحيات النهائية لشركات التشغيل</w:t>
            </w:r>
          </w:p>
        </w:tc>
        <w:tc>
          <w:tcPr>
            <w:tcW w:type="dxa" w:w="269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ما تفعله شركة التشغيل في الكاونتر</w:t>
            </w:r>
          </w:p>
        </w:tc>
        <w:tc>
          <w:tcPr>
            <w:tcW w:type="dxa" w:w="347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الصلاحيات الثلاث مبنية بشاشاتها: البيع من الكاونتر (المرحلة الأولى)، بطاقة الصعود، الصعود</w:t>
            </w:r>
          </w:p>
        </w:tc>
      </w:tr>
      <w:tr>
        <w:trPr>
          <w:cantSplit/>
        </w:trPr>
        <w:tc>
          <w:tcPr>
            <w:tcW w:type="dxa" w:w="347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القيم الضريبية المعتمدة</w:t>
            </w:r>
          </w:p>
        </w:tc>
        <w:tc>
          <w:tcPr>
            <w:tcW w:type="dxa" w:w="269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ضرائب الفواتير الإلكترونية</w:t>
            </w:r>
          </w:p>
        </w:tc>
        <w:tc>
          <w:tcPr>
            <w:tcW w:type="dxa" w:w="347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محرك الضرائب مبني؛ تُدخل الشرائح والنسب ويعتمدها المالي</w:t>
            </w:r>
          </w:p>
        </w:tc>
      </w:tr>
      <w:tr>
        <w:trPr>
          <w:cantSplit/>
        </w:trPr>
        <w:tc>
          <w:tcPr>
            <w:tcW w:type="dxa" w:w="347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قرار غرامة إلغاء الرحلة</w:t>
            </w:r>
          </w:p>
        </w:tc>
        <w:tc>
          <w:tcPr>
            <w:tcW w:type="dxa" w:w="269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ما يُخصم من الناقل الذي يلغي رحلة</w:t>
            </w:r>
          </w:p>
        </w:tc>
        <w:tc>
          <w:tcPr>
            <w:tcW w:type="dxa" w:w="347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معطّلة حتى تفرضها الجهات الناظمة برقم قرارها</w:t>
            </w:r>
          </w:p>
        </w:tc>
      </w:tr>
      <w:tr>
        <w:trPr>
          <w:cantSplit/>
        </w:trPr>
        <w:tc>
          <w:tcPr>
            <w:tcW w:type="dxa" w:w="347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عقود مزودي الدفع الإلكتروني والتحقق من الهوية</w:t>
            </w:r>
          </w:p>
        </w:tc>
        <w:tc>
          <w:tcPr>
            <w:tcW w:type="dxa" w:w="269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فتح الخيارات المغلقة</w:t>
            </w:r>
          </w:p>
        </w:tc>
        <w:tc>
          <w:tcPr>
            <w:tcW w:type="dxa" w:w="347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تُفتح بإعداد المزود دون تغيير في الكود</w:t>
            </w:r>
          </w:p>
        </w:tc>
      </w:tr>
    </w:tbl>
    <w:p>
      <w:pPr>
        <w:bidi/>
        <w:spacing w:after="120" w:line="300"/>
        <w:jc w:val="right"/>
      </w:pPr>
      <w:r>
        <w:rPr>
          <w:rFonts w:ascii="Arial" w:cs="Arial" w:eastAsia="Arial" w:hAnsi="Arial"/>
          <w:color w:val="0F1B2D"/>
          <w:sz w:val="21"/>
          <w:szCs w:val="21"/>
          <w:rtl/>
        </w:rPr>
        <w:t xml:space="preserve"/>
      </w:r>
    </w:p>
    <w:p>
      <w:pPr>
        <w:bidi/>
        <w:spacing w:after="120" w:line="300"/>
        <w:jc w:val="right"/>
      </w:pPr>
      <w:r>
        <w:rPr>
          <w:rFonts w:ascii="Arial" w:cs="Arial" w:eastAsia="Arial" w:hAnsi="Arial"/>
          <w:color w:val="0F1B2D"/>
          <w:sz w:val="21"/>
          <w:szCs w:val="21"/>
          <w:rtl/>
        </w:rPr>
        <w:t xml:space="preserve">تُحدَّث حالات هذا السجل مع كل وثيقة تكتمل، ويُحفظ في المستودع مع مولّده (docs/readiness).</w:t>
      </w:r>
    </w:p>
    <w:sectPr>
      <w:headerReference w:type="default" r:id="rId7"/>
      <w:footerReference w:type="default" r:id="rId8"/>
      <w:pgSz w:w="11906" w:h="16838" w:orient="portrait"/>
      <w:pgMar w:top="1300" w:right="1134" w:bottom="120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4B5565"/>
        <w:sz w:val="16"/>
        <w:szCs w:val="16"/>
        <w:rtl/>
      </w:rPr>
      <w:t xml:space="preserve">صفحة </w:t>
    </w:r>
    <w:r>
      <w:rPr>
        <w:rFonts w:ascii="Arial" w:cs="Arial" w:eastAsia="Arial" w:hAnsi="Arial"/>
        <w:color w:val="4B556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bidi/>
      <w:spacing w:after="0" w:line="300"/>
      <w:jc w:val="right"/>
    </w:pPr>
    <w:r>
      <w:rPr>
        <w:rFonts w:ascii="Arial" w:cs="Arial" w:eastAsia="Arial" w:hAnsi="Arial"/>
        <w:color w:val="4B5565"/>
        <w:sz w:val="16"/>
        <w:szCs w:val="16"/>
        <w:rtl/>
      </w:rPr>
      <w:t xml:space="preserve">مسلك · سجل وثائق الجاهزية للتنفيذ · 2.4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right"/>
      <w:pPr>
        <w:ind w:right="360" w:hanging="260"/>
      </w:pPr>
    </w:lvl>
  </w:abstractNum>
  <w:abstractNum w:abstractNumId="3" w15:restartNumberingAfterBreak="0">
    <w:multiLevelType w:val="hybridMultilevel"/>
    <w:lvl w:ilvl="0" w15:tentative="1">
      <w:start w:val="1"/>
      <w:numFmt w:val="decimal"/>
      <w:lvlText w:val="%1."/>
      <w:lvlJc w:val="right"/>
      <w:pPr>
        <w:ind w:right="42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مسلك · سجل وثائق الجاهزية للتنفيذ · 2.4</dc:title>
  <dc:creator>Masslak</dc:creator>
  <cp:lastModifiedBy>Un-named</cp:lastModifiedBy>
  <cp:revision>1</cp:revision>
  <dcterms:created xsi:type="dcterms:W3CDTF">2026-10-18T11:38:58.267Z</dcterms:created>
  <dcterms:modified xsi:type="dcterms:W3CDTF">2026-10-18T11:38:58.267Z</dcterms:modified>
</cp:coreProperties>
</file>

<file path=docProps/custom.xml><?xml version="1.0" encoding="utf-8"?>
<Properties xmlns="http://schemas.openxmlformats.org/officeDocument/2006/custom-properties" xmlns:vt="http://schemas.openxmlformats.org/officeDocument/2006/docPropsVTypes"/>
</file>